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01DFD4BF" w:rsidP="1B4E45BD" w:rsidRDefault="01DFD4BF" w14:paraId="4B69AD5A" w14:textId="1B4E4377">
      <w:pPr>
        <w:pStyle w:val="Normal"/>
        <w:suppressLineNumbers w:val="0"/>
        <w:bidi w:val="0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1B4E45BD" w:rsidR="01DFD4BF">
        <w:rPr>
          <w:rFonts w:ascii="Calibri" w:hAnsi="Calibri" w:eastAsia="Calibri" w:cs="Calibri"/>
          <w:b w:val="1"/>
          <w:bCs w:val="1"/>
          <w:sz w:val="20"/>
          <w:szCs w:val="20"/>
          <w:lang w:val="en-US"/>
        </w:rPr>
        <w:t>Supplementary Table 1.</w:t>
      </w:r>
      <w:r w:rsidRPr="1B4E45BD" w:rsidR="01DFD4BF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 xml:space="preserve"> List of </w:t>
      </w:r>
      <w:r w:rsidRPr="1B4E45BD" w:rsidR="01DFD4BF">
        <w:rPr>
          <w:rFonts w:ascii="Calibri" w:hAnsi="Calibri" w:eastAsia="Calibri" w:cs="Calibri"/>
          <w:b w:val="0"/>
          <w:bCs w:val="0"/>
          <w:i w:val="1"/>
          <w:iCs w:val="1"/>
          <w:sz w:val="20"/>
          <w:szCs w:val="20"/>
          <w:lang w:val="en-US"/>
        </w:rPr>
        <w:t>de novo</w:t>
      </w:r>
      <w:r w:rsidRPr="1B4E45BD" w:rsidR="01DFD4BF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 xml:space="preserve"> variants identified in fetuses with structural anomalies detected by prenatal ultrasound.</w:t>
      </w:r>
    </w:p>
    <w:tbl>
      <w:tblPr>
        <w:tblStyle w:val="TableNormal"/>
        <w:tblW w:w="9161" w:type="dxa"/>
        <w:jc w:val="left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val="06a0" w:firstRow="1" w:lastRow="0" w:firstColumn="1" w:lastColumn="0" w:noHBand="1" w:noVBand="1"/>
      </w:tblPr>
      <w:tblGrid>
        <w:gridCol w:w="2670"/>
        <w:gridCol w:w="570"/>
        <w:gridCol w:w="824"/>
        <w:gridCol w:w="1440"/>
        <w:gridCol w:w="1427"/>
        <w:gridCol w:w="1214"/>
        <w:gridCol w:w="1015"/>
      </w:tblGrid>
      <w:tr xmlns:wp14="http://schemas.microsoft.com/office/word/2010/wordml" w14:paraId="23986B93" wp14:textId="77777777">
        <w:trPr>
          <w:trHeight w:val="64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489ED85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Ultrasound Anomaly Observed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08EF2D0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G.W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2C90A18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Gene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0142599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RefSeq</w:t>
            </w:r>
          </w:p>
          <w:p w14:paraId="161A9C6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transcript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12096CD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Variant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4B191C3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Consequence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14:paraId="4AE1417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es-ES" w:eastAsia="en-US" w:bidi="ar-SA"/>
              </w:rPr>
              <w:t>Evidence</w:t>
            </w:r>
          </w:p>
        </w:tc>
      </w:tr>
      <w:tr xmlns:wp14="http://schemas.microsoft.com/office/word/2010/wordml" w14:paraId="0ED94DC3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DEB2BA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Cospus callosum agenesis, diaphragmatic hernia, hyperfringent kidneys, edema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007C90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E2160C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PPP1CB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5A71F6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NM_002709. 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D64066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c.754G&gt;A (p.Asp252Asn)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88008B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Splice site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AF9998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7322B6BF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DA8D5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Agenesis/hypoplasia of corpus callosum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2A4FFC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F8242F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ASXL1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93D0FF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NM_015338.6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520FA8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c.1534C&gt;T (p.Gln512Ter)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7427D5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73A66C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6882B8C0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4254B3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Agenesis/hypoplasia of corpus callosum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47A63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5B4783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ZEB2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0B8307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NM_014795.4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5B143E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c.1309C&gt;T (p.Gln437Ter)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8F85B5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37FA298" wp14:textId="77777777">
            <w:pPr>
              <w:pStyle w:val="Normal"/>
              <w:widowControl/>
              <w:suppressLineNumbers w:val="0"/>
              <w:suppressAutoHyphens w:val="true"/>
              <w:bidi w:val="0"/>
              <w:spacing w:before="0" w:beforeAutospacing="0" w:after="0" w:afterAutospacing="0" w:line="278" w:lineRule="auto"/>
              <w:ind w:left="0" w:right="0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32E8A28B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63A450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Agenesis/hypoplasia of corpus callosum, lipoma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B56821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328517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ARID1B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8B76DF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NM_017519.3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71E00F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c.6302T&gt;A (p.Ile2101Asn)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1C52B0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025CD0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2CE3FE8F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6452FA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Arthrogryposis multiplex congenita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11B77A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5D49F3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ACTA1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104856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NM_001100.4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FF94A1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c.1126T&gt;C (p.Cys376Arg)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1E2BDC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F2FE38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33109AE8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7CB748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Delayed intrauterine growth, cerebral hyperechogenicity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34292C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32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13C3C7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MTOR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88F026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NM_004958.4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973CB4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c.5728T&gt;C (p.Trp1910Arg)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138611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81B6ED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495CEA67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19200C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Cortical dysplasia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7393B2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60A9B6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TSC2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F944FB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NM_000548.5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3ADB8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c.328C&gt;T (p.Gln110Ter)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AA6750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F3DE70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0D6A47F3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BE8A0A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Cortical dysplasia, ventriculomegaly, pontocerebellar hypoplasia, lissencephaly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076875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B3CAD4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TUBG1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FFC9BE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NM_001070.5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55869F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c.1022G&gt;A (p.Arg341Gln)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663A9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428058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46557CBE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66071A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C14D38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D9773F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COL2A1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337F78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NM_001844.5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E1AC29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c.3656A&gt;G (p.Asp1219Gly</w:t>
            </w: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815269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deletion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471F78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59E003A8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B0869D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B73E58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75230B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COL2A1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7B5A98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NM_001844.5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6BCD1E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c.1068+1G&gt;T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0E88DD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Splice site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712291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00E168F9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CF3A8A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EB5E79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525D20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9C82D3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A52F3C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c.1108G&gt;T (p.Gly370Cys)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F61C32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15C4B4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0DE64D7C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390A4C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8DF98D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1BF195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2C3854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D006D9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c.1118A&gt;G (p.Tyr373Cys)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F6E963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D84C43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5B23FEA8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94CF7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CE58F4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33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00E7CA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8A1F3D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F7DC33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c.1138G&gt;A (p.Gly380Arg)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BEB5A0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07417B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49BDCB47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36C489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C375A7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F3C003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E9D132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AE2F0F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c.742C&gt;T (p.Arg248Cys)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758609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4ED20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799A80A6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8C819E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1C0AA5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A27216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59D8BB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5330E1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c.1144G&gt;A (p.Gly382Arg)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F8D48E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EF80B0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395D98B1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4D7A17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dysplasia. Achondroplasia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109C67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1C4CAE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LZTR1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631778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NM_006767.4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8512DA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c.1892G&gt;A (p.Arg631Gln)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C1BE7F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6CD8BA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7E6E3FDC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86A6974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Persistent nuchal edema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A9E3E4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80D781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ACTB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8CB774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NM_001101.5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E9B1F1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c.803G&gt;T (p.Gly268Val)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FB3870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C01387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757E2759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F769A4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Preterm intraventricular hemorrhage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A5C49E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32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BEB5B8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KAT6; ALOX15B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B11CE2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NM_006766.5 ; NM_001141.3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B6C200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c.2921G&gt;T (p.Ser974Ile); c.857C&gt;T (p.Ser286Phe)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E5A69A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A76673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Novel; Novel</w:t>
            </w:r>
          </w:p>
        </w:tc>
      </w:tr>
      <w:tr xmlns:wp14="http://schemas.microsoft.com/office/word/2010/wordml" w14:paraId="2FB54DFE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EAB0DF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Periventricular nodal heterotopia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</w:tcPr>
          <w:p w14:paraId="44C2641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DA7C16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FLNA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93EB9A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NM_001110556.2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F3DB15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c.6667_6676del  (p.Gly2223SerfsTer8)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949568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frameshift indel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3769D7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5E14062A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797E59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Hydrops fetalis, mitroaortic hypoplasia, AUU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9F18D2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EC9D28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PTPN11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01BF59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NM_002834.5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6FC635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c.172A&gt;T (p.Asn58Tyr)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0120B7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893045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14A6A28E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38F42B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Hypoplasia left chambers with aortic arch hypoplasia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263A49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F51865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KMT2D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7940F4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NM_003482.4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DF22BF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c.14076-2A&gt;G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44D690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Splice site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4A3493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7902FAC4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C1A0D7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Facial malformation, cleft palate, renal dilatation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67B13B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3A3D45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CHD7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01259D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NM_017780.4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9660C0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c.4850G&gt;C (p.Gly1617Ala)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5D6CB0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308848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2755512E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487B42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Club feet, claw hands, decreased mobility.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3ECE29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82A0A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NALCN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4A644D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NM_052867.4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BA627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c.3521G&gt;C (p.Arg1174Thr)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56AB77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2A267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08E30057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592254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Polymalformed. CNS, heart, kidneys and hands involvement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A6A902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7D3B1A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HDAC2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FC98B2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NM_001527.4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88EF2A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c.1330_1333delAAAG</w:t>
            </w:r>
          </w:p>
          <w:p w14:paraId="54485FE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 xml:space="preserve"> </w:t>
            </w: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(p.Lys444LeufsTer61)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CFB441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frameshift indel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5F6A26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37728320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458C30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Rasopathy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528FAB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D97B5D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PTPN11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D5DF52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NM_002834.5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62B3E9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c.1507G&gt;A (p.Gly503Arg)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338FC7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E6D81B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2830F93E" wp14:textId="77777777">
        <w:trPr>
          <w:trHeight w:val="360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343230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Ventriculomegaly, altered brain morphology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EC7F4A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3E51C1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PPP2R1A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E1B74E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NM_014225.5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7D4B1F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c.539T&gt;C (p.Met180Thr)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D64306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3BB293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0DC191BE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D61169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Short long bones, hypochondroplasia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3CFEC6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6D7CDB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JARID2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B273C1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NM_004973.4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E5CB42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c.45C&gt;A (p.Tyr15Ter)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1426FF2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DFA50F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7DB8E9E0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400C27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Unilateral ventriculomegaly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2E4F76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AB90E3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RAC3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164D7F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NM_005052.3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1B1705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c.191A&gt;G (p.Tyr64Cys</w:t>
            </w: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B591C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7DCBA6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7A3DCDAA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345808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73AD2F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54B2BC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TNNI2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4FAE74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NM_003282.4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7F2DD1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c.496_498delGAG (p.Glu166del)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F5B819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in-frame deletion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FBDF21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59D9C590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E362C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Congenital cardiopathy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69E47B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C15B5E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ZMIZ1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BC85A7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NM_020338.4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49B2CD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c.623delAinsGGT (p.Asn208ArgfsTer108)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C4B4CC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frameshift indel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047DFE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0627CBE9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C5B9AE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Skeletal dysplasia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7581EC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0550C5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SCN2A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E7D641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NM_001040142.2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EDF6E3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c.2567G&gt;A (p.Arg856Gln)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BBC7A6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3EA886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40570719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A206D8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Double outlet right ventricle, pulmonary valve stenosis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65B2BC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C56F31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CHD7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EA7C5C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NM_017780.4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CDCED2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c.6148C&gt;T (p.Arg2050Ter)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698926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F94A41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5B621DC6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F2568F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Thanatophoric dysplasia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94C502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8EEB7C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940DE9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330D7F2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c.742C&gt;T (p.Arg248Cys)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567295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B62551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7F885B9D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481839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Rasopathy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D0116D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089D1E8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PTPN11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FFD72D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NM_002834.5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683FA5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c.218C&gt;T (p.Thr73Ile)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FA0396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5E9199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463B4C5D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94FBED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Intrauterine growth restriction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D8EB8E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76DA61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DYRK1A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D12C65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NM_001347721.2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7EFA6D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c.736C&gt;T (p.Arg246Ter)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036F29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stop codon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D3B72B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6BD6B043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9BC8E8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Short long bones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848D7E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34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B30C29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FGFR3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FC08AF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NM_000142.5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BB37A0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c.1620C&gt;A (p.Asn540Lys)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2FEA5C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9FCA44E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74696D8B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8F1426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Rasopathy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B5474F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0EFFCE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PTPN11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41EB700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NM_002834.5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5D9C17C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c.1472C&gt;T (p.Pro491Leu)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517756A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6B3569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  <w:tr xmlns:wp14="http://schemas.microsoft.com/office/word/2010/wordml" w14:paraId="3A6F8D97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C8BF5EF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Tuberous sclerosis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D5C510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35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23A3957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TSC2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881753B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NM_000548.5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0FFD06D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c.337-2A&gt;G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431E6C1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Splice site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CF1E29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Novel</w:t>
            </w:r>
          </w:p>
        </w:tc>
      </w:tr>
      <w:tr xmlns:wp14="http://schemas.microsoft.com/office/word/2010/wordml" w14:paraId="0E5094BE" wp14:textId="77777777">
        <w:trPr>
          <w:trHeight w:val="315" w:hRule="atLeast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33E00F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Mild mitral insufficiency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32BF140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 w:themeColor="text1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16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0F0C3C89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/>
                <w:i/>
                <w:iCs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RAF1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25C3DAA3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NM_002880.4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1D781B75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c.788T&gt;A (p.Val263Asp)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7A4CD666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/>
                <w:bCs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missense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14:paraId="6658B85C" wp14:textId="77777777">
            <w:pPr>
              <w:pStyle w:val="Normal"/>
              <w:widowControl/>
              <w:suppressAutoHyphens w:val="true"/>
              <w:spacing w:before="0" w:beforeAutospacing="0" w:after="0" w:afterAutospacing="0" w:line="278" w:lineRule="auto"/>
              <w:jc w:val="center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es-ES" w:eastAsia="en-US" w:bidi="ar-SA"/>
              </w:rPr>
              <w:t>Reported</w:t>
            </w:r>
          </w:p>
        </w:tc>
      </w:tr>
    </w:tbl>
    <w:p xmlns:wp14="http://schemas.microsoft.com/office/word/2010/wordml" w:rsidP="1B4E45BD" w14:paraId="7B698F3B" wp14:textId="6EE2625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1B4E45BD" w:rsidR="1DDFA0B7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>The table</w:t>
      </w:r>
      <w:r w:rsidRPr="1B4E45BD" w:rsidR="1B4E45BD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 xml:space="preserve"> includes the gestational week at diagnosis (G.W), </w:t>
      </w:r>
      <w:r w:rsidRPr="1B4E45BD" w:rsidR="1B4E45BD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>observed</w:t>
      </w:r>
      <w:r w:rsidRPr="1B4E45BD" w:rsidR="1B4E45BD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 xml:space="preserve"> ultrasound anomaly, affected gene, </w:t>
      </w:r>
      <w:r w:rsidRPr="1B4E45BD" w:rsidR="1B4E45BD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>RefSeq</w:t>
      </w:r>
      <w:r w:rsidRPr="1B4E45BD" w:rsidR="1B4E45BD">
        <w:rPr>
          <w:rFonts w:ascii="Calibri" w:hAnsi="Calibri" w:eastAsia="Calibri" w:cs="Calibri"/>
          <w:b w:val="0"/>
          <w:bCs w:val="0"/>
          <w:sz w:val="20"/>
          <w:szCs w:val="20"/>
          <w:lang w:val="en-US"/>
        </w:rPr>
        <w:t xml:space="preserve"> transcript, variant (HGVS nomenclature), predicted molecular consequence, and evidence classification (novel or reported).</w:t>
      </w:r>
    </w:p>
    <w:p xmlns:wp14="http://schemas.microsoft.com/office/word/2010/wordml" w14:paraId="672A6659" wp14:textId="77777777">
      <w:pPr>
        <w:pStyle w:val="Normal"/>
        <w:rPr/>
      </w:pPr>
      <w:r>
        <w:br w:type="page"/>
      </w:r>
    </w:p>
    <w:sectPr>
      <w:type w:val="nextPage"/>
      <w:pgSz w:w="11906" w:h="16838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7B250"/>
    <w:rsid w:val="01DFD4BF"/>
    <w:rsid w:val="1B4E45BD"/>
    <w:rsid w:val="1DDFA0B7"/>
    <w:rsid w:val="5A47B250"/>
  </w:rsids>
  <w:themeFontLang w:val="es-ES" w:eastAsia="" w:bidi=""/>
  <w14:docId w14:val="601251F9"/>
  <w15:docId w15:val="{604236BC-D057-4296-83A7-289CEB1770A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8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2025-05-14T13:17:41.0000000Z</dcterms:created>
  <dc:creator>Juan Antonio Jimenez Barcelo</dc:creator>
  <dc:description/>
  <dc:language>es-ES</dc:language>
  <lastModifiedBy>Juan Antonio Jimenez Barcelo</lastModifiedBy>
  <dcterms:modified xsi:type="dcterms:W3CDTF">2025-09-26T07:12:12.7441911Z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