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6E44" w14:textId="61067566" w:rsidR="000E7565" w:rsidRPr="00705831" w:rsidRDefault="000E7565" w:rsidP="000E7565">
      <w:pPr>
        <w:pStyle w:val="Heading1"/>
      </w:pPr>
      <w:r w:rsidRPr="00705831">
        <w:t>Supplementary material</w:t>
      </w:r>
    </w:p>
    <w:p w14:paraId="5E3E2FE9" w14:textId="6E4DB678" w:rsidR="000E7565" w:rsidRPr="00705831" w:rsidRDefault="000E7565" w:rsidP="000E7565">
      <w:pPr>
        <w:pStyle w:val="Heading2"/>
      </w:pPr>
      <w:r w:rsidRPr="00705831">
        <w:t>Procrustes difference versus cosine similarity</w:t>
      </w:r>
    </w:p>
    <w:p w14:paraId="5E2D36E0" w14:textId="00742BCE" w:rsidR="003B35E0" w:rsidRPr="00705831" w:rsidRDefault="00705831" w:rsidP="00CB490F">
      <w:pPr>
        <w:tabs>
          <w:tab w:val="right" w:pos="8222"/>
        </w:tabs>
        <w:spacing w:after="0" w:line="480" w:lineRule="auto"/>
        <w:jc w:val="both"/>
      </w:pPr>
      <w:r w:rsidRPr="003B35E0">
        <w:t xml:space="preserve">As mentioned in the main section, a simplified Procrustes analysis was used to quantify the dissimilarity between the inner- and outer-limb temporal and spatial patterns. The method takes its name from the Greek myth of Procrustes, an innkeeper who forcibly stretched or </w:t>
      </w:r>
      <w:proofErr w:type="spellStart"/>
      <w:r w:rsidRPr="00705831">
        <w:t>amputed</w:t>
      </w:r>
      <w:proofErr w:type="spellEnd"/>
      <w:r w:rsidRPr="00705831">
        <w:t xml:space="preserve"> limbs from</w:t>
      </w:r>
      <w:r w:rsidRPr="003B35E0">
        <w:t xml:space="preserve"> his guests to fit his bed. In modern applications, Procrustes analysis is widely used across fields such as sensory and consumer evaluation, where data matrices are compared element by element after optimal translation, scaling, and rotation </w:t>
      </w:r>
      <w:r w:rsidR="00691C9E" w:rsidRPr="00705831">
        <w:fldChar w:fldCharType="begin"/>
      </w:r>
      <w:r w:rsidR="00942AFE" w:rsidRPr="00705831">
        <w:instrText xml:space="preserve"> ADDIN ZOTERO_ITEM CSL_CITATION {"citationID":"ScuVMkUM","properties":{"formattedCitation":"(Gower &amp; Dijksterhuis, 2004; Zaidi &amp; Harris-Love, 2023)","plainCitation":"(Gower &amp; Dijksterhuis, 2004; Zaidi &amp; Harris-Love, 2023)","noteIndex":0},"citationItems":[{"id":3983,"uris":["http://zotero.org/users/6001522/items/7VLCSY58"],"itemData":{"id":3983,"type":"book","collection-title":"Oxford Statistical Science Series","event-place":"Oxford, UK","publisher-place":"Oxford, UK","title":"'Introduction', Procrustes Problems","author":[{"family":"Gower","given":"J.C."},{"family":"Dijksterhuis","given":"G.B."}],"issued":{"date-parts":[["2004"]]}}},{"id":3857,"uris":["http://zotero.org/users/6001522/items/3YAKPLP3"],"itemData":{"id":3857,"type":"paper-conference","abstract":"Upper extremity motor impairment affects about 80% of persons after strokes. For stroke rehabilitation, upper limb kinematic assessments have increasingly been used as primary or secondary outcome measures. Studying the upper extremity provides a valuable tool for assessing limb coordination, mal-adaptations, and recovery. There is currently no universal standardized scale for categorizing multi-joint upper extremity movement. We propose a modiﬁed Procrustes statistical shape method as a quantitative analysis that can recognize segments of movement where multiple limb segments are coordinating movement. Generalized Procrustes methods allow data points to be compared across an array simultaneously rather than comparing them in pairs. Rather than rely solely on discrete kinematic values to contrast movement, this method allows evaluation of how movement progresses. The Procrustes analysis of able-bodied movement showed that the hand and forearm segments moved in a more coordinated manner during initiation. The shoulder and elbow become more coordinated during movement completion. In impaired movement, this coordination between the hand and forearm is disrupted. Potentially mal-adaptive compensation occurs between the upper arm and forearm after movement enters the deceleration phase. The utilization of Procrustes analysis may be a step towards developing a comprehensive and universal quantitative tool that does not require changes to existing treatments or increase patient burden.","container-title":"2023 45th Annual International Conference of the IEEE Engineering in Medicine &amp; Biology Society (EMBC)","DOI":"10.1109/EMBC40787.2023.10341023","event-place":"Sydney, Australia","event-title":"2023 45th Annual International Conference of the IEEE Engineering in Medicine &amp; Biology Society (EMBC)","ISBN":"979-8-3503-2447-1","language":"en","license":"https://doi.org/10.15223/policy-029","page":"1-4","publisher":"IEEE","publisher-place":"Sydney, Australia","source":"DOI.org (Crossref)","title":"A Novel Procrustes Analysis Method to Quantify Multi-Joint Coordination of the Upper Extremity after Stroke","URL":"https://ieeexplore.ieee.org/document/10341023/","author":[{"family":"Zaidi","given":"Khadija F."},{"family":"Harris-Love","given":"Michelle"}],"accessed":{"date-parts":[["2025",6,19]]},"issued":{"date-parts":[["2023",7,24]]}}}],"schema":"https://github.com/citation-style-language/schema/raw/master/csl-citation.json"} </w:instrText>
      </w:r>
      <w:r w:rsidR="00691C9E" w:rsidRPr="00705831">
        <w:fldChar w:fldCharType="separate"/>
      </w:r>
      <w:r w:rsidR="00942AFE" w:rsidRPr="00705831">
        <w:rPr>
          <w:noProof/>
        </w:rPr>
        <w:t>(Gower &amp; Dijksterhuis, 2004; Zaidi &amp; Harris-Love, 2023)</w:t>
      </w:r>
      <w:r w:rsidR="00691C9E" w:rsidRPr="00705831">
        <w:fldChar w:fldCharType="end"/>
      </w:r>
      <w:r w:rsidR="00942AFE" w:rsidRPr="00705831">
        <w:t xml:space="preserve">. </w:t>
      </w:r>
      <w:r w:rsidRPr="003B35E0">
        <w:t xml:space="preserve">Although not commonly applied in neuroscience, recent examples have employed it for pattern recognition in kinematic analyses </w:t>
      </w:r>
      <w:r w:rsidR="000E7565" w:rsidRPr="00705831">
        <w:fldChar w:fldCharType="begin"/>
      </w:r>
      <w:r w:rsidR="000E7565" w:rsidRPr="00705831">
        <w:instrText xml:space="preserve"> ADDIN ZOTERO_ITEM CSL_CITATION {"citationID":"4Q7Cw4V7","properties":{"formattedCitation":"(Andreella et al., 2023; Zaidi &amp; Harris-Love, 2023)","plainCitation":"(Andreella et al., 2023; Zaidi &amp; Harris-Love, 2023)","noteIndex":0},"citationItems":[{"id":3893,"uris":["http://zotero.org/users/6001522/items/JC9SL65W"],"itemData":{"id":3893,"type":"article-journal","abstract":"The statistical shape analysis called Procrustes analysis minimizes the Frobenius distance between matrices by similarity transformations. The method returns a set of optimal orthogonal matrices, which project each matrix into a common space. This manuscript presents two types of distances derived from Procrustes analysis for exploring between-matrices similarity. The first one focuses on the residuals from the Procrustes analysis, i.e., the residual-based distance metric. In contrast, the second one exploits the fitted orthogonal matrices, i.e., the rotational-based distance metric. Thanks to these distances, similarity-based techniques such as the multidimensional scaling method can be applied to visualize and explore patterns and similarities among observations. The proposed distances result in being helpful in functional magnetic resonance imaging (fMRI) data analysis. The brain activation measured over space and time can be represented by a matrix. The proposed distances applied to a sample of subjects—i.e., matrices—revealed groups of individuals sharing patterns of neural brain activation. Finally, the proposed method is useful in several contexts when the aim is to analyze the similarity between highdimensional matrices affected by functional misalignment.","container-title":"Statistical Methods &amp; Applications","DOI":"10.1007/s10260-023-00689-y","ISSN":"1618-2510, 1613-981X","issue":"3","journalAbbreviation":"Stat Methods Appl","language":"en","license":"https://creativecommons.org/licenses/by/4.0","note":"publisher: Springer Science and Business Media LLC","page":"867-882","source":"Crossref","title":"Procrustes-based distances for exploring between-matrices similarity","volume":"32","author":[{"family":"Andreella","given":"Angela"},{"family":"De Santis","given":"Riccardo"},{"family":"Vesely","given":"Anna"},{"family":"Finos","given":"Livio"}],"issued":{"date-parts":[["2023",9]]}}},{"id":3857,"uris":["http://zotero.org/users/6001522/items/3YAKPLP3"],"itemData":{"id":3857,"type":"paper-conference","abstract":"Upper extremity motor impairment affects about 80% of persons after strokes. For stroke rehabilitation, upper limb kinematic assessments have increasingly been used as primary or secondary outcome measures. Studying the upper extremity provides a valuable tool for assessing limb coordination, mal-adaptations, and recovery. There is currently no universal standardized scale for categorizing multi-joint upper extremity movement. We propose a modiﬁed Procrustes statistical shape method as a quantitative analysis that can recognize segments of movement where multiple limb segments are coordinating movement. Generalized Procrustes methods allow data points to be compared across an array simultaneously rather than comparing them in pairs. Rather than rely solely on discrete kinematic values to contrast movement, this method allows evaluation of how movement progresses. The Procrustes analysis of able-bodied movement showed that the hand and forearm segments moved in a more coordinated manner during initiation. The shoulder and elbow become more coordinated during movement completion. In impaired movement, this coordination between the hand and forearm is disrupted. Potentially mal-adaptive compensation occurs between the upper arm and forearm after movement enters the deceleration phase. The utilization of Procrustes analysis may be a step towards developing a comprehensive and universal quantitative tool that does not require changes to existing treatments or increase patient burden.","container-title":"2023 45th Annual International Conference of the IEEE Engineering in Medicine &amp; Biology Society (EMBC)","DOI":"10.1109/EMBC40787.2023.10341023","event-place":"Sydney, Australia","event-title":"2023 45th Annual International Conference of the IEEE Engineering in Medicine &amp; Biology Society (EMBC)","ISBN":"979-8-3503-2447-1","language":"en","license":"https://doi.org/10.15223/policy-029","page":"1-4","publisher":"IEEE","publisher-place":"Sydney, Australia","source":"DOI.org (Crossref)","title":"A Novel Procrustes Analysis Method to Quantify Multi-Joint Coordination of the Upper Extremity after Stroke","URL":"https://ieeexplore.ieee.org/document/10341023/","author":[{"family":"Zaidi","given":"Khadija F."},{"family":"Harris-Love","given":"Michelle"}],"accessed":{"date-parts":[["2025",6,19]]},"issued":{"date-parts":[["2023",7,24]]}}}],"schema":"https://github.com/citation-style-language/schema/raw/master/csl-citation.json"} </w:instrText>
      </w:r>
      <w:r w:rsidR="000E7565" w:rsidRPr="00705831">
        <w:fldChar w:fldCharType="separate"/>
      </w:r>
      <w:r w:rsidR="000E7565" w:rsidRPr="00705831">
        <w:rPr>
          <w:noProof/>
        </w:rPr>
        <w:t>(Andreella et al., 2023; Zaidi &amp; Harris-Love, 2023)</w:t>
      </w:r>
      <w:r w:rsidR="000E7565" w:rsidRPr="00705831">
        <w:fldChar w:fldCharType="end"/>
      </w:r>
      <w:r w:rsidR="00942AFE" w:rsidRPr="00705831">
        <w:t>.</w:t>
      </w:r>
      <w:r w:rsidR="000E7565" w:rsidRPr="00705831">
        <w:t xml:space="preserve"> </w:t>
      </w:r>
      <w:r w:rsidR="003B35E0" w:rsidRPr="003B35E0">
        <w:t>In the present study, we adopted a simplified version of the method, which allows for translation and scaling (to account for</w:t>
      </w:r>
      <w:r w:rsidRPr="00705831">
        <w:t xml:space="preserve"> potential</w:t>
      </w:r>
      <w:r w:rsidR="003B35E0" w:rsidRPr="003B35E0">
        <w:t xml:space="preserve"> normali</w:t>
      </w:r>
      <w:r w:rsidRPr="00705831">
        <w:t>s</w:t>
      </w:r>
      <w:r w:rsidR="003B35E0" w:rsidRPr="003B35E0">
        <w:t>ation differen</w:t>
      </w:r>
      <w:r w:rsidRPr="00705831">
        <w:t>ces</w:t>
      </w:r>
      <w:r w:rsidR="003B35E0" w:rsidRPr="003B35E0">
        <w:t>), but not rotation, providing a robust means to assess structural dissimilarities in muscle synergy patterns.</w:t>
      </w:r>
    </w:p>
    <w:p w14:paraId="0988B536" w14:textId="3578307C" w:rsidR="00705831" w:rsidRPr="00705831" w:rsidRDefault="00705831" w:rsidP="00705831">
      <w:pPr>
        <w:tabs>
          <w:tab w:val="right" w:pos="8222"/>
        </w:tabs>
        <w:spacing w:after="0" w:line="480" w:lineRule="auto"/>
        <w:ind w:firstLine="425"/>
        <w:jc w:val="both"/>
        <w:rPr>
          <w:color w:val="000000" w:themeColor="text1"/>
        </w:rPr>
      </w:pPr>
      <w:r w:rsidRPr="00705831">
        <w:rPr>
          <w:color w:val="000000" w:themeColor="text1"/>
        </w:rPr>
        <w:t xml:space="preserve">Given its novelty, we compared the results to a more established similarity index, namely cosine similarity. </w:t>
      </w:r>
      <w:r w:rsidR="00942AFE" w:rsidRPr="00705831">
        <w:t xml:space="preserve">The latter </w:t>
      </w:r>
      <w:r w:rsidR="00942AFE" w:rsidRPr="00705831">
        <w:rPr>
          <w:color w:val="000000" w:themeColor="text1"/>
        </w:rPr>
        <w:t xml:space="preserve">uses the best-matching scalar product of the temporal patterns and basic activation coefficients normalised to the Euclidean norm </w:t>
      </w:r>
      <w:r w:rsidR="00942AFE" w:rsidRPr="00705831">
        <w:rPr>
          <w:color w:val="000000" w:themeColor="text1"/>
        </w:rPr>
        <w:fldChar w:fldCharType="begin"/>
      </w:r>
      <w:r w:rsidR="00942AFE" w:rsidRPr="00705831">
        <w:rPr>
          <w:color w:val="000000" w:themeColor="text1"/>
        </w:rPr>
        <w:instrText xml:space="preserve"> ADDIN ZOTERO_ITEM CSL_CITATION {"citationID":"crKGnOCF","properties":{"formattedCitation":"(Cheung et al., 2005; Martino et al., 2015)","plainCitation":"(Cheung et al., 2005; Martino et al., 2015)","noteIndex":0},"citationItems":[{"id":2690,"uris":["http://zotero.org/users/6001522/items/FVKLD3D9"],"itemData":{"id":2690,"type":"article-journal","abstract":"Previous studies have suggested that the motor system may simplify control by combining a small number of muscle synergies represented as activation profiles across a set of muscles. The role of sensory feedback in the activation and organization of synergies has remained an open question. Here, we assess to what extent the motor system relies on centrally organized synergies activated by spinal and/or supraspinal commands to generate motor outputs by analyzing electromyographic (EMG) signals collected from 13 hindlimb muscles of the bullfrog during swimming and jumping, before and after deafferentation. We first established that, for both behaviors, the intact and deafferented data sets possess low and similar dimensionalities. Subsequently, we used a novel reformulation of the non-negative matrix factorization algorithm to simultaneously search for synergies shared by, and synergies specific to, the intact and deafferented data sets. Most muscle synergies were identified as shared synergies, suggesting that EMGs of locomotor behaviors are generated primarily by centrally organized synergies. Both the amplitude and temporal patterns of the activation coefficients of most shared synergies, however, were altered by deafferentation, suggesting that sensory inflow modulates activation of those centrally organized synergies. For most synergies, effects of deafferentation on the activation coefficients were not consistent across frogs, indicating substantial interanimal variability of feedback actions. We speculate that sensory feedback might adapt recruitment of muscle synergies to behavioral constraints, and the few synergies specific to the intact or deafferented states might represent afferent-specific modules or feedback reorganization of spinal neuronal networks.","container-title":"The Journal of Neuroscience","DOI":"10.1523/JNEUROSCI.4904-04.2005","ISSN":"0270-6474, 1529-2401","issue":"27","journalAbbreviation":"J. Neurosci.","language":"en","license":"https://creativecommons.org/licenses/by-nc-sa/4.0/","page":"6419-6434","source":"DOI.org (Crossref)","title":"Central and Sensory Contributions to the Activation and Organization of Muscle Synergies during Natural Motor Behaviors","volume":"25","author":[{"family":"Cheung","given":"Vincent C. K."},{"family":"Avella","given":"Andrea","non-dropping-particle":"d'"},{"family":"Tresch","given":"Matthew C."},{"family":"Bizzi","given":"Emilio"}],"issued":{"date-parts":[["2005",7,6]]}}},{"id":3895,"uris":["http://zotero.org/users/6001522/items/S7MMNQ3B"],"itemData":{"id":3895,"type":"article-journal","abstract":"A compact description of coordinated muscle activity is provided by the factorization of electromyographic (EMG) signals. With the use of this approach, it has consistently been shown that multimuscle activity during human locomotion can be accounted for by four to five modules, each one comprised of a basic pattern timed at a different phase of gait cycle and the weighting coefficients of synergistic muscle activations. These modules are flexible, in so far as the timing of patterns and the amplitude of weightings can change as a function of gait speed and mode. Here we consider the adjustments of the locomotor modules related to unstable walking conditions. We compared three different conditions, i.e., locomotion of healthy subjects on slippery ground (SL) and on narrow beam (NB) and of cerebellar ataxic (CA) patients on normal ground. Motor modules were computed from the EMG signals of 12 muscles of the right lower limb using non-negative matrix factorization. The unstable gait of SL, NB, and CA showed significant changes compared with controls in the stride length, stride width, range of angular motion, and trunk oscillations. In most subjects of all three unstable conditions, &gt;70% of the overall variation of EMG waveforms was accounted for by four modules that were characterized by a widening of muscle activity patterns. This suggests that the nervous system adopts the strategy of prolonging the duration of basic muscle activity patterns to cope with unstable conditions resulting from either slippery ground, reduced support surface, or pathology.","container-title":"Journal of Neurophysiology","DOI":"10.1152/jn.00029.2015","ISSN":"0022-3077, 1522-1598","issue":"5","language":"en","note":"publisher: American Physiological Society","page":"2867-2882","source":"Crossref","title":"Neuromuscular adjustments of gait associated with unstable conditions","volume":"114","author":[{"family":"Martino","given":"G."},{"family":"Ivanenko","given":"Y. P."},{"family":"Avella","given":"A.","non-dropping-particle":"d'"},{"family":"Serrao","given":"M."},{"family":"Ranavolo","given":"A."},{"family":"Draicchio","given":"F."},{"family":"Cappellini","given":"G."},{"family":"Casali","given":"C."},{"family":"Lacquaniti","given":"F."}],"issued":{"date-parts":[["2015",11,1]]}}}],"schema":"https://github.com/citation-style-language/schema/raw/master/csl-citation.json"} </w:instrText>
      </w:r>
      <w:r w:rsidR="00942AFE" w:rsidRPr="00705831">
        <w:rPr>
          <w:color w:val="000000" w:themeColor="text1"/>
        </w:rPr>
        <w:fldChar w:fldCharType="separate"/>
      </w:r>
      <w:r w:rsidR="00942AFE" w:rsidRPr="00705831">
        <w:rPr>
          <w:noProof/>
          <w:color w:val="000000" w:themeColor="text1"/>
        </w:rPr>
        <w:t>(Cheung et al., 2005; Martino et al., 2015)</w:t>
      </w:r>
      <w:r w:rsidR="00942AFE" w:rsidRPr="00705831">
        <w:rPr>
          <w:color w:val="000000" w:themeColor="text1"/>
        </w:rPr>
        <w:fldChar w:fldCharType="end"/>
      </w:r>
      <w:r w:rsidR="00942AFE" w:rsidRPr="00705831">
        <w:rPr>
          <w:color w:val="000000" w:themeColor="text1"/>
        </w:rPr>
        <w:t xml:space="preserve">. Briefly, each spatial coefficient (muscle weighting vector, </w:t>
      </w:r>
      <w:r w:rsidR="00942AFE" w:rsidRPr="00705831">
        <w:rPr>
          <w:i/>
          <w:iCs/>
          <w:color w:val="000000" w:themeColor="text1"/>
        </w:rPr>
        <w:t>C</w:t>
      </w:r>
      <w:r w:rsidR="00942AFE" w:rsidRPr="00705831">
        <w:rPr>
          <w:color w:val="000000" w:themeColor="text1"/>
        </w:rPr>
        <w:t>) was normalised to unit Euclidean norm to account for differences in absolute magnitude, ensuring that the index reflected only the relative distribution of muscle contributions. Cosine similarity was then computed as the normalised scalar product between vectors, yielding values between 0 (orthogonal, no similarity) and 1 (identical vectors). Temporal activation patterns (</w:t>
      </w:r>
      <w:r w:rsidR="00942AFE" w:rsidRPr="00705831">
        <w:rPr>
          <w:i/>
          <w:iCs/>
          <w:color w:val="000000" w:themeColor="text1"/>
        </w:rPr>
        <w:t>P</w:t>
      </w:r>
      <w:r w:rsidR="00942AFE" w:rsidRPr="00705831">
        <w:rPr>
          <w:color w:val="000000" w:themeColor="text1"/>
        </w:rPr>
        <w:t xml:space="preserve">) were compared in the same way, but without normalisation, </w:t>
      </w:r>
      <w:proofErr w:type="gramStart"/>
      <w:r w:rsidR="00942AFE" w:rsidRPr="00705831">
        <w:rPr>
          <w:color w:val="000000" w:themeColor="text1"/>
        </w:rPr>
        <w:t>in order to</w:t>
      </w:r>
      <w:proofErr w:type="gramEnd"/>
      <w:r w:rsidR="00942AFE" w:rsidRPr="00705831">
        <w:rPr>
          <w:color w:val="000000" w:themeColor="text1"/>
        </w:rPr>
        <w:t xml:space="preserve"> preserve amplitude differences related to recruitment intensity.</w:t>
      </w:r>
    </w:p>
    <w:p w14:paraId="003A935E" w14:textId="7013D604" w:rsidR="00CB490F" w:rsidRPr="00705831" w:rsidRDefault="00CB490F" w:rsidP="00CB490F">
      <w:pPr>
        <w:tabs>
          <w:tab w:val="right" w:pos="8222"/>
        </w:tabs>
        <w:spacing w:after="0" w:line="480" w:lineRule="auto"/>
        <w:ind w:firstLine="425"/>
        <w:jc w:val="both"/>
        <w:rPr>
          <w:color w:val="000000" w:themeColor="text1"/>
        </w:rPr>
      </w:pPr>
      <w:r w:rsidRPr="00705831">
        <w:rPr>
          <w:color w:val="000000" w:themeColor="text1"/>
        </w:rPr>
        <w:lastRenderedPageBreak/>
        <w:t xml:space="preserve">Results from the cosine similarity were globally </w:t>
      </w:r>
      <w:proofErr w:type="gramStart"/>
      <w:r w:rsidRPr="00705831">
        <w:rPr>
          <w:color w:val="000000" w:themeColor="text1"/>
        </w:rPr>
        <w:t>similar to</w:t>
      </w:r>
      <w:proofErr w:type="gramEnd"/>
      <w:r w:rsidRPr="00705831">
        <w:rPr>
          <w:color w:val="000000" w:themeColor="text1"/>
        </w:rPr>
        <w:t xml:space="preserve"> Procrustes. The only statistically significant difference observed was a lack of observable curve effect for the third synergy’s spatial pattern (F = 2.1, p = 0.144). Other than this, all other effects observed in the first analysis were observed in the second.</w:t>
      </w:r>
    </w:p>
    <w:p w14:paraId="3F3E7DBB" w14:textId="0445DAEE" w:rsidR="00CB490F" w:rsidRPr="00705831" w:rsidRDefault="00CB490F" w:rsidP="006F3053">
      <w:pPr>
        <w:tabs>
          <w:tab w:val="right" w:pos="8222"/>
        </w:tabs>
        <w:spacing w:after="0" w:line="480" w:lineRule="auto"/>
        <w:ind w:left="-426"/>
        <w:jc w:val="center"/>
      </w:pPr>
      <w:r w:rsidRPr="00705831">
        <w:rPr>
          <w:noProof/>
        </w:rPr>
        <w:drawing>
          <wp:inline distT="0" distB="0" distL="0" distR="0" wp14:anchorId="06EC9FFA" wp14:editId="749F9C6E">
            <wp:extent cx="5505479" cy="2650877"/>
            <wp:effectExtent l="0" t="0" r="0" b="0"/>
            <wp:docPr id="122908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81522" name=""/>
                    <pic:cNvPicPr/>
                  </pic:nvPicPr>
                  <pic:blipFill>
                    <a:blip r:embed="rId4"/>
                    <a:stretch>
                      <a:fillRect/>
                    </a:stretch>
                  </pic:blipFill>
                  <pic:spPr>
                    <a:xfrm>
                      <a:off x="0" y="0"/>
                      <a:ext cx="5510121" cy="2653112"/>
                    </a:xfrm>
                    <a:prstGeom prst="rect">
                      <a:avLst/>
                    </a:prstGeom>
                  </pic:spPr>
                </pic:pic>
              </a:graphicData>
            </a:graphic>
          </wp:inline>
        </w:drawing>
      </w:r>
    </w:p>
    <w:p w14:paraId="32E77459" w14:textId="5A6AE215" w:rsidR="00151237" w:rsidRDefault="00CB490F" w:rsidP="00CB490F">
      <w:pPr>
        <w:tabs>
          <w:tab w:val="left" w:pos="6440"/>
        </w:tabs>
        <w:jc w:val="both"/>
      </w:pPr>
      <w:r w:rsidRPr="00705831">
        <w:rPr>
          <w:b/>
          <w:bCs/>
        </w:rPr>
        <w:t>Figure S1</w:t>
      </w:r>
      <w:r w:rsidR="00B40106">
        <w:rPr>
          <w:b/>
          <w:bCs/>
        </w:rPr>
        <w:t>)</w:t>
      </w:r>
      <w:r w:rsidRPr="00705831">
        <w:t xml:space="preserve"> Cosine similarity analysis (mean ± SD) between the outer and inner limbs in curved running and between left and right limbs when running in a straight line. The lines are non-linear second order fits run on all the data (done on Graph Prism 10). Curved running is represented in colour and SLR in black. # represents an effect of radius, $ an effect of speed</w:t>
      </w:r>
      <w:r w:rsidR="006B122D">
        <w:t xml:space="preserve">: </w:t>
      </w:r>
      <w:r w:rsidRPr="00705831">
        <w:t>p &lt; 0.05</w:t>
      </w:r>
      <w:r w:rsidR="006B122D">
        <w:t>.</w:t>
      </w:r>
    </w:p>
    <w:p w14:paraId="39AABDF4" w14:textId="0FE3DA57" w:rsidR="00151237" w:rsidRDefault="00151237" w:rsidP="00B40106">
      <w:pPr>
        <w:pStyle w:val="Heading2"/>
        <w:spacing w:before="240" w:after="0"/>
        <w:ind w:left="11" w:firstLine="414"/>
      </w:pPr>
      <w:r>
        <w:t xml:space="preserve">Regression </w:t>
      </w:r>
      <w:r w:rsidR="006F3053">
        <w:t>curves for phase relationships</w:t>
      </w:r>
    </w:p>
    <w:p w14:paraId="1DB745A6" w14:textId="575C5E70" w:rsidR="006F3053" w:rsidRDefault="00922452" w:rsidP="00922452">
      <w:pPr>
        <w:ind w:left="-567"/>
        <w:jc w:val="center"/>
      </w:pPr>
      <w:r w:rsidRPr="00922452">
        <w:drawing>
          <wp:inline distT="0" distB="0" distL="0" distR="0" wp14:anchorId="0D9FD0FF" wp14:editId="0D7F32F4">
            <wp:extent cx="6486965" cy="2003729"/>
            <wp:effectExtent l="0" t="0" r="0" b="0"/>
            <wp:docPr id="1744325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25373" name=""/>
                    <pic:cNvPicPr/>
                  </pic:nvPicPr>
                  <pic:blipFill>
                    <a:blip r:embed="rId5"/>
                    <a:stretch>
                      <a:fillRect/>
                    </a:stretch>
                  </pic:blipFill>
                  <pic:spPr>
                    <a:xfrm>
                      <a:off x="0" y="0"/>
                      <a:ext cx="6495121" cy="2006248"/>
                    </a:xfrm>
                    <a:prstGeom prst="rect">
                      <a:avLst/>
                    </a:prstGeom>
                  </pic:spPr>
                </pic:pic>
              </a:graphicData>
            </a:graphic>
          </wp:inline>
        </w:drawing>
      </w:r>
    </w:p>
    <w:p w14:paraId="20D12FDA" w14:textId="1D162CB5" w:rsidR="006F3053" w:rsidRPr="00B40106" w:rsidRDefault="00B40106" w:rsidP="00B40106">
      <w:r>
        <w:rPr>
          <w:b/>
          <w:bCs/>
        </w:rPr>
        <w:t xml:space="preserve">Figure S2) </w:t>
      </w:r>
      <w:r>
        <w:t xml:space="preserve">Relationship between </w:t>
      </w:r>
      <w:r>
        <w:rPr>
          <w:i/>
          <w:iCs/>
        </w:rPr>
        <w:t>u</w:t>
      </w:r>
      <w:r>
        <w:rPr>
          <w:vertAlign w:val="subscript"/>
        </w:rPr>
        <w:t>1</w:t>
      </w:r>
      <w:r>
        <w:rPr>
          <w:i/>
          <w:iCs/>
        </w:rPr>
        <w:t xml:space="preserve">t </w:t>
      </w:r>
      <w:r>
        <w:t xml:space="preserve">(Panel A), </w:t>
      </w:r>
      <w:r>
        <w:rPr>
          <w:i/>
          <w:iCs/>
        </w:rPr>
        <w:t>u</w:t>
      </w:r>
      <w:r>
        <w:rPr>
          <w:vertAlign w:val="subscript"/>
        </w:rPr>
        <w:t>2</w:t>
      </w:r>
      <w:r w:rsidR="00922452">
        <w:rPr>
          <w:i/>
          <w:iCs/>
        </w:rPr>
        <w:t>t</w:t>
      </w:r>
      <w:r>
        <w:rPr>
          <w:i/>
          <w:iCs/>
        </w:rPr>
        <w:t xml:space="preserve"> </w:t>
      </w:r>
      <w:r>
        <w:t>(Panel B) and the phase thigh-shank phase difference for the inner and outer limb in curved running (respectively red and blue) and right limb in SLR. Linear regression curves and variance explained, R</w:t>
      </w:r>
      <w:r>
        <w:rPr>
          <w:vertAlign w:val="superscript"/>
        </w:rPr>
        <w:t>2</w:t>
      </w:r>
      <w:r>
        <w:t xml:space="preserve"> by each linear regression.</w:t>
      </w:r>
    </w:p>
    <w:sectPr w:rsidR="006F3053" w:rsidRPr="00B40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65"/>
    <w:rsid w:val="000E7565"/>
    <w:rsid w:val="00151237"/>
    <w:rsid w:val="00262C68"/>
    <w:rsid w:val="003B35E0"/>
    <w:rsid w:val="00691C9E"/>
    <w:rsid w:val="006B122D"/>
    <w:rsid w:val="006F3053"/>
    <w:rsid w:val="00705831"/>
    <w:rsid w:val="00827619"/>
    <w:rsid w:val="00922452"/>
    <w:rsid w:val="00942AFE"/>
    <w:rsid w:val="00AD3100"/>
    <w:rsid w:val="00B40106"/>
    <w:rsid w:val="00CB490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218A858"/>
  <w15:chartTrackingRefBased/>
  <w15:docId w15:val="{661BC000-BAE2-484B-AF5D-BEBEE204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65"/>
    <w:rPr>
      <w:rFonts w:ascii="Times New Roman" w:eastAsia="Cambria" w:hAnsi="Times New Roman" w:cs="Times New Roman"/>
      <w:color w:val="000000"/>
      <w:kern w:val="0"/>
      <w:lang w:val="en-GB" w:eastAsia="en-GB"/>
      <w14:ligatures w14:val="none"/>
    </w:rPr>
  </w:style>
  <w:style w:type="paragraph" w:styleId="Heading1">
    <w:name w:val="heading 1"/>
    <w:basedOn w:val="Normal"/>
    <w:next w:val="Normal"/>
    <w:link w:val="Heading1Char"/>
    <w:uiPriority w:val="9"/>
    <w:qFormat/>
    <w:rsid w:val="000E7565"/>
    <w:pPr>
      <w:keepNext/>
      <w:keepLines/>
      <w:tabs>
        <w:tab w:val="left" w:pos="5419"/>
      </w:tabs>
      <w:spacing w:before="240" w:after="120" w:line="480" w:lineRule="auto"/>
      <w:ind w:left="10" w:right="289" w:firstLine="416"/>
      <w:jc w:val="both"/>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0E7565"/>
    <w:pPr>
      <w:keepNext/>
      <w:keepLines/>
      <w:tabs>
        <w:tab w:val="center" w:pos="3969"/>
        <w:tab w:val="center" w:pos="6521"/>
      </w:tabs>
      <w:spacing w:before="160" w:after="80" w:line="480" w:lineRule="auto"/>
      <w:ind w:left="10" w:right="289" w:firstLine="416"/>
      <w:jc w:val="both"/>
      <w:outlineLvl w:val="1"/>
    </w:pPr>
    <w:rPr>
      <w:rFonts w:eastAsiaTheme="majorEastAsia"/>
      <w:b/>
      <w:bCs/>
      <w:color w:val="auto"/>
    </w:rPr>
  </w:style>
  <w:style w:type="paragraph" w:styleId="Heading3">
    <w:name w:val="heading 3"/>
    <w:basedOn w:val="Normal"/>
    <w:next w:val="Normal"/>
    <w:link w:val="Heading3Char"/>
    <w:uiPriority w:val="9"/>
    <w:semiHidden/>
    <w:unhideWhenUsed/>
    <w:qFormat/>
    <w:rsid w:val="000E7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65"/>
    <w:rPr>
      <w:rFonts w:ascii="Times New Roman" w:eastAsiaTheme="majorEastAsia" w:hAnsi="Times New Roman" w:cs="Times New Roman"/>
      <w:b/>
      <w:bCs/>
      <w:color w:val="000000" w:themeColor="text1"/>
      <w:kern w:val="0"/>
      <w:sz w:val="32"/>
      <w:szCs w:val="32"/>
      <w:lang w:val="en-GB" w:eastAsia="en-GB"/>
      <w14:ligatures w14:val="none"/>
    </w:rPr>
  </w:style>
  <w:style w:type="character" w:customStyle="1" w:styleId="Heading2Char">
    <w:name w:val="Heading 2 Char"/>
    <w:basedOn w:val="DefaultParagraphFont"/>
    <w:link w:val="Heading2"/>
    <w:uiPriority w:val="9"/>
    <w:rsid w:val="000E7565"/>
    <w:rPr>
      <w:rFonts w:ascii="Times New Roman" w:eastAsiaTheme="majorEastAsia" w:hAnsi="Times New Roman" w:cs="Times New Roman"/>
      <w:b/>
      <w:bCs/>
      <w:kern w:val="0"/>
      <w:lang w:val="en-GB" w:eastAsia="en-GB"/>
      <w14:ligatures w14:val="none"/>
    </w:rPr>
  </w:style>
  <w:style w:type="character" w:customStyle="1" w:styleId="Heading3Char">
    <w:name w:val="Heading 3 Char"/>
    <w:basedOn w:val="DefaultParagraphFont"/>
    <w:link w:val="Heading3"/>
    <w:uiPriority w:val="9"/>
    <w:semiHidden/>
    <w:rsid w:val="000E7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565"/>
    <w:rPr>
      <w:rFonts w:eastAsiaTheme="majorEastAsia" w:cstheme="majorBidi"/>
      <w:color w:val="272727" w:themeColor="text1" w:themeTint="D8"/>
    </w:rPr>
  </w:style>
  <w:style w:type="paragraph" w:styleId="Title">
    <w:name w:val="Title"/>
    <w:basedOn w:val="Normal"/>
    <w:next w:val="Normal"/>
    <w:link w:val="TitleChar"/>
    <w:uiPriority w:val="10"/>
    <w:qFormat/>
    <w:rsid w:val="000E7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565"/>
    <w:pPr>
      <w:spacing w:before="160"/>
      <w:jc w:val="center"/>
    </w:pPr>
    <w:rPr>
      <w:i/>
      <w:iCs/>
      <w:color w:val="404040" w:themeColor="text1" w:themeTint="BF"/>
    </w:rPr>
  </w:style>
  <w:style w:type="character" w:customStyle="1" w:styleId="QuoteChar">
    <w:name w:val="Quote Char"/>
    <w:basedOn w:val="DefaultParagraphFont"/>
    <w:link w:val="Quote"/>
    <w:uiPriority w:val="29"/>
    <w:rsid w:val="000E7565"/>
    <w:rPr>
      <w:i/>
      <w:iCs/>
      <w:color w:val="404040" w:themeColor="text1" w:themeTint="BF"/>
    </w:rPr>
  </w:style>
  <w:style w:type="paragraph" w:styleId="ListParagraph">
    <w:name w:val="List Paragraph"/>
    <w:basedOn w:val="Normal"/>
    <w:uiPriority w:val="34"/>
    <w:qFormat/>
    <w:rsid w:val="000E7565"/>
    <w:pPr>
      <w:ind w:left="720"/>
      <w:contextualSpacing/>
    </w:pPr>
  </w:style>
  <w:style w:type="character" w:styleId="IntenseEmphasis">
    <w:name w:val="Intense Emphasis"/>
    <w:basedOn w:val="DefaultParagraphFont"/>
    <w:uiPriority w:val="21"/>
    <w:qFormat/>
    <w:rsid w:val="000E7565"/>
    <w:rPr>
      <w:i/>
      <w:iCs/>
      <w:color w:val="0F4761" w:themeColor="accent1" w:themeShade="BF"/>
    </w:rPr>
  </w:style>
  <w:style w:type="paragraph" w:styleId="IntenseQuote">
    <w:name w:val="Intense Quote"/>
    <w:basedOn w:val="Normal"/>
    <w:next w:val="Normal"/>
    <w:link w:val="IntenseQuoteChar"/>
    <w:uiPriority w:val="30"/>
    <w:qFormat/>
    <w:rsid w:val="000E7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565"/>
    <w:rPr>
      <w:i/>
      <w:iCs/>
      <w:color w:val="0F4761" w:themeColor="accent1" w:themeShade="BF"/>
    </w:rPr>
  </w:style>
  <w:style w:type="character" w:styleId="IntenseReference">
    <w:name w:val="Intense Reference"/>
    <w:basedOn w:val="DefaultParagraphFont"/>
    <w:uiPriority w:val="32"/>
    <w:qFormat/>
    <w:rsid w:val="000E7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mesquita</dc:creator>
  <cp:keywords/>
  <dc:description/>
  <cp:lastModifiedBy>Raphael Da Rosa Macedo Mesquita</cp:lastModifiedBy>
  <cp:revision>7</cp:revision>
  <dcterms:created xsi:type="dcterms:W3CDTF">2025-09-06T03:17:00Z</dcterms:created>
  <dcterms:modified xsi:type="dcterms:W3CDTF">2025-10-16T14:15:00Z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id="pUhnTVNL"/&gt;&lt;style id="http://www.zotero.org/styles/apa" locale="en-GB"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