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51117" w:rsidRPr="00345641" w:rsidRDefault="00977A79" w:rsidP="00551117">
      <w:pPr>
        <w:spacing w:after="0" w:line="480" w:lineRule="auto"/>
        <w:rPr>
          <w:b/>
          <w:bCs/>
        </w:rPr>
      </w:pPr>
      <w:r w:rsidRPr="004235C3">
        <w:rPr>
          <w:b/>
          <w:bCs/>
        </w:rPr>
        <w:t xml:space="preserve">Temporal Trends and Prognostic Factors in </w:t>
      </w:r>
      <w:r>
        <w:rPr>
          <w:b/>
          <w:bCs/>
        </w:rPr>
        <w:t xml:space="preserve">Critically Ill Adult Patients with </w:t>
      </w:r>
      <w:r w:rsidRPr="004235C3">
        <w:rPr>
          <w:b/>
          <w:bCs/>
        </w:rPr>
        <w:t>Acute Leukemia: An Individual Participant Data Meta-Analysis</w:t>
      </w:r>
      <w:r>
        <w:rPr>
          <w:b/>
          <w:bCs/>
        </w:rPr>
        <w:t xml:space="preserve"> </w:t>
      </w:r>
      <w:r w:rsidR="00551117" w:rsidRPr="00345641">
        <w:rPr>
          <w:b/>
          <w:bCs/>
        </w:rPr>
        <w:t>– Supplementary material</w:t>
      </w:r>
    </w:p>
    <w:p w:rsidR="00551117" w:rsidRPr="00345641" w:rsidRDefault="00551117" w:rsidP="00551117">
      <w:pPr>
        <w:spacing w:after="0" w:line="480" w:lineRule="auto"/>
      </w:pPr>
      <w:r w:rsidRPr="00345641">
        <w:t>Dara Chean</w:t>
      </w:r>
      <w:r w:rsidRPr="00345641">
        <w:rPr>
          <w:vertAlign w:val="superscript"/>
        </w:rPr>
        <w:t>1,2</w:t>
      </w:r>
      <w:r w:rsidRPr="00345641">
        <w:t>, Thibault Dupont</w:t>
      </w:r>
      <w:r w:rsidRPr="00345641">
        <w:rPr>
          <w:vertAlign w:val="superscript"/>
        </w:rPr>
        <w:t>1</w:t>
      </w:r>
      <w:r w:rsidRPr="00345641">
        <w:t>, Joseph L Nates</w:t>
      </w:r>
      <w:r w:rsidRPr="00345641">
        <w:rPr>
          <w:vertAlign w:val="superscript"/>
        </w:rPr>
        <w:t>3</w:t>
      </w:r>
      <w:r w:rsidRPr="00345641">
        <w:t>, Nirmala K Manjappachar</w:t>
      </w:r>
      <w:r w:rsidRPr="00345641">
        <w:rPr>
          <w:vertAlign w:val="superscript"/>
        </w:rPr>
        <w:t>3</w:t>
      </w:r>
      <w:r w:rsidRPr="00345641">
        <w:t>, Marijana Medic</w:t>
      </w:r>
      <w:r w:rsidRPr="00345641">
        <w:rPr>
          <w:vertAlign w:val="superscript"/>
        </w:rPr>
        <w:t>4</w:t>
      </w:r>
      <w:r w:rsidRPr="00345641">
        <w:t>, Gulbin Aygencel</w:t>
      </w:r>
      <w:r w:rsidRPr="00345641">
        <w:rPr>
          <w:vertAlign w:val="superscript"/>
        </w:rPr>
        <w:t>5</w:t>
      </w:r>
      <w:r w:rsidRPr="00345641">
        <w:t>, Corentin Orvain</w:t>
      </w:r>
      <w:r w:rsidRPr="00345641">
        <w:rPr>
          <w:vertAlign w:val="superscript"/>
        </w:rPr>
        <w:t>6</w:t>
      </w:r>
      <w:r w:rsidRPr="00345641">
        <w:t>, Achille Kouatchet</w:t>
      </w:r>
      <w:r w:rsidRPr="00345641">
        <w:rPr>
          <w:vertAlign w:val="superscript"/>
        </w:rPr>
        <w:t>7</w:t>
      </w:r>
      <w:r w:rsidRPr="00345641">
        <w:t>, Ajay Sheshadri</w:t>
      </w:r>
      <w:r w:rsidRPr="00345641">
        <w:rPr>
          <w:vertAlign w:val="superscript"/>
        </w:rPr>
        <w:t>8</w:t>
      </w:r>
      <w:r w:rsidRPr="00345641">
        <w:t xml:space="preserve">, </w:t>
      </w:r>
      <w:proofErr w:type="spellStart"/>
      <w:r w:rsidRPr="00345641">
        <w:t>Tasmea</w:t>
      </w:r>
      <w:proofErr w:type="spellEnd"/>
      <w:r w:rsidRPr="00345641">
        <w:t xml:space="preserve"> K Haque</w:t>
      </w:r>
      <w:r w:rsidRPr="00345641">
        <w:rPr>
          <w:vertAlign w:val="superscript"/>
        </w:rPr>
        <w:t>8</w:t>
      </w:r>
      <w:r w:rsidRPr="00345641">
        <w:t>, Lene Russell</w:t>
      </w:r>
      <w:r w:rsidRPr="00345641">
        <w:rPr>
          <w:vertAlign w:val="superscript"/>
        </w:rPr>
        <w:t>9</w:t>
      </w:r>
      <w:r w:rsidRPr="00345641">
        <w:t>, Thomas Pabst</w:t>
      </w:r>
      <w:r w:rsidRPr="00345641">
        <w:rPr>
          <w:vertAlign w:val="superscript"/>
        </w:rPr>
        <w:t>10</w:t>
      </w:r>
      <w:r w:rsidRPr="00345641">
        <w:t>, Melda Turkoglu</w:t>
      </w:r>
      <w:r w:rsidRPr="00345641">
        <w:rPr>
          <w:vertAlign w:val="superscript"/>
        </w:rPr>
        <w:t>5</w:t>
      </w:r>
      <w:r w:rsidRPr="00345641">
        <w:t>, Marlies Ostermann</w:t>
      </w:r>
      <w:r w:rsidRPr="00345641">
        <w:rPr>
          <w:vertAlign w:val="superscript"/>
        </w:rPr>
        <w:t>11</w:t>
      </w:r>
      <w:r w:rsidRPr="00345641">
        <w:t>, Marcio Soares</w:t>
      </w:r>
      <w:r w:rsidRPr="00345641">
        <w:rPr>
          <w:vertAlign w:val="superscript"/>
        </w:rPr>
        <w:t>12</w:t>
      </w:r>
      <w:r w:rsidRPr="00345641">
        <w:t>, Tugba Cetintepe</w:t>
      </w:r>
      <w:r w:rsidRPr="00345641">
        <w:rPr>
          <w:vertAlign w:val="superscript"/>
        </w:rPr>
        <w:t>13</w:t>
      </w:r>
      <w:r w:rsidRPr="00345641">
        <w:t>, Rena Buckstein</w:t>
      </w:r>
      <w:r w:rsidRPr="00345641">
        <w:rPr>
          <w:vertAlign w:val="superscript"/>
        </w:rPr>
        <w:t>14</w:t>
      </w:r>
      <w:r w:rsidRPr="00345641">
        <w:t>, Nahema Issa</w:t>
      </w:r>
      <w:r w:rsidRPr="00345641">
        <w:rPr>
          <w:vertAlign w:val="superscript"/>
        </w:rPr>
        <w:t>15</w:t>
      </w:r>
      <w:r w:rsidRPr="00345641">
        <w:t>, Djamel Mokart</w:t>
      </w:r>
      <w:r w:rsidRPr="00345641">
        <w:rPr>
          <w:vertAlign w:val="superscript"/>
        </w:rPr>
        <w:t>16</w:t>
      </w:r>
      <w:r w:rsidRPr="00345641">
        <w:t>, Pedro Caruso</w:t>
      </w:r>
      <w:r w:rsidRPr="00345641">
        <w:rPr>
          <w:vertAlign w:val="superscript"/>
        </w:rPr>
        <w:t>17</w:t>
      </w:r>
      <w:r w:rsidRPr="00345641">
        <w:t>, Patricia Cornejo-Juarez</w:t>
      </w:r>
      <w:r w:rsidRPr="00345641">
        <w:rPr>
          <w:vertAlign w:val="superscript"/>
        </w:rPr>
        <w:t>18</w:t>
      </w:r>
      <w:r w:rsidRPr="00345641">
        <w:t>, David Schnell</w:t>
      </w:r>
      <w:r w:rsidRPr="00345641">
        <w:rPr>
          <w:vertAlign w:val="superscript"/>
        </w:rPr>
        <w:t>19</w:t>
      </w:r>
      <w:r w:rsidRPr="00345641">
        <w:t>, Tobias Lahmer</w:t>
      </w:r>
      <w:r w:rsidRPr="00345641">
        <w:rPr>
          <w:vertAlign w:val="superscript"/>
        </w:rPr>
        <w:t>20</w:t>
      </w:r>
      <w:r w:rsidRPr="00345641">
        <w:t>, Sofiane Fodil</w:t>
      </w:r>
      <w:r w:rsidRPr="00345641">
        <w:rPr>
          <w:vertAlign w:val="superscript"/>
        </w:rPr>
        <w:t>21</w:t>
      </w:r>
      <w:r w:rsidRPr="00345641">
        <w:t>, Etienne Lengliné</w:t>
      </w:r>
      <w:r w:rsidRPr="00345641">
        <w:rPr>
          <w:vertAlign w:val="superscript"/>
        </w:rPr>
        <w:t>21</w:t>
      </w:r>
      <w:r w:rsidRPr="00345641">
        <w:t xml:space="preserve">, </w:t>
      </w:r>
      <w:r w:rsidR="004E36E1" w:rsidRPr="00345641">
        <w:t>David Luque-Paz</w:t>
      </w:r>
      <w:r w:rsidR="004E36E1" w:rsidRPr="00345641">
        <w:rPr>
          <w:vertAlign w:val="superscript"/>
        </w:rPr>
        <w:t>22</w:t>
      </w:r>
      <w:r w:rsidR="004E36E1" w:rsidRPr="00345641">
        <w:t xml:space="preserve">, </w:t>
      </w:r>
      <w:r w:rsidRPr="00345641">
        <w:t>Virginie Lemiale</w:t>
      </w:r>
      <w:r w:rsidRPr="00345641">
        <w:rPr>
          <w:vertAlign w:val="superscript"/>
        </w:rPr>
        <w:t>1</w:t>
      </w:r>
      <w:r w:rsidRPr="00345641">
        <w:t>, Daniele Poole</w:t>
      </w:r>
      <w:r w:rsidRPr="00345641">
        <w:rPr>
          <w:vertAlign w:val="superscript"/>
        </w:rPr>
        <w:t>2,22</w:t>
      </w:r>
      <w:r w:rsidRPr="00345641">
        <w:t>, Michael Darmon</w:t>
      </w:r>
      <w:r w:rsidRPr="00345641">
        <w:rPr>
          <w:vertAlign w:val="superscript"/>
        </w:rPr>
        <w:t>1,2</w:t>
      </w:r>
      <w:r w:rsidRPr="00345641">
        <w:t>, Elie Azoulay</w:t>
      </w:r>
      <w:r w:rsidRPr="00345641">
        <w:rPr>
          <w:vertAlign w:val="superscript"/>
        </w:rPr>
        <w:t>1</w:t>
      </w:r>
    </w:p>
    <w:p w:rsidR="00551117" w:rsidRPr="00345641" w:rsidRDefault="00551117" w:rsidP="00551117">
      <w:pPr>
        <w:spacing w:after="0" w:line="480" w:lineRule="auto"/>
      </w:pPr>
    </w:p>
    <w:p w:rsidR="00551117" w:rsidRPr="00345641" w:rsidRDefault="00551117" w:rsidP="00551117">
      <w:pPr>
        <w:spacing w:after="0" w:line="480" w:lineRule="auto"/>
      </w:pPr>
      <w:r w:rsidRPr="00345641">
        <w:rPr>
          <w:vertAlign w:val="superscript"/>
        </w:rPr>
        <w:t>1</w:t>
      </w:r>
      <w:r w:rsidRPr="00345641">
        <w:t>Medical Intensive Care Unit, Saint-Louis Teaching Hospital, Paris, France</w:t>
      </w:r>
    </w:p>
    <w:p w:rsidR="00551117" w:rsidRPr="00345641" w:rsidRDefault="00551117" w:rsidP="00551117">
      <w:pPr>
        <w:spacing w:after="0" w:line="480" w:lineRule="auto"/>
      </w:pPr>
      <w:r w:rsidRPr="00345641">
        <w:rPr>
          <w:vertAlign w:val="superscript"/>
        </w:rPr>
        <w:t>2</w:t>
      </w:r>
      <w:r w:rsidRPr="00345641">
        <w:t>European Society of Intensive Care Medicine (ESICM) Methodology Group, Brussels, Belgium</w:t>
      </w:r>
    </w:p>
    <w:p w:rsidR="00551117" w:rsidRPr="00345641" w:rsidRDefault="00551117" w:rsidP="00551117">
      <w:pPr>
        <w:spacing w:after="0" w:line="480" w:lineRule="auto"/>
      </w:pPr>
      <w:r w:rsidRPr="00345641">
        <w:rPr>
          <w:vertAlign w:val="superscript"/>
        </w:rPr>
        <w:t>3</w:t>
      </w:r>
      <w:r w:rsidRPr="00345641">
        <w:t>Division of Anesthesiology, Critical Care, and Pain Medicine, Department of Critical Care Medicine, The University of Texas MD Anderson Cancer Center, Houston, TX</w:t>
      </w:r>
    </w:p>
    <w:p w:rsidR="00551117" w:rsidRPr="00345641" w:rsidRDefault="00551117" w:rsidP="00551117">
      <w:pPr>
        <w:spacing w:after="0" w:line="480" w:lineRule="auto"/>
      </w:pPr>
      <w:r w:rsidRPr="00345641">
        <w:rPr>
          <w:vertAlign w:val="superscript"/>
        </w:rPr>
        <w:t>4</w:t>
      </w:r>
      <w:r w:rsidRPr="00345641">
        <w:t>Intensive Care Unit, Department of Internal Medicine, University Hospital Centre Zagreb, Zagreb, Croatia</w:t>
      </w:r>
    </w:p>
    <w:p w:rsidR="00551117" w:rsidRPr="00345641" w:rsidRDefault="00551117" w:rsidP="00551117">
      <w:pPr>
        <w:spacing w:after="0" w:line="480" w:lineRule="auto"/>
      </w:pPr>
      <w:r w:rsidRPr="00345641">
        <w:rPr>
          <w:vertAlign w:val="superscript"/>
        </w:rPr>
        <w:t>5</w:t>
      </w:r>
      <w:r w:rsidRPr="00345641">
        <w:t>Department of Internal Medicine, Division of Intensive Care Medicine, Gazi University School of Medicine, Ankara, Turkey</w:t>
      </w:r>
    </w:p>
    <w:p w:rsidR="00551117" w:rsidRPr="00345641" w:rsidRDefault="00551117" w:rsidP="00551117">
      <w:pPr>
        <w:spacing w:after="0" w:line="480" w:lineRule="auto"/>
      </w:pPr>
      <w:r w:rsidRPr="00345641">
        <w:rPr>
          <w:vertAlign w:val="superscript"/>
        </w:rPr>
        <w:t>6</w:t>
      </w:r>
      <w:r w:rsidRPr="00345641">
        <w:t xml:space="preserve">Maladies du Sang, CHU </w:t>
      </w:r>
      <w:proofErr w:type="spellStart"/>
      <w:r w:rsidRPr="00345641">
        <w:t>d'Angers</w:t>
      </w:r>
      <w:proofErr w:type="spellEnd"/>
      <w:r w:rsidRPr="00345641">
        <w:t>, Angers, France</w:t>
      </w:r>
    </w:p>
    <w:p w:rsidR="00551117" w:rsidRPr="00345641" w:rsidRDefault="00551117" w:rsidP="00551117">
      <w:pPr>
        <w:spacing w:after="0" w:line="480" w:lineRule="auto"/>
      </w:pPr>
      <w:r w:rsidRPr="00345641">
        <w:rPr>
          <w:vertAlign w:val="superscript"/>
        </w:rPr>
        <w:t>7</w:t>
      </w:r>
      <w:r w:rsidRPr="00345641">
        <w:t xml:space="preserve">Medical Intensive Care Unit, CHU </w:t>
      </w:r>
      <w:proofErr w:type="spellStart"/>
      <w:r w:rsidRPr="00345641">
        <w:t>d'Angers</w:t>
      </w:r>
      <w:proofErr w:type="spellEnd"/>
      <w:r w:rsidRPr="00345641">
        <w:t>, Angers, France</w:t>
      </w:r>
    </w:p>
    <w:p w:rsidR="00551117" w:rsidRPr="00345641" w:rsidRDefault="00551117" w:rsidP="00551117">
      <w:pPr>
        <w:spacing w:after="0" w:line="480" w:lineRule="auto"/>
      </w:pPr>
      <w:r w:rsidRPr="00345641">
        <w:rPr>
          <w:vertAlign w:val="superscript"/>
        </w:rPr>
        <w:t>8</w:t>
      </w:r>
      <w:r w:rsidRPr="00345641">
        <w:t xml:space="preserve">Division of Internal Medicine, Department of Pulmonary Medicine, </w:t>
      </w:r>
      <w:r w:rsidR="00AB4069">
        <w:t xml:space="preserve">The University of Texas </w:t>
      </w:r>
      <w:r w:rsidRPr="00345641">
        <w:t>MD Anderson Cancer Center, Houston, TX</w:t>
      </w:r>
    </w:p>
    <w:p w:rsidR="00551117" w:rsidRPr="00345641" w:rsidRDefault="00551117" w:rsidP="00551117">
      <w:pPr>
        <w:spacing w:after="0" w:line="480" w:lineRule="auto"/>
      </w:pPr>
      <w:r w:rsidRPr="00345641">
        <w:rPr>
          <w:vertAlign w:val="superscript"/>
        </w:rPr>
        <w:t>9</w:t>
      </w:r>
      <w:r w:rsidRPr="00345641">
        <w:t>Copenhagen University Hospital Gentofte, Hellerup, and Department of Clinical Medicine, University of Copenhagen, Copenhagen, Denmark</w:t>
      </w:r>
    </w:p>
    <w:p w:rsidR="00551117" w:rsidRPr="00345641" w:rsidRDefault="00551117" w:rsidP="00551117">
      <w:pPr>
        <w:spacing w:after="0" w:line="480" w:lineRule="auto"/>
      </w:pPr>
      <w:r w:rsidRPr="00345641">
        <w:rPr>
          <w:vertAlign w:val="superscript"/>
        </w:rPr>
        <w:lastRenderedPageBreak/>
        <w:t>10</w:t>
      </w:r>
      <w:r w:rsidRPr="00345641">
        <w:t xml:space="preserve">Department of Medical Oncology, </w:t>
      </w:r>
      <w:proofErr w:type="spellStart"/>
      <w:r w:rsidRPr="00345641">
        <w:t>Inselspital</w:t>
      </w:r>
      <w:proofErr w:type="spellEnd"/>
      <w:r w:rsidRPr="00345641">
        <w:t>, University Hospital Bern, University of Bern, Berne, Switzerland</w:t>
      </w:r>
    </w:p>
    <w:p w:rsidR="00551117" w:rsidRPr="00345641" w:rsidRDefault="00551117" w:rsidP="00551117">
      <w:pPr>
        <w:spacing w:after="0" w:line="480" w:lineRule="auto"/>
      </w:pPr>
      <w:r w:rsidRPr="00345641">
        <w:rPr>
          <w:vertAlign w:val="superscript"/>
        </w:rPr>
        <w:t>11</w:t>
      </w:r>
      <w:r w:rsidRPr="00345641">
        <w:t>King's College London, Guy's &amp; St Thomas' NHS Foundation Trust, Department of Critical Care, Westminster Bridge Road, London, UK</w:t>
      </w:r>
    </w:p>
    <w:p w:rsidR="00551117" w:rsidRPr="00345641" w:rsidRDefault="00551117" w:rsidP="00551117">
      <w:pPr>
        <w:spacing w:after="0" w:line="480" w:lineRule="auto"/>
      </w:pPr>
      <w:r w:rsidRPr="00345641">
        <w:rPr>
          <w:vertAlign w:val="superscript"/>
        </w:rPr>
        <w:t>12</w:t>
      </w:r>
      <w:r w:rsidRPr="00345641">
        <w:t>Department of Critical Care and Postgraduate Program, D'Or Institute for Research and Education, Rio de Janeiro, Brazil</w:t>
      </w:r>
    </w:p>
    <w:p w:rsidR="00551117" w:rsidRPr="00345641" w:rsidRDefault="00551117" w:rsidP="00551117">
      <w:pPr>
        <w:spacing w:after="0" w:line="480" w:lineRule="auto"/>
      </w:pPr>
      <w:r w:rsidRPr="00345641">
        <w:rPr>
          <w:vertAlign w:val="superscript"/>
        </w:rPr>
        <w:t>13</w:t>
      </w:r>
      <w:r w:rsidRPr="00345641">
        <w:t xml:space="preserve">Department of Hematology, Izmir </w:t>
      </w:r>
      <w:proofErr w:type="spellStart"/>
      <w:r w:rsidRPr="00345641">
        <w:t>Katip</w:t>
      </w:r>
      <w:proofErr w:type="spellEnd"/>
      <w:r w:rsidRPr="00345641">
        <w:t xml:space="preserve"> Celebi University, Ataturk Training and Research Hospital, Izmir, Turkey</w:t>
      </w:r>
    </w:p>
    <w:p w:rsidR="00551117" w:rsidRPr="00345641" w:rsidRDefault="00551117" w:rsidP="00551117">
      <w:pPr>
        <w:spacing w:after="0" w:line="480" w:lineRule="auto"/>
      </w:pPr>
      <w:r w:rsidRPr="00345641">
        <w:rPr>
          <w:vertAlign w:val="superscript"/>
        </w:rPr>
        <w:t>14</w:t>
      </w:r>
      <w:r w:rsidRPr="00345641">
        <w:t>Odette Cancer Centre, Sunnybrook Health Sciences Centre, Toronto, ON, Canada</w:t>
      </w:r>
    </w:p>
    <w:p w:rsidR="00551117" w:rsidRPr="00345641" w:rsidRDefault="00551117" w:rsidP="00551117">
      <w:pPr>
        <w:spacing w:after="0" w:line="480" w:lineRule="auto"/>
      </w:pPr>
      <w:r w:rsidRPr="00345641">
        <w:rPr>
          <w:vertAlign w:val="superscript"/>
        </w:rPr>
        <w:t>15</w:t>
      </w:r>
      <w:r w:rsidRPr="00345641">
        <w:t>Internal Medicine and Infectious Disease Unit, Groupe Saint-André, University Hospital, Bordeaux, France</w:t>
      </w:r>
    </w:p>
    <w:p w:rsidR="00551117" w:rsidRPr="00345641" w:rsidRDefault="00551117" w:rsidP="00551117">
      <w:pPr>
        <w:spacing w:after="0" w:line="480" w:lineRule="auto"/>
      </w:pPr>
      <w:r w:rsidRPr="00345641">
        <w:rPr>
          <w:vertAlign w:val="superscript"/>
        </w:rPr>
        <w:t>16</w:t>
      </w:r>
      <w:r w:rsidRPr="00345641">
        <w:t>Department of Anesthesiology and Critical Care, Paoli-</w:t>
      </w:r>
      <w:proofErr w:type="spellStart"/>
      <w:r w:rsidRPr="00345641">
        <w:t>Calmettes</w:t>
      </w:r>
      <w:proofErr w:type="spellEnd"/>
      <w:r w:rsidRPr="00345641">
        <w:t xml:space="preserve"> Institute, Marseille, France</w:t>
      </w:r>
    </w:p>
    <w:p w:rsidR="00551117" w:rsidRPr="00345641" w:rsidRDefault="00551117" w:rsidP="00551117">
      <w:pPr>
        <w:spacing w:after="0" w:line="480" w:lineRule="auto"/>
      </w:pPr>
      <w:r w:rsidRPr="00345641">
        <w:rPr>
          <w:vertAlign w:val="superscript"/>
        </w:rPr>
        <w:t>17</w:t>
      </w:r>
      <w:r w:rsidRPr="00345641">
        <w:t>Intensive Care Unit, AC Camargo Cancer Center, São Paulo, Brazil</w:t>
      </w:r>
    </w:p>
    <w:p w:rsidR="00551117" w:rsidRPr="00345641" w:rsidRDefault="00551117" w:rsidP="00551117">
      <w:pPr>
        <w:spacing w:after="0" w:line="480" w:lineRule="auto"/>
      </w:pPr>
      <w:r w:rsidRPr="00345641">
        <w:rPr>
          <w:vertAlign w:val="superscript"/>
        </w:rPr>
        <w:t>18</w:t>
      </w:r>
      <w:r w:rsidRPr="00345641">
        <w:t xml:space="preserve">Department of Infectious Diseases, Instituto Nacional de </w:t>
      </w:r>
      <w:proofErr w:type="spellStart"/>
      <w:r w:rsidRPr="00345641">
        <w:t>Cancerología</w:t>
      </w:r>
      <w:proofErr w:type="spellEnd"/>
      <w:r w:rsidRPr="00345641">
        <w:t>, Mexico, Mexico</w:t>
      </w:r>
    </w:p>
    <w:p w:rsidR="00551117" w:rsidRPr="00345641" w:rsidRDefault="00551117" w:rsidP="00551117">
      <w:pPr>
        <w:spacing w:after="0" w:line="480" w:lineRule="auto"/>
      </w:pPr>
      <w:r w:rsidRPr="00345641">
        <w:rPr>
          <w:vertAlign w:val="superscript"/>
        </w:rPr>
        <w:t>19</w:t>
      </w:r>
      <w:r w:rsidRPr="00345641">
        <w:t xml:space="preserve">Medical-Surgical Intensive Care Unit, </w:t>
      </w:r>
      <w:proofErr w:type="spellStart"/>
      <w:r w:rsidRPr="00345641">
        <w:t>Angoulême</w:t>
      </w:r>
      <w:proofErr w:type="spellEnd"/>
      <w:r w:rsidRPr="00345641">
        <w:t xml:space="preserve"> Hospital, </w:t>
      </w:r>
      <w:proofErr w:type="spellStart"/>
      <w:r w:rsidRPr="00345641">
        <w:t>Angoulême</w:t>
      </w:r>
      <w:proofErr w:type="spellEnd"/>
      <w:r w:rsidRPr="00345641">
        <w:t>, France</w:t>
      </w:r>
    </w:p>
    <w:p w:rsidR="00551117" w:rsidRPr="00345641" w:rsidRDefault="00551117" w:rsidP="00551117">
      <w:pPr>
        <w:spacing w:after="0" w:line="480" w:lineRule="auto"/>
      </w:pPr>
      <w:r w:rsidRPr="00345641">
        <w:rPr>
          <w:vertAlign w:val="superscript"/>
        </w:rPr>
        <w:t>20</w:t>
      </w:r>
      <w:r w:rsidRPr="00345641">
        <w:t>Technical University Munich (TUM) School of Medicine and Health, Department of Clinical Medicine - Clinical Department for Internal Medicine II, University Medical Center, TUM, Munich, Germany</w:t>
      </w:r>
    </w:p>
    <w:p w:rsidR="00551117" w:rsidRPr="00345641" w:rsidRDefault="00551117" w:rsidP="00551117">
      <w:pPr>
        <w:spacing w:line="480" w:lineRule="auto"/>
      </w:pPr>
      <w:r w:rsidRPr="00345641">
        <w:rPr>
          <w:rFonts w:eastAsia="Times New Roman"/>
          <w:vertAlign w:val="superscript"/>
        </w:rPr>
        <w:t>21</w:t>
      </w:r>
      <w:r w:rsidRPr="00345641">
        <w:rPr>
          <w:rFonts w:eastAsia="Times New Roman"/>
        </w:rPr>
        <w:t>Hematology Department</w:t>
      </w:r>
      <w:r w:rsidRPr="00345641">
        <w:t>, Saint-Louis Teaching Hospital, Paris, France</w:t>
      </w:r>
    </w:p>
    <w:p w:rsidR="004E36E1" w:rsidRPr="00345641" w:rsidRDefault="004E36E1" w:rsidP="004E36E1">
      <w:pPr>
        <w:spacing w:after="0" w:line="480" w:lineRule="auto"/>
        <w:rPr>
          <w:rFonts w:eastAsia="Times New Roman"/>
        </w:rPr>
      </w:pPr>
      <w:r w:rsidRPr="00345641">
        <w:rPr>
          <w:rFonts w:eastAsia="Times New Roman"/>
          <w:vertAlign w:val="superscript"/>
        </w:rPr>
        <w:t>22</w:t>
      </w:r>
      <w:r w:rsidRPr="00345641">
        <w:rPr>
          <w:rFonts w:eastAsia="Times New Roman"/>
        </w:rPr>
        <w:t xml:space="preserve">Infectious Diseases and Intensive Care Unit, </w:t>
      </w:r>
      <w:proofErr w:type="spellStart"/>
      <w:r w:rsidRPr="00345641">
        <w:rPr>
          <w:rFonts w:eastAsia="Times New Roman"/>
        </w:rPr>
        <w:t>Pontchaillou</w:t>
      </w:r>
      <w:proofErr w:type="spellEnd"/>
      <w:r w:rsidRPr="00345641">
        <w:rPr>
          <w:rFonts w:eastAsia="Times New Roman"/>
        </w:rPr>
        <w:t xml:space="preserve"> University Hospital, Rennes, France</w:t>
      </w:r>
    </w:p>
    <w:p w:rsidR="004E36E1" w:rsidRPr="00345641" w:rsidRDefault="004E36E1" w:rsidP="004E36E1">
      <w:pPr>
        <w:spacing w:after="0" w:line="480" w:lineRule="auto"/>
      </w:pPr>
      <w:r w:rsidRPr="00345641">
        <w:rPr>
          <w:vertAlign w:val="superscript"/>
        </w:rPr>
        <w:t>23</w:t>
      </w:r>
      <w:r w:rsidRPr="00345641">
        <w:t xml:space="preserve">Operative Unit of Anesthesia and Intensive Care, S. Martino Hospital, </w:t>
      </w:r>
      <w:proofErr w:type="spellStart"/>
      <w:r w:rsidRPr="00345641">
        <w:t>Belluno</w:t>
      </w:r>
      <w:proofErr w:type="spellEnd"/>
      <w:r w:rsidRPr="00345641">
        <w:t>, Italy</w:t>
      </w:r>
    </w:p>
    <w:p w:rsidR="00551117" w:rsidRPr="00345641" w:rsidRDefault="00551117" w:rsidP="00551117">
      <w:pPr>
        <w:spacing w:after="0" w:line="480" w:lineRule="auto"/>
      </w:pPr>
    </w:p>
    <w:p w:rsidR="000A259E" w:rsidRDefault="000A259E">
      <w:pPr>
        <w:jc w:val="left"/>
        <w:rPr>
          <w:b/>
          <w:bCs/>
        </w:rPr>
      </w:pPr>
      <w:r>
        <w:rPr>
          <w:b/>
          <w:bCs/>
        </w:rPr>
        <w:br w:type="page"/>
      </w:r>
    </w:p>
    <w:p w:rsidR="00551117" w:rsidRPr="00345641" w:rsidRDefault="00551117" w:rsidP="00551117">
      <w:pPr>
        <w:spacing w:after="0" w:line="480" w:lineRule="auto"/>
        <w:rPr>
          <w:b/>
          <w:bCs/>
        </w:rPr>
      </w:pPr>
      <w:r w:rsidRPr="00345641">
        <w:rPr>
          <w:b/>
          <w:bCs/>
        </w:rPr>
        <w:lastRenderedPageBreak/>
        <w:t>Correspondence to:</w:t>
      </w:r>
    </w:p>
    <w:p w:rsidR="00551117" w:rsidRPr="00345641" w:rsidRDefault="00551117" w:rsidP="00551117">
      <w:pPr>
        <w:spacing w:after="0" w:line="480" w:lineRule="auto"/>
      </w:pPr>
      <w:r w:rsidRPr="00345641">
        <w:t xml:space="preserve">Professor Elie Azoulay, </w:t>
      </w:r>
    </w:p>
    <w:p w:rsidR="004E36E1" w:rsidRPr="00345641" w:rsidRDefault="004E36E1" w:rsidP="00551117">
      <w:pPr>
        <w:spacing w:after="0" w:line="480" w:lineRule="auto"/>
      </w:pPr>
      <w:r w:rsidRPr="00345641">
        <w:t xml:space="preserve">Medical Intensive Care Unit, AP-HP, Saint-Louis Hospital, Paris-Cité University </w:t>
      </w:r>
    </w:p>
    <w:p w:rsidR="004E36E1" w:rsidRPr="00345641" w:rsidRDefault="004E36E1" w:rsidP="00551117">
      <w:pPr>
        <w:spacing w:after="0" w:line="480" w:lineRule="auto"/>
      </w:pPr>
      <w:r w:rsidRPr="00345641">
        <w:t xml:space="preserve">INSERM UMR1342 </w:t>
      </w:r>
      <w:proofErr w:type="spellStart"/>
      <w:r w:rsidRPr="00345641">
        <w:t>Institut</w:t>
      </w:r>
      <w:proofErr w:type="spellEnd"/>
      <w:r w:rsidRPr="00345641">
        <w:t xml:space="preserve"> de Recherche Saint-Louis</w:t>
      </w:r>
    </w:p>
    <w:p w:rsidR="00551117" w:rsidRPr="00345641" w:rsidRDefault="00551117" w:rsidP="00551117">
      <w:pPr>
        <w:spacing w:after="0" w:line="480" w:lineRule="auto"/>
      </w:pPr>
      <w:r w:rsidRPr="00345641">
        <w:t xml:space="preserve">1 avenue Claude </w:t>
      </w:r>
      <w:proofErr w:type="spellStart"/>
      <w:r w:rsidRPr="00345641">
        <w:t>Vellefaux</w:t>
      </w:r>
      <w:proofErr w:type="spellEnd"/>
      <w:r w:rsidRPr="00345641">
        <w:t>, 75010 Paris, FRANCE</w:t>
      </w:r>
    </w:p>
    <w:p w:rsidR="00551117" w:rsidRPr="00345641" w:rsidRDefault="00551117" w:rsidP="00551117">
      <w:pPr>
        <w:spacing w:after="0" w:line="480" w:lineRule="auto"/>
      </w:pPr>
      <w:r w:rsidRPr="00345641">
        <w:t>Phone: +33 142 499 421</w:t>
      </w:r>
      <w:r w:rsidRPr="00345641">
        <w:tab/>
      </w:r>
      <w:r w:rsidRPr="00345641">
        <w:tab/>
        <w:t>Fax: +33 142 499 426</w:t>
      </w:r>
    </w:p>
    <w:p w:rsidR="00551117" w:rsidRPr="00345641" w:rsidRDefault="00551117" w:rsidP="00551117">
      <w:pPr>
        <w:spacing w:after="0" w:line="480" w:lineRule="auto"/>
      </w:pPr>
      <w:r w:rsidRPr="00345641">
        <w:t xml:space="preserve">E-mail: </w:t>
      </w:r>
      <w:hyperlink r:id="rId8" w:history="1">
        <w:r w:rsidRPr="00345641">
          <w:rPr>
            <w:rStyle w:val="Lienhypertexte"/>
          </w:rPr>
          <w:t>elie.azoulay@aphp.fr</w:t>
        </w:r>
      </w:hyperlink>
    </w:p>
    <w:p w:rsidR="00551117" w:rsidRPr="00345641" w:rsidRDefault="00551117">
      <w:pPr>
        <w:jc w:val="left"/>
      </w:pPr>
      <w:r w:rsidRPr="00345641">
        <w:br w:type="page"/>
      </w:r>
    </w:p>
    <w:p w:rsidR="008C7392" w:rsidRPr="006164BE" w:rsidRDefault="006164BE" w:rsidP="00387C1B">
      <w:pPr>
        <w:spacing w:after="0" w:line="480" w:lineRule="auto"/>
        <w:rPr>
          <w:b/>
          <w:bCs/>
        </w:rPr>
      </w:pPr>
      <w:r w:rsidRPr="006164BE">
        <w:rPr>
          <w:b/>
          <w:bCs/>
        </w:rPr>
        <w:lastRenderedPageBreak/>
        <w:t>Summary</w:t>
      </w:r>
      <w:r w:rsidR="00E522AF">
        <w:rPr>
          <w:b/>
          <w:bCs/>
        </w:rPr>
        <w:t xml:space="preserve"> - Tables</w:t>
      </w:r>
    </w:p>
    <w:p w:rsidR="00AB4069" w:rsidRDefault="00E522AF">
      <w:pPr>
        <w:pStyle w:val="Tabledesillustrations"/>
        <w:tabs>
          <w:tab w:val="right" w:leader="dot" w:pos="9062"/>
        </w:tabs>
        <w:rPr>
          <w:rFonts w:asciiTheme="minorHAnsi" w:eastAsiaTheme="minorEastAsia" w:hAnsiTheme="minorHAnsi"/>
          <w:noProof/>
          <w:lang w:val="fr-FR" w:eastAsia="fr-FR"/>
        </w:rPr>
      </w:pPr>
      <w:r>
        <w:fldChar w:fldCharType="begin"/>
      </w:r>
      <w:r>
        <w:instrText xml:space="preserve"> TOC \h \z \c "Table" </w:instrText>
      </w:r>
      <w:r>
        <w:fldChar w:fldCharType="separate"/>
      </w:r>
      <w:hyperlink w:anchor="_Toc212854886" w:history="1">
        <w:r w:rsidR="00AB4069" w:rsidRPr="003D40CC">
          <w:rPr>
            <w:rStyle w:val="Lienhypertexte"/>
            <w:b/>
            <w:bCs/>
            <w:noProof/>
          </w:rPr>
          <w:t>Table S1. Preferred Reporting Items for Systematic Review and Meta- Analysis of Individual Participant Data (PRISMA-IPD) checklist.</w:t>
        </w:r>
        <w:r w:rsidR="00AB4069">
          <w:rPr>
            <w:noProof/>
            <w:webHidden/>
          </w:rPr>
          <w:tab/>
        </w:r>
        <w:r w:rsidR="00AB4069">
          <w:rPr>
            <w:noProof/>
            <w:webHidden/>
          </w:rPr>
          <w:fldChar w:fldCharType="begin"/>
        </w:r>
        <w:r w:rsidR="00AB4069">
          <w:rPr>
            <w:noProof/>
            <w:webHidden/>
          </w:rPr>
          <w:instrText xml:space="preserve"> PAGEREF _Toc212854886 \h </w:instrText>
        </w:r>
        <w:r w:rsidR="00AB4069">
          <w:rPr>
            <w:noProof/>
            <w:webHidden/>
          </w:rPr>
        </w:r>
        <w:r w:rsidR="00AB4069">
          <w:rPr>
            <w:noProof/>
            <w:webHidden/>
          </w:rPr>
          <w:fldChar w:fldCharType="separate"/>
        </w:r>
        <w:r w:rsidR="0071394F">
          <w:rPr>
            <w:noProof/>
            <w:webHidden/>
          </w:rPr>
          <w:t>7</w:t>
        </w:r>
        <w:r w:rsidR="00AB4069">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87" w:history="1">
        <w:r w:rsidRPr="003D40CC">
          <w:rPr>
            <w:rStyle w:val="Lienhypertexte"/>
            <w:b/>
            <w:bCs/>
            <w:noProof/>
          </w:rPr>
          <w:t>Table S2. Full systematic search string.</w:t>
        </w:r>
        <w:r>
          <w:rPr>
            <w:noProof/>
            <w:webHidden/>
          </w:rPr>
          <w:tab/>
        </w:r>
        <w:r>
          <w:rPr>
            <w:noProof/>
            <w:webHidden/>
          </w:rPr>
          <w:fldChar w:fldCharType="begin"/>
        </w:r>
        <w:r>
          <w:rPr>
            <w:noProof/>
            <w:webHidden/>
          </w:rPr>
          <w:instrText xml:space="preserve"> PAGEREF _Toc212854887 \h </w:instrText>
        </w:r>
        <w:r>
          <w:rPr>
            <w:noProof/>
            <w:webHidden/>
          </w:rPr>
        </w:r>
        <w:r>
          <w:rPr>
            <w:noProof/>
            <w:webHidden/>
          </w:rPr>
          <w:fldChar w:fldCharType="separate"/>
        </w:r>
        <w:r w:rsidR="0071394F">
          <w:rPr>
            <w:noProof/>
            <w:webHidden/>
          </w:rPr>
          <w:t>11</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88" w:history="1">
        <w:r w:rsidRPr="003D40CC">
          <w:rPr>
            <w:rStyle w:val="Lienhypertexte"/>
            <w:b/>
            <w:bCs/>
            <w:noProof/>
          </w:rPr>
          <w:t>Table S3. Summary of the 29 included studies.</w:t>
        </w:r>
        <w:r>
          <w:rPr>
            <w:noProof/>
            <w:webHidden/>
          </w:rPr>
          <w:tab/>
        </w:r>
        <w:r>
          <w:rPr>
            <w:noProof/>
            <w:webHidden/>
          </w:rPr>
          <w:fldChar w:fldCharType="begin"/>
        </w:r>
        <w:r>
          <w:rPr>
            <w:noProof/>
            <w:webHidden/>
          </w:rPr>
          <w:instrText xml:space="preserve"> PAGEREF _Toc212854888 \h </w:instrText>
        </w:r>
        <w:r>
          <w:rPr>
            <w:noProof/>
            <w:webHidden/>
          </w:rPr>
        </w:r>
        <w:r>
          <w:rPr>
            <w:noProof/>
            <w:webHidden/>
          </w:rPr>
          <w:fldChar w:fldCharType="separate"/>
        </w:r>
        <w:r w:rsidR="0071394F">
          <w:rPr>
            <w:noProof/>
            <w:webHidden/>
          </w:rPr>
          <w:t>12</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89" w:history="1">
        <w:r w:rsidRPr="003D40CC">
          <w:rPr>
            <w:rStyle w:val="Lienhypertexte"/>
            <w:b/>
            <w:bCs/>
            <w:noProof/>
          </w:rPr>
          <w:t>Table S4. Quality assessment of the 29 studies that included patients in the individual participant data meta-analysis using the Newcastle-Ottawa Scale (NOS) for cohort studies.(31)</w:t>
        </w:r>
        <w:r w:rsidRPr="003D40CC">
          <w:rPr>
            <w:rStyle w:val="Lienhypertexte"/>
            <w:noProof/>
          </w:rPr>
          <w:t xml:space="preserve"> </w:t>
        </w:r>
        <w:r w:rsidRPr="003D40CC">
          <w:rPr>
            <w:rStyle w:val="Lienhypertexte"/>
            <w:noProof/>
            <w:lang w:val="en-GB"/>
          </w:rPr>
          <w:t xml:space="preserve">The thresholds provided by the NIH (National Institutes of Health, https://www.ncbi.nlm.nih.gov/books/NBK115843/bin/appe-fm3.pdf) were used to convert the Newcastle-Ottawa scale to AHRQ (Agency for Healthcare Research and Quality). Of the 29 included studies, 11 studies </w:t>
        </w:r>
        <w:r w:rsidRPr="003D40CC">
          <w:rPr>
            <w:rStyle w:val="Lienhypertexte"/>
            <w:noProof/>
          </w:rPr>
          <w:t>were graded as “good quality” as they had 3 or 4 stars in selection domain AND 1 or 2 stars in comparability domain AND 2 or 3 stars in outcome domain. Other 18 studies were graded as “fair quality” as they had 2 stars in selection domain AND 1 or 2 stars in comparability domain AND 2 or 3 stars in outcome domain.</w:t>
        </w:r>
        <w:r>
          <w:rPr>
            <w:noProof/>
            <w:webHidden/>
          </w:rPr>
          <w:tab/>
        </w:r>
        <w:r>
          <w:rPr>
            <w:noProof/>
            <w:webHidden/>
          </w:rPr>
          <w:fldChar w:fldCharType="begin"/>
        </w:r>
        <w:r>
          <w:rPr>
            <w:noProof/>
            <w:webHidden/>
          </w:rPr>
          <w:instrText xml:space="preserve"> PAGEREF _Toc212854889 \h </w:instrText>
        </w:r>
        <w:r>
          <w:rPr>
            <w:noProof/>
            <w:webHidden/>
          </w:rPr>
        </w:r>
        <w:r>
          <w:rPr>
            <w:noProof/>
            <w:webHidden/>
          </w:rPr>
          <w:fldChar w:fldCharType="separate"/>
        </w:r>
        <w:r w:rsidR="0071394F">
          <w:rPr>
            <w:noProof/>
            <w:webHidden/>
          </w:rPr>
          <w:t>19</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90" w:history="1">
        <w:r w:rsidRPr="003D40CC">
          <w:rPr>
            <w:rStyle w:val="Lienhypertexte"/>
            <w:b/>
            <w:bCs/>
            <w:noProof/>
          </w:rPr>
          <w:t>Table S5. Demographic characteristics of acute leukemia patients who required invasive mechanical ventilation.</w:t>
        </w:r>
        <w:r>
          <w:rPr>
            <w:noProof/>
            <w:webHidden/>
          </w:rPr>
          <w:tab/>
        </w:r>
        <w:r>
          <w:rPr>
            <w:noProof/>
            <w:webHidden/>
          </w:rPr>
          <w:fldChar w:fldCharType="begin"/>
        </w:r>
        <w:r>
          <w:rPr>
            <w:noProof/>
            <w:webHidden/>
          </w:rPr>
          <w:instrText xml:space="preserve"> PAGEREF _Toc212854890 \h </w:instrText>
        </w:r>
        <w:r>
          <w:rPr>
            <w:noProof/>
            <w:webHidden/>
          </w:rPr>
        </w:r>
        <w:r>
          <w:rPr>
            <w:noProof/>
            <w:webHidden/>
          </w:rPr>
          <w:fldChar w:fldCharType="separate"/>
        </w:r>
        <w:r w:rsidR="0071394F">
          <w:rPr>
            <w:noProof/>
            <w:webHidden/>
          </w:rPr>
          <w:t>23</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91" w:history="1">
        <w:r w:rsidRPr="003D40CC">
          <w:rPr>
            <w:rStyle w:val="Lienhypertexte"/>
            <w:b/>
            <w:bCs/>
            <w:noProof/>
          </w:rPr>
          <w:t>Table S6. Results of the mixed-effects logistic regression model in the overall population of critically ill acute leukemia patients.</w:t>
        </w:r>
        <w:r w:rsidRPr="003D40CC">
          <w:rPr>
            <w:rStyle w:val="Lienhypertexte"/>
            <w:noProof/>
          </w:rPr>
          <w:t xml:space="preserve"> Each predictor is detailed with its different categories for categorical variables. ICU denotes for intensive care unit.</w:t>
        </w:r>
        <w:r>
          <w:rPr>
            <w:noProof/>
            <w:webHidden/>
          </w:rPr>
          <w:tab/>
        </w:r>
        <w:r>
          <w:rPr>
            <w:noProof/>
            <w:webHidden/>
          </w:rPr>
          <w:fldChar w:fldCharType="begin"/>
        </w:r>
        <w:r>
          <w:rPr>
            <w:noProof/>
            <w:webHidden/>
          </w:rPr>
          <w:instrText xml:space="preserve"> PAGEREF _Toc212854891 \h </w:instrText>
        </w:r>
        <w:r>
          <w:rPr>
            <w:noProof/>
            <w:webHidden/>
          </w:rPr>
        </w:r>
        <w:r>
          <w:rPr>
            <w:noProof/>
            <w:webHidden/>
          </w:rPr>
          <w:fldChar w:fldCharType="separate"/>
        </w:r>
        <w:r w:rsidR="0071394F">
          <w:rPr>
            <w:noProof/>
            <w:webHidden/>
          </w:rPr>
          <w:t>24</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92" w:history="1">
        <w:r w:rsidRPr="003D40CC">
          <w:rPr>
            <w:rStyle w:val="Lienhypertexte"/>
            <w:b/>
            <w:bCs/>
            <w:noProof/>
          </w:rPr>
          <w:t>Table S7. Results of the mixed-effects logistic regression model in patients who required invasive mechanical ventilation.</w:t>
        </w:r>
        <w:r w:rsidRPr="003D40CC">
          <w:rPr>
            <w:rStyle w:val="Lienhypertexte"/>
            <w:noProof/>
          </w:rPr>
          <w:t xml:space="preserve"> Each predictor is detailed with its different categories for categorical variables. ICU denotes for intensive care unit.</w:t>
        </w:r>
        <w:r>
          <w:rPr>
            <w:noProof/>
            <w:webHidden/>
          </w:rPr>
          <w:tab/>
        </w:r>
        <w:r>
          <w:rPr>
            <w:noProof/>
            <w:webHidden/>
          </w:rPr>
          <w:fldChar w:fldCharType="begin"/>
        </w:r>
        <w:r>
          <w:rPr>
            <w:noProof/>
            <w:webHidden/>
          </w:rPr>
          <w:instrText xml:space="preserve"> PAGEREF _Toc212854892 \h </w:instrText>
        </w:r>
        <w:r>
          <w:rPr>
            <w:noProof/>
            <w:webHidden/>
          </w:rPr>
        </w:r>
        <w:r>
          <w:rPr>
            <w:noProof/>
            <w:webHidden/>
          </w:rPr>
          <w:fldChar w:fldCharType="separate"/>
        </w:r>
        <w:r w:rsidR="0071394F">
          <w:rPr>
            <w:noProof/>
            <w:webHidden/>
          </w:rPr>
          <w:t>24</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93" w:history="1">
        <w:r w:rsidRPr="003D40CC">
          <w:rPr>
            <w:rStyle w:val="Lienhypertexte"/>
            <w:b/>
            <w:bCs/>
            <w:noProof/>
          </w:rPr>
          <w:t>Table S8. Measurement of goodness of fit across the different models. In a sensitivity analysis we treated year of ICU admission and patient age as continuous variables.</w:t>
        </w:r>
        <w:r w:rsidRPr="003D40CC">
          <w:rPr>
            <w:rStyle w:val="Lienhypertexte"/>
            <w:noProof/>
          </w:rPr>
          <w:t xml:space="preserve"> For overall population and intubated patients, both Akaike information criterion (AIC), and bayesian information criterion (BIC) were lower in the main model.</w:t>
        </w:r>
        <w:r>
          <w:rPr>
            <w:noProof/>
            <w:webHidden/>
          </w:rPr>
          <w:tab/>
        </w:r>
        <w:r>
          <w:rPr>
            <w:noProof/>
            <w:webHidden/>
          </w:rPr>
          <w:fldChar w:fldCharType="begin"/>
        </w:r>
        <w:r>
          <w:rPr>
            <w:noProof/>
            <w:webHidden/>
          </w:rPr>
          <w:instrText xml:space="preserve"> PAGEREF _Toc212854893 \h </w:instrText>
        </w:r>
        <w:r>
          <w:rPr>
            <w:noProof/>
            <w:webHidden/>
          </w:rPr>
        </w:r>
        <w:r>
          <w:rPr>
            <w:noProof/>
            <w:webHidden/>
          </w:rPr>
          <w:fldChar w:fldCharType="separate"/>
        </w:r>
        <w:r w:rsidR="0071394F">
          <w:rPr>
            <w:noProof/>
            <w:webHidden/>
          </w:rPr>
          <w:t>25</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894" w:history="1">
        <w:r w:rsidRPr="003D40CC">
          <w:rPr>
            <w:rStyle w:val="Lienhypertexte"/>
            <w:b/>
            <w:bCs/>
            <w:noProof/>
          </w:rPr>
          <w:t>Table 9. Table summarizing the calculation of variance inflation factor (VIF) across the different models.</w:t>
        </w:r>
        <w:r w:rsidRPr="003D40CC">
          <w:rPr>
            <w:rStyle w:val="Lienhypertexte"/>
            <w:noProof/>
          </w:rPr>
          <w:t xml:space="preserve"> VIF values greater than 5 indicate potential multicollinearity among predictors. Variables in our models showed low collinearity.</w:t>
        </w:r>
        <w:r>
          <w:rPr>
            <w:noProof/>
            <w:webHidden/>
          </w:rPr>
          <w:tab/>
        </w:r>
        <w:r>
          <w:rPr>
            <w:noProof/>
            <w:webHidden/>
          </w:rPr>
          <w:fldChar w:fldCharType="begin"/>
        </w:r>
        <w:r>
          <w:rPr>
            <w:noProof/>
            <w:webHidden/>
          </w:rPr>
          <w:instrText xml:space="preserve"> PAGEREF _Toc212854894 \h </w:instrText>
        </w:r>
        <w:r>
          <w:rPr>
            <w:noProof/>
            <w:webHidden/>
          </w:rPr>
        </w:r>
        <w:r>
          <w:rPr>
            <w:noProof/>
            <w:webHidden/>
          </w:rPr>
          <w:fldChar w:fldCharType="separate"/>
        </w:r>
        <w:r w:rsidR="0071394F">
          <w:rPr>
            <w:noProof/>
            <w:webHidden/>
          </w:rPr>
          <w:t>25</w:t>
        </w:r>
        <w:r>
          <w:rPr>
            <w:noProof/>
            <w:webHidden/>
          </w:rPr>
          <w:fldChar w:fldCharType="end"/>
        </w:r>
      </w:hyperlink>
    </w:p>
    <w:p w:rsidR="006164BE" w:rsidRDefault="00E522AF" w:rsidP="00551117">
      <w:r>
        <w:fldChar w:fldCharType="end"/>
      </w:r>
    </w:p>
    <w:p w:rsidR="00AB4069" w:rsidRDefault="00AB4069">
      <w:pPr>
        <w:jc w:val="left"/>
        <w:rPr>
          <w:b/>
          <w:bCs/>
        </w:rPr>
      </w:pPr>
      <w:r>
        <w:rPr>
          <w:b/>
          <w:bCs/>
        </w:rPr>
        <w:br w:type="page"/>
      </w:r>
    </w:p>
    <w:p w:rsidR="00E522AF" w:rsidRPr="00E522AF" w:rsidRDefault="00E522AF" w:rsidP="00387C1B">
      <w:pPr>
        <w:spacing w:after="0" w:line="480" w:lineRule="auto"/>
        <w:rPr>
          <w:b/>
          <w:bCs/>
        </w:rPr>
      </w:pPr>
      <w:r w:rsidRPr="006164BE">
        <w:rPr>
          <w:b/>
          <w:bCs/>
        </w:rPr>
        <w:lastRenderedPageBreak/>
        <w:t>Summary</w:t>
      </w:r>
      <w:r>
        <w:rPr>
          <w:b/>
          <w:bCs/>
        </w:rPr>
        <w:t xml:space="preserve"> - Figures</w:t>
      </w:r>
    </w:p>
    <w:p w:rsidR="00AB4069" w:rsidRDefault="00E522AF">
      <w:pPr>
        <w:pStyle w:val="Tabledesillustrations"/>
        <w:tabs>
          <w:tab w:val="right" w:leader="dot" w:pos="9062"/>
        </w:tabs>
        <w:rPr>
          <w:rFonts w:asciiTheme="minorHAnsi" w:eastAsiaTheme="minorEastAsia" w:hAnsiTheme="minorHAnsi"/>
          <w:noProof/>
          <w:lang w:val="fr-FR" w:eastAsia="fr-FR"/>
        </w:rPr>
      </w:pPr>
      <w:r>
        <w:fldChar w:fldCharType="begin"/>
      </w:r>
      <w:r>
        <w:instrText xml:space="preserve"> TOC \h \z \c "Figure" </w:instrText>
      </w:r>
      <w:r>
        <w:fldChar w:fldCharType="separate"/>
      </w:r>
      <w:hyperlink w:anchor="_Toc212854918" w:history="1">
        <w:r w:rsidR="00AB4069" w:rsidRPr="00B55EEA">
          <w:rPr>
            <w:rStyle w:val="Lienhypertexte"/>
            <w:b/>
            <w:bCs/>
            <w:noProof/>
          </w:rPr>
          <w:t>Figure S1. Patient age repartition stratified on year of intensive care unit (ICU) admission, in the overall population.</w:t>
        </w:r>
        <w:r w:rsidR="00AB4069" w:rsidRPr="00B55EEA">
          <w:rPr>
            <w:rStyle w:val="Lienhypertexte"/>
            <w:noProof/>
          </w:rPr>
          <w:t xml:space="preserve"> Proportions of elderly patients (aged &gt; 65 years) were significantly higher after 2010. P-value was calculated using Fisher’s exact test.</w:t>
        </w:r>
        <w:r w:rsidR="00AB4069">
          <w:rPr>
            <w:noProof/>
            <w:webHidden/>
          </w:rPr>
          <w:tab/>
        </w:r>
        <w:r w:rsidR="00AB4069">
          <w:rPr>
            <w:noProof/>
            <w:webHidden/>
          </w:rPr>
          <w:fldChar w:fldCharType="begin"/>
        </w:r>
        <w:r w:rsidR="00AB4069">
          <w:rPr>
            <w:noProof/>
            <w:webHidden/>
          </w:rPr>
          <w:instrText xml:space="preserve"> PAGEREF _Toc212854918 \h </w:instrText>
        </w:r>
        <w:r w:rsidR="00AB4069">
          <w:rPr>
            <w:noProof/>
            <w:webHidden/>
          </w:rPr>
        </w:r>
        <w:r w:rsidR="00AB4069">
          <w:rPr>
            <w:noProof/>
            <w:webHidden/>
          </w:rPr>
          <w:fldChar w:fldCharType="separate"/>
        </w:r>
        <w:r w:rsidR="0071394F">
          <w:rPr>
            <w:noProof/>
            <w:webHidden/>
          </w:rPr>
          <w:t>27</w:t>
        </w:r>
        <w:r w:rsidR="00AB4069">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19" w:history="1">
        <w:r w:rsidRPr="00B55EEA">
          <w:rPr>
            <w:rStyle w:val="Lienhypertexte"/>
            <w:b/>
            <w:bCs/>
            <w:noProof/>
          </w:rPr>
          <w:t>Figure S2. Boxplot representing the patient age distribution stratified on year of intensive care unit (ICU) admission, in the overall population.</w:t>
        </w:r>
        <w:r w:rsidRPr="00B55EEA">
          <w:rPr>
            <w:rStyle w:val="Lienhypertexte"/>
            <w:noProof/>
          </w:rPr>
          <w:t xml:space="preserve"> Patient age was significantly higher after (median 59 years (interquartile range 49-68)) than before 2010 (51 years (38-62)). P-value was calculated using Wilcoxon rank sum test.</w:t>
        </w:r>
        <w:r>
          <w:rPr>
            <w:noProof/>
            <w:webHidden/>
          </w:rPr>
          <w:tab/>
        </w:r>
        <w:r>
          <w:rPr>
            <w:noProof/>
            <w:webHidden/>
          </w:rPr>
          <w:fldChar w:fldCharType="begin"/>
        </w:r>
        <w:r>
          <w:rPr>
            <w:noProof/>
            <w:webHidden/>
          </w:rPr>
          <w:instrText xml:space="preserve"> PAGEREF _Toc212854919 \h </w:instrText>
        </w:r>
        <w:r>
          <w:rPr>
            <w:noProof/>
            <w:webHidden/>
          </w:rPr>
        </w:r>
        <w:r>
          <w:rPr>
            <w:noProof/>
            <w:webHidden/>
          </w:rPr>
          <w:fldChar w:fldCharType="separate"/>
        </w:r>
        <w:r w:rsidR="0071394F">
          <w:rPr>
            <w:noProof/>
            <w:webHidden/>
          </w:rPr>
          <w:t>27</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0" w:history="1">
        <w:r w:rsidRPr="00B55EEA">
          <w:rPr>
            <w:rStyle w:val="Lienhypertexte"/>
            <w:b/>
            <w:bCs/>
            <w:noProof/>
          </w:rPr>
          <w:t>Figure S3. Patient age repartition stratified on year of intensive care unit (ICU) admission, in patients who required invasive mechanical ventilation.</w:t>
        </w:r>
        <w:r w:rsidRPr="00B55EEA">
          <w:rPr>
            <w:rStyle w:val="Lienhypertexte"/>
            <w:noProof/>
          </w:rPr>
          <w:t xml:space="preserve"> Proportions of elderly patients (aged &gt; 65 years) were significantly higher after 2010. P-value was calculated using Fisher’s exact test.</w:t>
        </w:r>
        <w:r>
          <w:rPr>
            <w:noProof/>
            <w:webHidden/>
          </w:rPr>
          <w:tab/>
        </w:r>
        <w:r>
          <w:rPr>
            <w:noProof/>
            <w:webHidden/>
          </w:rPr>
          <w:fldChar w:fldCharType="begin"/>
        </w:r>
        <w:r>
          <w:rPr>
            <w:noProof/>
            <w:webHidden/>
          </w:rPr>
          <w:instrText xml:space="preserve"> PAGEREF _Toc212854920 \h </w:instrText>
        </w:r>
        <w:r>
          <w:rPr>
            <w:noProof/>
            <w:webHidden/>
          </w:rPr>
        </w:r>
        <w:r>
          <w:rPr>
            <w:noProof/>
            <w:webHidden/>
          </w:rPr>
          <w:fldChar w:fldCharType="separate"/>
        </w:r>
        <w:r w:rsidR="0071394F">
          <w:rPr>
            <w:noProof/>
            <w:webHidden/>
          </w:rPr>
          <w:t>28</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1" w:history="1">
        <w:r w:rsidRPr="00B55EEA">
          <w:rPr>
            <w:rStyle w:val="Lienhypertexte"/>
            <w:b/>
            <w:bCs/>
            <w:noProof/>
          </w:rPr>
          <w:t>Figure S4. Boxplot representing the patient age distribution stratified on year of intensive care unit (ICU) admission, in patients who required invasive mechanical ventilation.</w:t>
        </w:r>
        <w:r w:rsidRPr="00B55EEA">
          <w:rPr>
            <w:rStyle w:val="Lienhypertexte"/>
            <w:noProof/>
          </w:rPr>
          <w:t xml:space="preserve"> Patient age was significantly higher after (median 58 years (interquartile range 47-67)) than before 2010 (51 years (38-62)). P-value was calculated using Wilcoxon rank sum test.</w:t>
        </w:r>
        <w:r>
          <w:rPr>
            <w:noProof/>
            <w:webHidden/>
          </w:rPr>
          <w:tab/>
        </w:r>
        <w:r>
          <w:rPr>
            <w:noProof/>
            <w:webHidden/>
          </w:rPr>
          <w:fldChar w:fldCharType="begin"/>
        </w:r>
        <w:r>
          <w:rPr>
            <w:noProof/>
            <w:webHidden/>
          </w:rPr>
          <w:instrText xml:space="preserve"> PAGEREF _Toc212854921 \h </w:instrText>
        </w:r>
        <w:r>
          <w:rPr>
            <w:noProof/>
            <w:webHidden/>
          </w:rPr>
        </w:r>
        <w:r>
          <w:rPr>
            <w:noProof/>
            <w:webHidden/>
          </w:rPr>
          <w:fldChar w:fldCharType="separate"/>
        </w:r>
        <w:r w:rsidR="0071394F">
          <w:rPr>
            <w:noProof/>
            <w:webHidden/>
          </w:rPr>
          <w:t>28</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2" w:history="1">
        <w:r w:rsidRPr="00B55EEA">
          <w:rPr>
            <w:rStyle w:val="Lienhypertexte"/>
            <w:b/>
            <w:bCs/>
            <w:noProof/>
          </w:rPr>
          <w:t>Figure S5. Repartition of palliative patients stratified on year of intensive care unit (ICU) admission.</w:t>
        </w:r>
        <w:r w:rsidRPr="00B55EEA">
          <w:rPr>
            <w:rStyle w:val="Lienhypertexte"/>
            <w:noProof/>
          </w:rPr>
          <w:t xml:space="preserve"> Palliative were defined as patients who died in the ICU without being intubated. Other patients are referred as “full code ICU” patients. The proportion of palliative patients was significantly higher after than before 2010. P-value was calculated using Fisher’s exact test.</w:t>
        </w:r>
        <w:r>
          <w:rPr>
            <w:noProof/>
            <w:webHidden/>
          </w:rPr>
          <w:tab/>
        </w:r>
        <w:r>
          <w:rPr>
            <w:noProof/>
            <w:webHidden/>
          </w:rPr>
          <w:fldChar w:fldCharType="begin"/>
        </w:r>
        <w:r>
          <w:rPr>
            <w:noProof/>
            <w:webHidden/>
          </w:rPr>
          <w:instrText xml:space="preserve"> PAGEREF _Toc212854922 \h </w:instrText>
        </w:r>
        <w:r>
          <w:rPr>
            <w:noProof/>
            <w:webHidden/>
          </w:rPr>
        </w:r>
        <w:r>
          <w:rPr>
            <w:noProof/>
            <w:webHidden/>
          </w:rPr>
          <w:fldChar w:fldCharType="separate"/>
        </w:r>
        <w:r w:rsidR="0071394F">
          <w:rPr>
            <w:noProof/>
            <w:webHidden/>
          </w:rPr>
          <w:t>29</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3" w:history="1">
        <w:r w:rsidRPr="00B55EEA">
          <w:rPr>
            <w:rStyle w:val="Lienhypertexte"/>
            <w:b/>
            <w:bCs/>
            <w:noProof/>
          </w:rPr>
          <w:t>Figure S6. Repartition of patients who required invasive mechanical ventilation stratified according to year of intensive care unit (ICU) admission.</w:t>
        </w:r>
        <w:r w:rsidRPr="00B55EEA">
          <w:rPr>
            <w:rStyle w:val="Lienhypertexte"/>
            <w:noProof/>
          </w:rPr>
          <w:t xml:space="preserve"> There was no significant difference between patients admitted before versus after 2010. P-value was calculated using Fisher’s exact test.</w:t>
        </w:r>
        <w:r>
          <w:rPr>
            <w:noProof/>
            <w:webHidden/>
          </w:rPr>
          <w:tab/>
        </w:r>
        <w:r>
          <w:rPr>
            <w:noProof/>
            <w:webHidden/>
          </w:rPr>
          <w:fldChar w:fldCharType="begin"/>
        </w:r>
        <w:r>
          <w:rPr>
            <w:noProof/>
            <w:webHidden/>
          </w:rPr>
          <w:instrText xml:space="preserve"> PAGEREF _Toc212854923 \h </w:instrText>
        </w:r>
        <w:r>
          <w:rPr>
            <w:noProof/>
            <w:webHidden/>
          </w:rPr>
        </w:r>
        <w:r>
          <w:rPr>
            <w:noProof/>
            <w:webHidden/>
          </w:rPr>
          <w:fldChar w:fldCharType="separate"/>
        </w:r>
        <w:r w:rsidR="0071394F">
          <w:rPr>
            <w:noProof/>
            <w:webHidden/>
          </w:rPr>
          <w:t>29</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4" w:history="1">
        <w:r w:rsidRPr="00B55EEA">
          <w:rPr>
            <w:rStyle w:val="Lienhypertexte"/>
            <w:b/>
            <w:bCs/>
            <w:noProof/>
          </w:rPr>
          <w:t>Figure S7. Crude intensive care unit (ICU) mortality in high-income and upper-middle countries. ICU mortality was lower in high-income countries.</w:t>
        </w:r>
        <w:r w:rsidRPr="00B55EEA">
          <w:rPr>
            <w:rStyle w:val="Lienhypertexte"/>
            <w:noProof/>
          </w:rPr>
          <w:t xml:space="preserve"> P-value was calculated using Fisher’s exact test.</w:t>
        </w:r>
        <w:r>
          <w:rPr>
            <w:noProof/>
            <w:webHidden/>
          </w:rPr>
          <w:tab/>
        </w:r>
        <w:r>
          <w:rPr>
            <w:noProof/>
            <w:webHidden/>
          </w:rPr>
          <w:fldChar w:fldCharType="begin"/>
        </w:r>
        <w:r>
          <w:rPr>
            <w:noProof/>
            <w:webHidden/>
          </w:rPr>
          <w:instrText xml:space="preserve"> PAGEREF _Toc212854924 \h </w:instrText>
        </w:r>
        <w:r>
          <w:rPr>
            <w:noProof/>
            <w:webHidden/>
          </w:rPr>
        </w:r>
        <w:r>
          <w:rPr>
            <w:noProof/>
            <w:webHidden/>
          </w:rPr>
          <w:fldChar w:fldCharType="separate"/>
        </w:r>
        <w:r w:rsidR="0071394F">
          <w:rPr>
            <w:noProof/>
            <w:webHidden/>
          </w:rPr>
          <w:t>30</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5" w:history="1">
        <w:r w:rsidRPr="00B55EEA">
          <w:rPr>
            <w:rStyle w:val="Lienhypertexte"/>
            <w:b/>
            <w:bCs/>
            <w:noProof/>
          </w:rPr>
          <w:t>Figure S8. Crude intensive care unit (ICU) mortality of intubated patients in high-income and upper-middle countries.</w:t>
        </w:r>
        <w:r w:rsidRPr="00B55EEA">
          <w:rPr>
            <w:rStyle w:val="Lienhypertexte"/>
            <w:noProof/>
          </w:rPr>
          <w:t xml:space="preserve"> ICU mortality was lower in high-income countries. P-value was calculated using Fisher’s exact test.</w:t>
        </w:r>
        <w:r>
          <w:rPr>
            <w:noProof/>
            <w:webHidden/>
          </w:rPr>
          <w:tab/>
        </w:r>
        <w:r>
          <w:rPr>
            <w:noProof/>
            <w:webHidden/>
          </w:rPr>
          <w:fldChar w:fldCharType="begin"/>
        </w:r>
        <w:r>
          <w:rPr>
            <w:noProof/>
            <w:webHidden/>
          </w:rPr>
          <w:instrText xml:space="preserve"> PAGEREF _Toc212854925 \h </w:instrText>
        </w:r>
        <w:r>
          <w:rPr>
            <w:noProof/>
            <w:webHidden/>
          </w:rPr>
        </w:r>
        <w:r>
          <w:rPr>
            <w:noProof/>
            <w:webHidden/>
          </w:rPr>
          <w:fldChar w:fldCharType="separate"/>
        </w:r>
        <w:r w:rsidR="0071394F">
          <w:rPr>
            <w:noProof/>
            <w:webHidden/>
          </w:rPr>
          <w:t>30</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6" w:history="1">
        <w:r w:rsidRPr="00B55EEA">
          <w:rPr>
            <w:rStyle w:val="Lienhypertexte"/>
            <w:b/>
            <w:bCs/>
            <w:noProof/>
          </w:rPr>
          <w:t>Figure S9. Visual representation of the association between intensive care unit (ICU) mortality, age, and year of admission, in the overall population.</w:t>
        </w:r>
        <w:r w:rsidRPr="00B55EEA">
          <w:rPr>
            <w:rStyle w:val="Lienhypertexte"/>
            <w:noProof/>
          </w:rPr>
          <w:t xml:space="preserve"> This representation was modeled using a spline regression model. Patients admitted before 2010 and patients admitted after 2010 are modeled in blue and orange with confidence intervals, respectively.</w:t>
        </w:r>
        <w:r>
          <w:rPr>
            <w:noProof/>
            <w:webHidden/>
          </w:rPr>
          <w:tab/>
        </w:r>
        <w:r>
          <w:rPr>
            <w:noProof/>
            <w:webHidden/>
          </w:rPr>
          <w:fldChar w:fldCharType="begin"/>
        </w:r>
        <w:r>
          <w:rPr>
            <w:noProof/>
            <w:webHidden/>
          </w:rPr>
          <w:instrText xml:space="preserve"> PAGEREF _Toc212854926 \h </w:instrText>
        </w:r>
        <w:r>
          <w:rPr>
            <w:noProof/>
            <w:webHidden/>
          </w:rPr>
        </w:r>
        <w:r>
          <w:rPr>
            <w:noProof/>
            <w:webHidden/>
          </w:rPr>
          <w:fldChar w:fldCharType="separate"/>
        </w:r>
        <w:r w:rsidR="0071394F">
          <w:rPr>
            <w:noProof/>
            <w:webHidden/>
          </w:rPr>
          <w:t>31</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7" w:history="1">
        <w:r w:rsidRPr="00B55EEA">
          <w:rPr>
            <w:rStyle w:val="Lienhypertexte"/>
            <w:b/>
            <w:bCs/>
            <w:noProof/>
          </w:rPr>
          <w:t>Figure S10. Visual representation of intensive care unit (ICU) mortality across the years in patients who required invasive mechanical ventilation.</w:t>
        </w:r>
        <w:r w:rsidRPr="00B55EEA">
          <w:rPr>
            <w:rStyle w:val="Lienhypertexte"/>
            <w:noProof/>
          </w:rPr>
          <w:t xml:space="preserve"> This representation was modeled using a spline regression model. Confidence intervals are represented.</w:t>
        </w:r>
        <w:r>
          <w:rPr>
            <w:noProof/>
            <w:webHidden/>
          </w:rPr>
          <w:tab/>
        </w:r>
        <w:r>
          <w:rPr>
            <w:noProof/>
            <w:webHidden/>
          </w:rPr>
          <w:fldChar w:fldCharType="begin"/>
        </w:r>
        <w:r>
          <w:rPr>
            <w:noProof/>
            <w:webHidden/>
          </w:rPr>
          <w:instrText xml:space="preserve"> PAGEREF _Toc212854927 \h </w:instrText>
        </w:r>
        <w:r>
          <w:rPr>
            <w:noProof/>
            <w:webHidden/>
          </w:rPr>
        </w:r>
        <w:r>
          <w:rPr>
            <w:noProof/>
            <w:webHidden/>
          </w:rPr>
          <w:fldChar w:fldCharType="separate"/>
        </w:r>
        <w:r w:rsidR="0071394F">
          <w:rPr>
            <w:noProof/>
            <w:webHidden/>
          </w:rPr>
          <w:t>31</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8" w:history="1">
        <w:r w:rsidRPr="00B55EEA">
          <w:rPr>
            <w:rStyle w:val="Lienhypertexte"/>
            <w:b/>
            <w:bCs/>
            <w:noProof/>
          </w:rPr>
          <w:t>Figure S11. Forest plots of results from mixed-effects logistic regression models.</w:t>
        </w:r>
        <w:r w:rsidRPr="00B55EEA">
          <w:rPr>
            <w:rStyle w:val="Lienhypertexte"/>
            <w:noProof/>
          </w:rPr>
          <w:t xml:space="preserve"> In these sensitivity analyses, age and year of Intensive care unit (ICU) were modeled as continuous variables. ICU of origin was modeled as a random variable with random intercept. Results are represented as log odds ratios (OR) with their 95% confidence intervals (95% CI) in the forest plot. OR with their 95% CI are presented in the right part of each panel. </w:t>
        </w:r>
        <w:r w:rsidRPr="00B55EEA">
          <w:rPr>
            <w:rStyle w:val="Lienhypertexte"/>
            <w:b/>
            <w:bCs/>
            <w:noProof/>
          </w:rPr>
          <w:t>Panel A</w:t>
        </w:r>
        <w:r w:rsidRPr="00B55EEA">
          <w:rPr>
            <w:rStyle w:val="Lienhypertexte"/>
            <w:noProof/>
          </w:rPr>
          <w:t xml:space="preserve"> presents the results for all included patients. </w:t>
        </w:r>
        <w:r w:rsidRPr="00B55EEA">
          <w:rPr>
            <w:rStyle w:val="Lienhypertexte"/>
            <w:b/>
            <w:bCs/>
            <w:noProof/>
          </w:rPr>
          <w:t>Panel B</w:t>
        </w:r>
        <w:r w:rsidRPr="00B55EEA">
          <w:rPr>
            <w:rStyle w:val="Lienhypertexte"/>
            <w:noProof/>
          </w:rPr>
          <w:t xml:space="preserve"> presents the results for patients who required invasive </w:t>
        </w:r>
        <w:r w:rsidRPr="00B55EEA">
          <w:rPr>
            <w:rStyle w:val="Lienhypertexte"/>
            <w:noProof/>
          </w:rPr>
          <w:lastRenderedPageBreak/>
          <w:t>mechanical ventilation. P-value &lt; 0.05 indicates that the explanatory variable is associated with ICU mortality.</w:t>
        </w:r>
        <w:r>
          <w:rPr>
            <w:noProof/>
            <w:webHidden/>
          </w:rPr>
          <w:tab/>
        </w:r>
        <w:r>
          <w:rPr>
            <w:noProof/>
            <w:webHidden/>
          </w:rPr>
          <w:fldChar w:fldCharType="begin"/>
        </w:r>
        <w:r>
          <w:rPr>
            <w:noProof/>
            <w:webHidden/>
          </w:rPr>
          <w:instrText xml:space="preserve"> PAGEREF _Toc212854928 \h </w:instrText>
        </w:r>
        <w:r>
          <w:rPr>
            <w:noProof/>
            <w:webHidden/>
          </w:rPr>
        </w:r>
        <w:r>
          <w:rPr>
            <w:noProof/>
            <w:webHidden/>
          </w:rPr>
          <w:fldChar w:fldCharType="separate"/>
        </w:r>
        <w:r w:rsidR="0071394F">
          <w:rPr>
            <w:noProof/>
            <w:webHidden/>
          </w:rPr>
          <w:t>32</w:t>
        </w:r>
        <w:r>
          <w:rPr>
            <w:noProof/>
            <w:webHidden/>
          </w:rPr>
          <w:fldChar w:fldCharType="end"/>
        </w:r>
      </w:hyperlink>
    </w:p>
    <w:p w:rsidR="00AB4069" w:rsidRDefault="00AB4069">
      <w:pPr>
        <w:pStyle w:val="Tabledesillustrations"/>
        <w:tabs>
          <w:tab w:val="right" w:leader="dot" w:pos="9062"/>
        </w:tabs>
        <w:rPr>
          <w:rFonts w:asciiTheme="minorHAnsi" w:eastAsiaTheme="minorEastAsia" w:hAnsiTheme="minorHAnsi"/>
          <w:noProof/>
          <w:lang w:val="fr-FR" w:eastAsia="fr-FR"/>
        </w:rPr>
      </w:pPr>
      <w:hyperlink w:anchor="_Toc212854929" w:history="1">
        <w:r w:rsidRPr="00B55EEA">
          <w:rPr>
            <w:rStyle w:val="Lienhypertexte"/>
            <w:b/>
            <w:bCs/>
            <w:noProof/>
          </w:rPr>
          <w:t>Figure S12. Receiver operating characteristic (ROC) curves for each mixed-effects logistic regression model.</w:t>
        </w:r>
        <w:r w:rsidRPr="00B55EEA">
          <w:rPr>
            <w:rStyle w:val="Lienhypertexte"/>
            <w:noProof/>
          </w:rPr>
          <w:t xml:space="preserve"> ROC curve of model for the overall population and for intubated patients are represented in blue and red, respectively. Areas under the curve (AUC) are presented on the top of each ROC curve. P-value were calculated using the Homer-Lemeshow test (H-L test). P-values &lt; 0.05 indicates a poor goodness of fit. Panel A and Panel B represent ROC curves for models using age and year of intensive care unit (ICU) admission as categorical variables. Panel C and Panel D represent ROC curves for models using age and year of ICU admission as continuous variables.</w:t>
        </w:r>
        <w:r>
          <w:rPr>
            <w:noProof/>
            <w:webHidden/>
          </w:rPr>
          <w:tab/>
        </w:r>
        <w:r>
          <w:rPr>
            <w:noProof/>
            <w:webHidden/>
          </w:rPr>
          <w:fldChar w:fldCharType="begin"/>
        </w:r>
        <w:r>
          <w:rPr>
            <w:noProof/>
            <w:webHidden/>
          </w:rPr>
          <w:instrText xml:space="preserve"> PAGEREF _Toc212854929 \h </w:instrText>
        </w:r>
        <w:r>
          <w:rPr>
            <w:noProof/>
            <w:webHidden/>
          </w:rPr>
        </w:r>
        <w:r>
          <w:rPr>
            <w:noProof/>
            <w:webHidden/>
          </w:rPr>
          <w:fldChar w:fldCharType="separate"/>
        </w:r>
        <w:r w:rsidR="0071394F">
          <w:rPr>
            <w:noProof/>
            <w:webHidden/>
          </w:rPr>
          <w:t>33</w:t>
        </w:r>
        <w:r>
          <w:rPr>
            <w:noProof/>
            <w:webHidden/>
          </w:rPr>
          <w:fldChar w:fldCharType="end"/>
        </w:r>
      </w:hyperlink>
    </w:p>
    <w:p w:rsidR="00E522AF" w:rsidRPr="00345641" w:rsidRDefault="00E522AF" w:rsidP="00551117">
      <w:r>
        <w:fldChar w:fldCharType="end"/>
      </w:r>
    </w:p>
    <w:p w:rsidR="00347EE6" w:rsidRPr="00345641" w:rsidRDefault="00347EE6">
      <w:pPr>
        <w:jc w:val="left"/>
        <w:sectPr w:rsidR="00347EE6" w:rsidRPr="00345641">
          <w:pgSz w:w="11906" w:h="16838"/>
          <w:pgMar w:top="1417" w:right="1417" w:bottom="1417" w:left="1417" w:header="708" w:footer="708" w:gutter="0"/>
          <w:cols w:space="708"/>
          <w:docGrid w:linePitch="360"/>
        </w:sectPr>
      </w:pPr>
    </w:p>
    <w:p w:rsidR="00EE6A55" w:rsidRPr="00345641" w:rsidRDefault="00EE6A55" w:rsidP="00EE6A55">
      <w:pPr>
        <w:rPr>
          <w:b/>
          <w:bCs/>
        </w:rPr>
      </w:pPr>
      <w:bookmarkStart w:id="0" w:name="_Toc212854886"/>
      <w:r w:rsidRPr="00345641">
        <w:rPr>
          <w:b/>
          <w:bCs/>
        </w:rPr>
        <w:lastRenderedPageBreak/>
        <w:t>Table S</w:t>
      </w:r>
      <w:r w:rsidRPr="00345641">
        <w:rPr>
          <w:b/>
          <w:bCs/>
        </w:rPr>
        <w:fldChar w:fldCharType="begin"/>
      </w:r>
      <w:r w:rsidRPr="00345641">
        <w:rPr>
          <w:b/>
          <w:bCs/>
        </w:rPr>
        <w:instrText xml:space="preserve"> SEQ Table \* ARABIC </w:instrText>
      </w:r>
      <w:r w:rsidRPr="00345641">
        <w:rPr>
          <w:b/>
          <w:bCs/>
        </w:rPr>
        <w:fldChar w:fldCharType="separate"/>
      </w:r>
      <w:r w:rsidR="001764B7">
        <w:rPr>
          <w:b/>
          <w:bCs/>
          <w:noProof/>
        </w:rPr>
        <w:t>1</w:t>
      </w:r>
      <w:r w:rsidRPr="00345641">
        <w:rPr>
          <w:b/>
          <w:bCs/>
        </w:rPr>
        <w:fldChar w:fldCharType="end"/>
      </w:r>
      <w:r w:rsidRPr="00345641">
        <w:rPr>
          <w:b/>
          <w:bCs/>
        </w:rPr>
        <w:t>. Preferred Reporting Items for Systematic Review and Meta- Analysis of Individual Participant Data (PRISMA-IPD) checklist.</w:t>
      </w:r>
      <w:bookmarkEnd w:id="0"/>
      <w:r w:rsidRPr="00345641">
        <w:rPr>
          <w:b/>
          <w:bCs/>
        </w:rPr>
        <w:t xml:space="preserve"> </w:t>
      </w:r>
    </w:p>
    <w:tbl>
      <w:tblPr>
        <w:tblW w:w="0" w:type="auto"/>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1"/>
        <w:gridCol w:w="1134"/>
      </w:tblGrid>
      <w:tr w:rsidR="00347EE6" w:rsidRPr="00345641" w:rsidTr="0078588B">
        <w:tc>
          <w:tcPr>
            <w:tcW w:w="1560" w:type="dxa"/>
            <w:shd w:val="clear" w:color="auto" w:fill="BF8F00" w:themeFill="accent4" w:themeFillShade="BF"/>
          </w:tcPr>
          <w:p w:rsidR="00347EE6" w:rsidRPr="00345641" w:rsidRDefault="00347EE6" w:rsidP="0078588B">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PRISMA-IPD</w:t>
            </w:r>
          </w:p>
          <w:p w:rsidR="00347EE6" w:rsidRPr="00345641" w:rsidRDefault="00347EE6" w:rsidP="0078588B">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Section/topic</w:t>
            </w:r>
          </w:p>
        </w:tc>
        <w:tc>
          <w:tcPr>
            <w:tcW w:w="709" w:type="dxa"/>
            <w:shd w:val="clear" w:color="auto" w:fill="BF8F00" w:themeFill="accent4" w:themeFillShade="BF"/>
          </w:tcPr>
          <w:p w:rsidR="00347EE6" w:rsidRPr="00345641" w:rsidRDefault="00347EE6" w:rsidP="0078588B">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Item No</w:t>
            </w:r>
          </w:p>
        </w:tc>
        <w:tc>
          <w:tcPr>
            <w:tcW w:w="10631" w:type="dxa"/>
            <w:shd w:val="clear" w:color="auto" w:fill="BF8F00" w:themeFill="accent4" w:themeFillShade="BF"/>
          </w:tcPr>
          <w:p w:rsidR="00347EE6" w:rsidRPr="00345641" w:rsidRDefault="00347EE6" w:rsidP="0078588B">
            <w:pPr>
              <w:pStyle w:val="Default"/>
              <w:rPr>
                <w:rFonts w:asciiTheme="majorHAnsi" w:hAnsiTheme="majorHAnsi" w:cs="Arial"/>
                <w:b/>
                <w:bCs/>
                <w:color w:val="FFFFFF" w:themeColor="background1"/>
                <w:sz w:val="20"/>
                <w:szCs w:val="20"/>
                <w:lang w:val="en-US"/>
              </w:rPr>
            </w:pPr>
            <w:r w:rsidRPr="00345641">
              <w:rPr>
                <w:rFonts w:asciiTheme="majorHAnsi" w:hAnsiTheme="majorHAnsi" w:cs="Arial"/>
                <w:b/>
                <w:bCs/>
                <w:color w:val="FFFFFF" w:themeColor="background1"/>
                <w:sz w:val="20"/>
                <w:szCs w:val="20"/>
                <w:lang w:val="en-US"/>
              </w:rPr>
              <w:t>Checklist item</w:t>
            </w:r>
          </w:p>
          <w:p w:rsidR="00347EE6" w:rsidRPr="00345641" w:rsidRDefault="00347EE6" w:rsidP="0078588B">
            <w:pPr>
              <w:pStyle w:val="Default"/>
              <w:rPr>
                <w:rFonts w:asciiTheme="majorHAnsi" w:hAnsiTheme="majorHAnsi" w:cs="Arial"/>
                <w:b/>
                <w:bCs/>
                <w:color w:val="FFFFFF" w:themeColor="background1"/>
                <w:sz w:val="20"/>
                <w:szCs w:val="20"/>
                <w:lang w:val="en-US"/>
              </w:rPr>
            </w:pPr>
          </w:p>
        </w:tc>
        <w:tc>
          <w:tcPr>
            <w:tcW w:w="1134" w:type="dxa"/>
            <w:shd w:val="clear" w:color="auto" w:fill="BF8F00" w:themeFill="accent4" w:themeFillShade="BF"/>
          </w:tcPr>
          <w:p w:rsidR="00347EE6" w:rsidRPr="00345641" w:rsidRDefault="00347EE6" w:rsidP="0078588B">
            <w:pPr>
              <w:pStyle w:val="Default"/>
              <w:rPr>
                <w:rFonts w:asciiTheme="minorHAnsi" w:hAnsiTheme="minorHAnsi" w:cs="Arial"/>
                <w:b/>
                <w:bCs/>
                <w:color w:val="FFFFFF" w:themeColor="background1"/>
                <w:sz w:val="20"/>
                <w:szCs w:val="20"/>
                <w:lang w:val="en-US"/>
              </w:rPr>
            </w:pPr>
            <w:r w:rsidRPr="00345641">
              <w:rPr>
                <w:rFonts w:asciiTheme="minorHAnsi" w:hAnsiTheme="minorHAnsi" w:cs="Arial"/>
                <w:b/>
                <w:bCs/>
                <w:color w:val="FFFFFF" w:themeColor="background1"/>
                <w:sz w:val="20"/>
                <w:szCs w:val="20"/>
                <w:lang w:val="en-US"/>
              </w:rPr>
              <w:t>Reported on page</w:t>
            </w:r>
          </w:p>
        </w:tc>
      </w:tr>
      <w:tr w:rsidR="00347EE6" w:rsidRPr="00345641" w:rsidTr="0078588B">
        <w:trPr>
          <w:trHeight w:val="315"/>
        </w:trPr>
        <w:tc>
          <w:tcPr>
            <w:tcW w:w="14034" w:type="dxa"/>
            <w:gridSpan w:val="4"/>
            <w:shd w:val="clear" w:color="auto" w:fill="FFE599" w:themeFill="accent4" w:themeFillTint="66"/>
          </w:tcPr>
          <w:p w:rsidR="00347EE6" w:rsidRPr="00345641" w:rsidRDefault="00347EE6" w:rsidP="0078588B">
            <w:pPr>
              <w:spacing w:after="120" w:line="240" w:lineRule="auto"/>
              <w:rPr>
                <w:rFonts w:asciiTheme="majorHAnsi" w:hAnsiTheme="majorHAnsi"/>
                <w:b/>
                <w:sz w:val="20"/>
                <w:szCs w:val="20"/>
              </w:rPr>
            </w:pPr>
            <w:r w:rsidRPr="00345641">
              <w:rPr>
                <w:rFonts w:asciiTheme="majorHAnsi" w:hAnsiTheme="majorHAnsi"/>
                <w:b/>
                <w:sz w:val="20"/>
                <w:szCs w:val="20"/>
              </w:rPr>
              <w:t>Title</w:t>
            </w:r>
          </w:p>
        </w:tc>
      </w:tr>
      <w:tr w:rsidR="00347EE6" w:rsidRPr="00345641" w:rsidTr="0078588B">
        <w:tc>
          <w:tcPr>
            <w:tcW w:w="1560"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sz w:val="20"/>
                <w:szCs w:val="20"/>
              </w:rPr>
              <w:t>Title</w:t>
            </w:r>
          </w:p>
        </w:tc>
        <w:tc>
          <w:tcPr>
            <w:tcW w:w="709" w:type="dxa"/>
          </w:tcPr>
          <w:p w:rsidR="00347EE6" w:rsidRPr="00345641" w:rsidRDefault="00347EE6" w:rsidP="0078588B">
            <w:pPr>
              <w:spacing w:after="0" w:line="240" w:lineRule="auto"/>
              <w:jc w:val="center"/>
              <w:rPr>
                <w:rFonts w:asciiTheme="majorHAnsi" w:hAnsiTheme="majorHAnsi"/>
                <w:sz w:val="20"/>
                <w:szCs w:val="20"/>
              </w:rPr>
            </w:pPr>
            <w:r w:rsidRPr="00345641">
              <w:rPr>
                <w:rFonts w:asciiTheme="majorHAnsi" w:hAnsiTheme="majorHAnsi"/>
                <w:sz w:val="20"/>
                <w:szCs w:val="20"/>
              </w:rPr>
              <w:t>1</w:t>
            </w: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sz w:val="20"/>
                <w:szCs w:val="20"/>
              </w:rPr>
              <w:t>Identify the report as a systematic review and meta-analysis of individual participant data.</w:t>
            </w:r>
          </w:p>
        </w:tc>
        <w:tc>
          <w:tcPr>
            <w:tcW w:w="1134" w:type="dxa"/>
          </w:tcPr>
          <w:p w:rsidR="00347EE6" w:rsidRPr="00345641" w:rsidRDefault="00EE6A55" w:rsidP="0078588B">
            <w:pPr>
              <w:spacing w:line="240" w:lineRule="auto"/>
              <w:rPr>
                <w:sz w:val="20"/>
                <w:szCs w:val="20"/>
              </w:rPr>
            </w:pPr>
            <w:r w:rsidRPr="00345641">
              <w:rPr>
                <w:sz w:val="20"/>
                <w:szCs w:val="20"/>
              </w:rPr>
              <w:t>1</w:t>
            </w:r>
          </w:p>
        </w:tc>
      </w:tr>
      <w:tr w:rsidR="00347EE6" w:rsidRPr="00345641" w:rsidTr="0078588B">
        <w:tc>
          <w:tcPr>
            <w:tcW w:w="14034" w:type="dxa"/>
            <w:gridSpan w:val="4"/>
            <w:shd w:val="clear" w:color="auto" w:fill="FFE599" w:themeFill="accent4" w:themeFillTint="66"/>
          </w:tcPr>
          <w:p w:rsidR="00347EE6" w:rsidRPr="00345641" w:rsidRDefault="00347EE6" w:rsidP="0078588B">
            <w:pPr>
              <w:rPr>
                <w:rFonts w:asciiTheme="majorHAnsi" w:hAnsiTheme="majorHAnsi"/>
                <w:b/>
                <w:sz w:val="20"/>
                <w:szCs w:val="20"/>
              </w:rPr>
            </w:pPr>
            <w:r w:rsidRPr="00345641">
              <w:rPr>
                <w:rFonts w:asciiTheme="majorHAnsi" w:hAnsiTheme="majorHAnsi"/>
                <w:b/>
                <w:sz w:val="20"/>
                <w:szCs w:val="20"/>
              </w:rPr>
              <w:t>Abstract</w:t>
            </w:r>
          </w:p>
        </w:tc>
      </w:tr>
      <w:tr w:rsidR="00347EE6" w:rsidRPr="00345641" w:rsidTr="0078588B">
        <w:trPr>
          <w:trHeight w:val="312"/>
        </w:trPr>
        <w:tc>
          <w:tcPr>
            <w:tcW w:w="1560" w:type="dxa"/>
            <w:vMerge w:val="restart"/>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Structured summary</w:t>
            </w:r>
          </w:p>
        </w:tc>
        <w:tc>
          <w:tcPr>
            <w:tcW w:w="709" w:type="dxa"/>
            <w:vMerge w:val="restart"/>
          </w:tcPr>
          <w:p w:rsidR="00347EE6" w:rsidRPr="00345641" w:rsidRDefault="00347EE6" w:rsidP="0078588B">
            <w:pPr>
              <w:jc w:val="center"/>
              <w:rPr>
                <w:rFonts w:asciiTheme="majorHAnsi" w:hAnsiTheme="majorHAnsi"/>
                <w:sz w:val="20"/>
                <w:szCs w:val="20"/>
              </w:rPr>
            </w:pPr>
            <w:r w:rsidRPr="00345641">
              <w:rPr>
                <w:rFonts w:asciiTheme="majorHAnsi" w:hAnsiTheme="majorHAnsi"/>
                <w:sz w:val="20"/>
                <w:szCs w:val="20"/>
              </w:rPr>
              <w:t>2</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Provide a structured summary including as applicable:</w:t>
            </w:r>
          </w:p>
        </w:tc>
        <w:tc>
          <w:tcPr>
            <w:tcW w:w="1134" w:type="dxa"/>
            <w:vMerge w:val="restart"/>
          </w:tcPr>
          <w:p w:rsidR="00347EE6" w:rsidRPr="00345641" w:rsidRDefault="00EE6A55" w:rsidP="0078588B">
            <w:pPr>
              <w:spacing w:line="240" w:lineRule="auto"/>
              <w:rPr>
                <w:sz w:val="20"/>
                <w:szCs w:val="20"/>
              </w:rPr>
            </w:pPr>
            <w:r w:rsidRPr="00345641">
              <w:rPr>
                <w:sz w:val="20"/>
                <w:szCs w:val="20"/>
              </w:rPr>
              <w:t>4</w:t>
            </w:r>
          </w:p>
        </w:tc>
      </w:tr>
      <w:tr w:rsidR="00347EE6" w:rsidRPr="00345641" w:rsidTr="0078588B">
        <w:trPr>
          <w:trHeight w:val="311"/>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line="240" w:lineRule="auto"/>
              <w:jc w:val="center"/>
              <w:rPr>
                <w:rFonts w:asciiTheme="majorHAnsi" w:hAnsiTheme="majorHAnsi"/>
                <w:sz w:val="20"/>
                <w:szCs w:val="20"/>
              </w:rPr>
            </w:pP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b/>
                <w:sz w:val="20"/>
                <w:szCs w:val="20"/>
              </w:rPr>
              <w:t>Background</w:t>
            </w:r>
            <w:r w:rsidRPr="00345641">
              <w:rPr>
                <w:rFonts w:asciiTheme="majorHAnsi" w:hAnsiTheme="majorHAnsi"/>
                <w:sz w:val="20"/>
                <w:szCs w:val="20"/>
              </w:rPr>
              <w:t>: state research question and main objectives, with information on participants, interventions, comparators and outcomes.</w:t>
            </w:r>
          </w:p>
        </w:tc>
        <w:tc>
          <w:tcPr>
            <w:tcW w:w="1134" w:type="dxa"/>
            <w:vMerge/>
          </w:tcPr>
          <w:p w:rsidR="00347EE6" w:rsidRPr="00345641" w:rsidRDefault="00347EE6" w:rsidP="0078588B">
            <w:pPr>
              <w:spacing w:line="240" w:lineRule="auto"/>
              <w:rPr>
                <w:sz w:val="20"/>
                <w:szCs w:val="20"/>
              </w:rPr>
            </w:pPr>
          </w:p>
        </w:tc>
      </w:tr>
      <w:tr w:rsidR="00347EE6" w:rsidRPr="00345641" w:rsidTr="0078588B">
        <w:trPr>
          <w:trHeight w:val="311"/>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line="240" w:lineRule="auto"/>
              <w:jc w:val="center"/>
              <w:rPr>
                <w:rFonts w:asciiTheme="majorHAnsi" w:hAnsiTheme="majorHAnsi"/>
                <w:sz w:val="20"/>
                <w:szCs w:val="20"/>
              </w:rPr>
            </w:pP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b/>
                <w:sz w:val="20"/>
                <w:szCs w:val="20"/>
              </w:rPr>
              <w:t>Methods</w:t>
            </w:r>
            <w:r w:rsidRPr="00345641">
              <w:rPr>
                <w:rFonts w:asciiTheme="majorHAnsi" w:hAnsiTheme="majorHAnsi"/>
                <w:sz w:val="20"/>
                <w:szCs w:val="20"/>
              </w:rPr>
              <w:t>: report eligibility criteria; data sources including dates of last bibliographic search or elicitation, noting that IPD were sought; methods of assessing risk of bias.</w:t>
            </w:r>
          </w:p>
        </w:tc>
        <w:tc>
          <w:tcPr>
            <w:tcW w:w="1134" w:type="dxa"/>
            <w:vMerge/>
          </w:tcPr>
          <w:p w:rsidR="00347EE6" w:rsidRPr="00345641" w:rsidRDefault="00347EE6" w:rsidP="0078588B">
            <w:pPr>
              <w:spacing w:line="240" w:lineRule="auto"/>
              <w:rPr>
                <w:sz w:val="20"/>
                <w:szCs w:val="20"/>
              </w:rPr>
            </w:pPr>
          </w:p>
        </w:tc>
      </w:tr>
      <w:tr w:rsidR="00347EE6" w:rsidRPr="00345641" w:rsidTr="0078588B">
        <w:trPr>
          <w:trHeight w:val="311"/>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line="240" w:lineRule="auto"/>
              <w:jc w:val="center"/>
              <w:rPr>
                <w:rFonts w:asciiTheme="majorHAnsi" w:hAnsiTheme="majorHAnsi"/>
                <w:sz w:val="20"/>
                <w:szCs w:val="20"/>
              </w:rPr>
            </w:pP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b/>
                <w:sz w:val="20"/>
                <w:szCs w:val="20"/>
              </w:rPr>
              <w:t>Results</w:t>
            </w:r>
            <w:r w:rsidRPr="00345641">
              <w:rPr>
                <w:rFonts w:asciiTheme="majorHAnsi" w:hAnsiTheme="majorHAnsi"/>
                <w:sz w:val="20"/>
                <w:szCs w:val="20"/>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134" w:type="dxa"/>
            <w:vMerge/>
          </w:tcPr>
          <w:p w:rsidR="00347EE6" w:rsidRPr="00345641" w:rsidRDefault="00347EE6" w:rsidP="0078588B">
            <w:pPr>
              <w:spacing w:line="240" w:lineRule="auto"/>
              <w:rPr>
                <w:sz w:val="20"/>
                <w:szCs w:val="20"/>
              </w:rPr>
            </w:pPr>
          </w:p>
        </w:tc>
      </w:tr>
      <w:tr w:rsidR="00347EE6" w:rsidRPr="00345641" w:rsidTr="0078588B">
        <w:trPr>
          <w:trHeight w:val="311"/>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line="240" w:lineRule="auto"/>
              <w:jc w:val="center"/>
              <w:rPr>
                <w:rFonts w:asciiTheme="majorHAnsi" w:hAnsiTheme="majorHAnsi"/>
                <w:sz w:val="20"/>
                <w:szCs w:val="20"/>
              </w:rPr>
            </w:pP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b/>
                <w:sz w:val="20"/>
                <w:szCs w:val="20"/>
              </w:rPr>
              <w:t>Discussion:</w:t>
            </w:r>
            <w:r w:rsidRPr="00345641">
              <w:rPr>
                <w:rFonts w:asciiTheme="majorHAnsi" w:hAnsiTheme="majorHAnsi"/>
                <w:sz w:val="20"/>
                <w:szCs w:val="20"/>
              </w:rPr>
              <w:t xml:space="preserve"> state main strengths and limitations of the evidence, general interpretation of the results and any important implications.</w:t>
            </w:r>
          </w:p>
        </w:tc>
        <w:tc>
          <w:tcPr>
            <w:tcW w:w="1134" w:type="dxa"/>
            <w:vMerge/>
          </w:tcPr>
          <w:p w:rsidR="00347EE6" w:rsidRPr="00345641" w:rsidRDefault="00347EE6" w:rsidP="0078588B">
            <w:pPr>
              <w:spacing w:line="240" w:lineRule="auto"/>
              <w:rPr>
                <w:sz w:val="20"/>
                <w:szCs w:val="20"/>
              </w:rPr>
            </w:pPr>
          </w:p>
        </w:tc>
      </w:tr>
      <w:tr w:rsidR="00347EE6" w:rsidRPr="00345641" w:rsidTr="0078588B">
        <w:trPr>
          <w:trHeight w:val="311"/>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line="240" w:lineRule="auto"/>
              <w:jc w:val="center"/>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b/>
                <w:sz w:val="20"/>
                <w:szCs w:val="20"/>
              </w:rPr>
              <w:t>Other:</w:t>
            </w:r>
            <w:r w:rsidRPr="00345641">
              <w:rPr>
                <w:rFonts w:asciiTheme="majorHAnsi" w:hAnsiTheme="majorHAnsi"/>
                <w:sz w:val="20"/>
                <w:szCs w:val="20"/>
              </w:rPr>
              <w:t xml:space="preserve"> report primary funding source, registration number and registry name for the systematic review and IPD meta-analysis.</w:t>
            </w:r>
          </w:p>
        </w:tc>
        <w:tc>
          <w:tcPr>
            <w:tcW w:w="1134" w:type="dxa"/>
            <w:vMerge/>
          </w:tcPr>
          <w:p w:rsidR="00347EE6" w:rsidRPr="00345641" w:rsidRDefault="00347EE6" w:rsidP="0078588B">
            <w:pPr>
              <w:spacing w:line="240" w:lineRule="auto"/>
              <w:rPr>
                <w:sz w:val="20"/>
                <w:szCs w:val="20"/>
              </w:rPr>
            </w:pPr>
          </w:p>
        </w:tc>
      </w:tr>
      <w:tr w:rsidR="00347EE6" w:rsidRPr="00345641" w:rsidTr="0078588B">
        <w:tc>
          <w:tcPr>
            <w:tcW w:w="14034" w:type="dxa"/>
            <w:gridSpan w:val="4"/>
            <w:shd w:val="clear" w:color="auto" w:fill="FFE599" w:themeFill="accent4" w:themeFillTint="66"/>
          </w:tcPr>
          <w:p w:rsidR="00347EE6" w:rsidRPr="00345641" w:rsidRDefault="00347EE6" w:rsidP="0078588B">
            <w:pPr>
              <w:rPr>
                <w:rFonts w:asciiTheme="majorHAnsi" w:hAnsiTheme="majorHAnsi"/>
                <w:b/>
                <w:sz w:val="20"/>
                <w:szCs w:val="20"/>
              </w:rPr>
            </w:pPr>
            <w:r w:rsidRPr="00345641">
              <w:rPr>
                <w:rFonts w:asciiTheme="majorHAnsi" w:hAnsiTheme="majorHAnsi"/>
                <w:b/>
                <w:sz w:val="20"/>
                <w:szCs w:val="20"/>
              </w:rPr>
              <w:t>Introduction</w:t>
            </w:r>
          </w:p>
        </w:tc>
      </w:tr>
      <w:tr w:rsidR="00347EE6" w:rsidRPr="00345641" w:rsidTr="0078588B">
        <w:tc>
          <w:tcPr>
            <w:tcW w:w="1560"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Rationale</w:t>
            </w:r>
          </w:p>
        </w:tc>
        <w:tc>
          <w:tcPr>
            <w:tcW w:w="709" w:type="dxa"/>
          </w:tcPr>
          <w:p w:rsidR="00347EE6" w:rsidRPr="00345641" w:rsidRDefault="00347EE6" w:rsidP="0078588B">
            <w:pPr>
              <w:jc w:val="center"/>
              <w:rPr>
                <w:rFonts w:asciiTheme="majorHAnsi" w:hAnsiTheme="majorHAnsi"/>
                <w:sz w:val="20"/>
                <w:szCs w:val="20"/>
              </w:rPr>
            </w:pPr>
            <w:r w:rsidRPr="00345641">
              <w:rPr>
                <w:rFonts w:asciiTheme="majorHAnsi" w:hAnsiTheme="majorHAnsi"/>
                <w:sz w:val="20"/>
                <w:szCs w:val="20"/>
              </w:rPr>
              <w:t>3</w:t>
            </w: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sz w:val="20"/>
                <w:szCs w:val="20"/>
              </w:rPr>
              <w:t>Describe the rationale for the review in the context of what is already known.</w:t>
            </w:r>
          </w:p>
        </w:tc>
        <w:tc>
          <w:tcPr>
            <w:tcW w:w="1134" w:type="dxa"/>
          </w:tcPr>
          <w:p w:rsidR="00347EE6" w:rsidRPr="00345641" w:rsidRDefault="00EE6A55" w:rsidP="0078588B">
            <w:pPr>
              <w:spacing w:line="240" w:lineRule="auto"/>
              <w:rPr>
                <w:sz w:val="20"/>
                <w:szCs w:val="20"/>
              </w:rPr>
            </w:pPr>
            <w:r w:rsidRPr="00345641">
              <w:rPr>
                <w:sz w:val="20"/>
                <w:szCs w:val="20"/>
              </w:rPr>
              <w:t>6</w:t>
            </w:r>
          </w:p>
        </w:tc>
      </w:tr>
      <w:tr w:rsidR="00347EE6" w:rsidRPr="00345641" w:rsidTr="0078588B">
        <w:tc>
          <w:tcPr>
            <w:tcW w:w="1560"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Objectives</w:t>
            </w:r>
          </w:p>
        </w:tc>
        <w:tc>
          <w:tcPr>
            <w:tcW w:w="709" w:type="dxa"/>
          </w:tcPr>
          <w:p w:rsidR="00347EE6" w:rsidRPr="00345641" w:rsidRDefault="00347EE6" w:rsidP="0078588B">
            <w:pPr>
              <w:jc w:val="center"/>
              <w:rPr>
                <w:rFonts w:asciiTheme="majorHAnsi" w:hAnsiTheme="majorHAnsi"/>
                <w:sz w:val="20"/>
                <w:szCs w:val="20"/>
              </w:rPr>
            </w:pPr>
            <w:r w:rsidRPr="00345641">
              <w:rPr>
                <w:rFonts w:asciiTheme="majorHAnsi" w:hAnsiTheme="majorHAnsi"/>
                <w:sz w:val="20"/>
                <w:szCs w:val="20"/>
              </w:rPr>
              <w:t>4</w:t>
            </w:r>
          </w:p>
        </w:tc>
        <w:tc>
          <w:tcPr>
            <w:tcW w:w="10631" w:type="dxa"/>
          </w:tcPr>
          <w:p w:rsidR="00347EE6" w:rsidRPr="00345641" w:rsidRDefault="00347EE6" w:rsidP="0078588B">
            <w:pPr>
              <w:spacing w:after="0" w:line="240" w:lineRule="auto"/>
              <w:rPr>
                <w:rFonts w:asciiTheme="majorHAnsi" w:hAnsiTheme="majorHAnsi"/>
                <w:sz w:val="20"/>
                <w:szCs w:val="20"/>
              </w:rPr>
            </w:pPr>
            <w:r w:rsidRPr="00345641">
              <w:rPr>
                <w:rFonts w:asciiTheme="majorHAnsi" w:hAnsiTheme="majorHAnsi"/>
                <w:sz w:val="20"/>
                <w:szCs w:val="20"/>
              </w:rPr>
              <w:t xml:space="preserve">Provide an explicit statement of the questions being addressed with reference, as applicable, to participants, interventions, comparisons, outcomes and study design (PICOS). Include any hypotheses that relate to particular types of participant-level subgroups. </w:t>
            </w:r>
          </w:p>
        </w:tc>
        <w:tc>
          <w:tcPr>
            <w:tcW w:w="1134" w:type="dxa"/>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7</w:t>
            </w:r>
          </w:p>
        </w:tc>
      </w:tr>
      <w:tr w:rsidR="00347EE6" w:rsidRPr="00345641" w:rsidTr="0078588B">
        <w:tc>
          <w:tcPr>
            <w:tcW w:w="14034" w:type="dxa"/>
            <w:gridSpan w:val="4"/>
            <w:shd w:val="clear" w:color="auto" w:fill="FFE599" w:themeFill="accent4" w:themeFillTint="66"/>
          </w:tcPr>
          <w:p w:rsidR="00347EE6" w:rsidRPr="00345641" w:rsidRDefault="00347EE6" w:rsidP="0078588B">
            <w:pPr>
              <w:spacing w:after="120" w:line="240" w:lineRule="auto"/>
              <w:rPr>
                <w:rFonts w:asciiTheme="majorHAnsi" w:hAnsiTheme="majorHAnsi"/>
                <w:b/>
                <w:sz w:val="20"/>
                <w:szCs w:val="20"/>
              </w:rPr>
            </w:pPr>
            <w:r w:rsidRPr="00345641">
              <w:rPr>
                <w:rFonts w:asciiTheme="majorHAnsi" w:hAnsiTheme="majorHAnsi"/>
                <w:b/>
                <w:sz w:val="20"/>
                <w:szCs w:val="20"/>
              </w:rPr>
              <w:t>Methods</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Protocol and registration</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5</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Indicate if a protocol exists and where it can be accessed.  If available, provide registration information including registration number and registry name. Provide publication details, if applicable.</w:t>
            </w:r>
          </w:p>
        </w:tc>
        <w:tc>
          <w:tcPr>
            <w:tcW w:w="1134" w:type="dxa"/>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8</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Eligibility criteria</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6</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134" w:type="dxa"/>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8</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lastRenderedPageBreak/>
              <w:t xml:space="preserve">Identifying studies - information sources </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7</w:t>
            </w:r>
          </w:p>
          <w:p w:rsidR="00347EE6" w:rsidRPr="00345641" w:rsidRDefault="00347EE6" w:rsidP="0078588B">
            <w:pPr>
              <w:spacing w:after="120" w:line="240" w:lineRule="auto"/>
              <w:jc w:val="center"/>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Describe all methods of identifying published and unpublished studies including, as applicable: which bibliographic databases were searched with dates of coverage; details of any hand searching including of conference proceedings; use of study registers and agency or company databases; contact with the original research team and experts in the field; open adverts and surveys. Give the date of last search or elicitation. </w:t>
            </w:r>
          </w:p>
        </w:tc>
        <w:tc>
          <w:tcPr>
            <w:tcW w:w="1134" w:type="dxa"/>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8</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Identifying studies - search</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8</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Present the full electronic search strategy for at least one database, including any limits used, such that it could be repeated. </w:t>
            </w:r>
          </w:p>
        </w:tc>
        <w:tc>
          <w:tcPr>
            <w:tcW w:w="1134" w:type="dxa"/>
          </w:tcPr>
          <w:p w:rsidR="00347EE6" w:rsidRPr="00345641" w:rsidRDefault="00DD7D96" w:rsidP="0078588B">
            <w:pPr>
              <w:spacing w:line="240" w:lineRule="auto"/>
              <w:rPr>
                <w:rFonts w:asciiTheme="majorHAnsi" w:hAnsiTheme="majorHAnsi"/>
                <w:sz w:val="20"/>
                <w:szCs w:val="20"/>
              </w:rPr>
            </w:pPr>
            <w:r>
              <w:rPr>
                <w:rFonts w:asciiTheme="majorHAnsi" w:hAnsiTheme="majorHAnsi"/>
                <w:sz w:val="20"/>
                <w:szCs w:val="20"/>
              </w:rPr>
              <w:t>Table</w:t>
            </w:r>
            <w:r w:rsidR="00EE6A55" w:rsidRPr="00345641">
              <w:rPr>
                <w:rFonts w:asciiTheme="majorHAnsi" w:hAnsiTheme="majorHAnsi"/>
                <w:sz w:val="20"/>
                <w:szCs w:val="20"/>
              </w:rPr>
              <w:t xml:space="preserve"> </w:t>
            </w:r>
            <w:r>
              <w:rPr>
                <w:rFonts w:asciiTheme="majorHAnsi" w:hAnsiTheme="majorHAnsi"/>
                <w:sz w:val="20"/>
                <w:szCs w:val="20"/>
              </w:rPr>
              <w:t>S2</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Study selection processes</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9</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State the process for determining which studies were eligible for inclusion. </w:t>
            </w:r>
          </w:p>
        </w:tc>
        <w:tc>
          <w:tcPr>
            <w:tcW w:w="1134" w:type="dxa"/>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8</w:t>
            </w:r>
          </w:p>
        </w:tc>
      </w:tr>
      <w:tr w:rsidR="00347EE6" w:rsidRPr="00345641" w:rsidTr="0078588B">
        <w:trPr>
          <w:trHeight w:val="487"/>
        </w:trPr>
        <w:tc>
          <w:tcPr>
            <w:tcW w:w="1560" w:type="dxa"/>
            <w:vMerge w:val="restart"/>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Data collection processes</w:t>
            </w:r>
          </w:p>
        </w:tc>
        <w:tc>
          <w:tcPr>
            <w:tcW w:w="709" w:type="dxa"/>
            <w:vMerge w:val="restart"/>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10</w:t>
            </w:r>
          </w:p>
          <w:p w:rsidR="00347EE6" w:rsidRPr="00345641" w:rsidRDefault="00347EE6" w:rsidP="0078588B">
            <w:pPr>
              <w:spacing w:after="120" w:line="240" w:lineRule="auto"/>
              <w:jc w:val="center"/>
              <w:rPr>
                <w:rFonts w:asciiTheme="majorHAnsi" w:hAnsiTheme="majorHAnsi"/>
                <w:sz w:val="20"/>
                <w:szCs w:val="20"/>
              </w:rPr>
            </w:pPr>
          </w:p>
          <w:p w:rsidR="00347EE6" w:rsidRPr="00345641" w:rsidRDefault="00347EE6" w:rsidP="0078588B">
            <w:pPr>
              <w:spacing w:after="120" w:line="240" w:lineRule="auto"/>
              <w:jc w:val="center"/>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Describe how IPD were requested, collected and managed, including any processes for querying and confirming data with investigators.  If IPD were not sought from any eligible study, the reason for this should be stated (for each such study).</w:t>
            </w:r>
          </w:p>
        </w:tc>
        <w:tc>
          <w:tcPr>
            <w:tcW w:w="1134" w:type="dxa"/>
            <w:vMerge w:val="restart"/>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9</w:t>
            </w:r>
          </w:p>
        </w:tc>
      </w:tr>
      <w:tr w:rsidR="00347EE6" w:rsidRPr="00345641" w:rsidTr="0078588B">
        <w:trPr>
          <w:trHeight w:val="486"/>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after="120" w:line="240" w:lineRule="auto"/>
              <w:jc w:val="center"/>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134" w:type="dxa"/>
            <w:vMerge/>
          </w:tcPr>
          <w:p w:rsidR="00347EE6" w:rsidRPr="00345641" w:rsidRDefault="00347EE6" w:rsidP="0078588B">
            <w:pPr>
              <w:spacing w:line="240" w:lineRule="auto"/>
              <w:rPr>
                <w:rFonts w:asciiTheme="majorHAnsi" w:hAnsiTheme="majorHAnsi"/>
                <w:sz w:val="20"/>
                <w:szCs w:val="20"/>
              </w:rPr>
            </w:pPr>
          </w:p>
        </w:tc>
      </w:tr>
      <w:tr w:rsidR="00347EE6" w:rsidRPr="00345641" w:rsidTr="0078588B">
        <w:tc>
          <w:tcPr>
            <w:tcW w:w="1560"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Data items</w:t>
            </w:r>
          </w:p>
        </w:tc>
        <w:tc>
          <w:tcPr>
            <w:tcW w:w="709" w:type="dxa"/>
          </w:tcPr>
          <w:p w:rsidR="00347EE6" w:rsidRPr="00345641" w:rsidRDefault="00347EE6" w:rsidP="0078588B">
            <w:pPr>
              <w:jc w:val="center"/>
              <w:rPr>
                <w:rFonts w:asciiTheme="majorHAnsi" w:hAnsiTheme="majorHAnsi"/>
                <w:sz w:val="20"/>
                <w:szCs w:val="20"/>
              </w:rPr>
            </w:pPr>
            <w:r w:rsidRPr="00345641">
              <w:rPr>
                <w:rFonts w:asciiTheme="majorHAnsi" w:hAnsiTheme="majorHAnsi"/>
                <w:sz w:val="20"/>
                <w:szCs w:val="20"/>
              </w:rPr>
              <w:t>11</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Describe how the information and variables to be collected were chosen. List and define all study level and participant level data that were sought, including baseline and follow-up information. If applicable, describe methods of </w:t>
            </w:r>
            <w:proofErr w:type="spellStart"/>
            <w:r w:rsidRPr="00345641">
              <w:rPr>
                <w:rFonts w:asciiTheme="majorHAnsi" w:hAnsiTheme="majorHAnsi"/>
                <w:sz w:val="20"/>
                <w:szCs w:val="20"/>
              </w:rPr>
              <w:t>standardising</w:t>
            </w:r>
            <w:proofErr w:type="spellEnd"/>
            <w:r w:rsidRPr="00345641">
              <w:rPr>
                <w:rFonts w:asciiTheme="majorHAnsi" w:hAnsiTheme="majorHAnsi"/>
                <w:sz w:val="20"/>
                <w:szCs w:val="20"/>
              </w:rPr>
              <w:t xml:space="preserve"> or translating variables within the IPD datasets to ensure common scales or measurements across studies.</w:t>
            </w:r>
          </w:p>
        </w:tc>
        <w:tc>
          <w:tcPr>
            <w:tcW w:w="1134" w:type="dxa"/>
          </w:tcPr>
          <w:p w:rsidR="00347EE6" w:rsidRPr="00345641" w:rsidRDefault="00EE6A55" w:rsidP="0078588B">
            <w:pPr>
              <w:spacing w:line="240" w:lineRule="auto"/>
              <w:rPr>
                <w:rFonts w:asciiTheme="majorHAnsi" w:hAnsiTheme="majorHAnsi"/>
                <w:sz w:val="20"/>
                <w:szCs w:val="20"/>
              </w:rPr>
            </w:pPr>
            <w:r w:rsidRPr="00345641">
              <w:rPr>
                <w:rFonts w:asciiTheme="majorHAnsi" w:hAnsiTheme="majorHAnsi"/>
                <w:sz w:val="20"/>
                <w:szCs w:val="20"/>
              </w:rPr>
              <w:t>9</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IPD integrity</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A1</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Describe what aspects of IPD were subject to data checking (such as sequence generation, data consistency and completeness, baseline imbalance) and how this was done.</w:t>
            </w:r>
          </w:p>
        </w:tc>
        <w:tc>
          <w:tcPr>
            <w:tcW w:w="1134" w:type="dxa"/>
          </w:tcPr>
          <w:p w:rsidR="00347EE6" w:rsidRPr="00345641" w:rsidRDefault="00D77361" w:rsidP="0078588B">
            <w:pPr>
              <w:spacing w:line="240" w:lineRule="auto"/>
              <w:rPr>
                <w:rFonts w:asciiTheme="majorHAnsi" w:hAnsiTheme="majorHAnsi"/>
                <w:sz w:val="20"/>
                <w:szCs w:val="20"/>
              </w:rPr>
            </w:pPr>
            <w:r w:rsidRPr="00345641">
              <w:rPr>
                <w:rFonts w:asciiTheme="majorHAnsi" w:hAnsiTheme="majorHAnsi"/>
                <w:sz w:val="20"/>
                <w:szCs w:val="20"/>
              </w:rPr>
              <w:t>9</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Risk of bias assessment in individual studies.</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12</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Describe methods used to assess risk of bias in the individual studies and whether this was applied separately for each outcome.  If applicable, describe how findings of IPD checking were used to </w:t>
            </w:r>
            <w:r w:rsidRPr="00345641">
              <w:rPr>
                <w:rFonts w:asciiTheme="majorHAnsi" w:hAnsiTheme="majorHAnsi"/>
                <w:sz w:val="20"/>
              </w:rPr>
              <w:t>inform the assessment</w:t>
            </w:r>
            <w:r w:rsidRPr="00345641">
              <w:rPr>
                <w:rFonts w:asciiTheme="majorHAnsi" w:hAnsiTheme="majorHAnsi"/>
                <w:sz w:val="20"/>
                <w:szCs w:val="20"/>
              </w:rPr>
              <w:t xml:space="preserve">. Report if and how risk of bias assessment was used in any data synthesis.  </w:t>
            </w:r>
          </w:p>
        </w:tc>
        <w:tc>
          <w:tcPr>
            <w:tcW w:w="1134" w:type="dxa"/>
          </w:tcPr>
          <w:p w:rsidR="00347EE6" w:rsidRPr="00345641" w:rsidRDefault="00D77361" w:rsidP="0078588B">
            <w:pPr>
              <w:spacing w:line="240" w:lineRule="auto"/>
              <w:rPr>
                <w:rFonts w:asciiTheme="majorHAnsi" w:hAnsiTheme="majorHAnsi"/>
                <w:bCs/>
                <w:sz w:val="20"/>
                <w:szCs w:val="20"/>
              </w:rPr>
            </w:pPr>
            <w:r w:rsidRPr="00345641">
              <w:rPr>
                <w:rFonts w:asciiTheme="majorHAnsi" w:hAnsiTheme="majorHAnsi"/>
                <w:bCs/>
                <w:sz w:val="20"/>
                <w:szCs w:val="20"/>
              </w:rPr>
              <w:t>8</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Specification of outcomes and effect measures</w:t>
            </w:r>
          </w:p>
        </w:tc>
        <w:tc>
          <w:tcPr>
            <w:tcW w:w="709" w:type="dxa"/>
          </w:tcPr>
          <w:p w:rsidR="00347EE6" w:rsidRPr="00345641" w:rsidRDefault="00347EE6" w:rsidP="0078588B">
            <w:pPr>
              <w:spacing w:after="120" w:line="240" w:lineRule="auto"/>
              <w:jc w:val="center"/>
              <w:rPr>
                <w:rFonts w:asciiTheme="majorHAnsi" w:hAnsiTheme="majorHAnsi"/>
                <w:sz w:val="20"/>
                <w:szCs w:val="20"/>
              </w:rPr>
            </w:pPr>
            <w:r w:rsidRPr="00345641">
              <w:rPr>
                <w:rFonts w:asciiTheme="majorHAnsi" w:hAnsiTheme="majorHAnsi"/>
                <w:sz w:val="20"/>
                <w:szCs w:val="20"/>
              </w:rPr>
              <w:t>13</w:t>
            </w:r>
          </w:p>
          <w:p w:rsidR="00347EE6" w:rsidRPr="00345641" w:rsidRDefault="00347EE6" w:rsidP="0078588B">
            <w:pPr>
              <w:spacing w:after="120" w:line="240" w:lineRule="auto"/>
              <w:jc w:val="center"/>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134" w:type="dxa"/>
          </w:tcPr>
          <w:p w:rsidR="00347EE6" w:rsidRPr="00345641" w:rsidRDefault="00D77361" w:rsidP="0078588B">
            <w:pPr>
              <w:spacing w:line="240" w:lineRule="auto"/>
              <w:rPr>
                <w:rFonts w:asciiTheme="majorHAnsi" w:hAnsiTheme="majorHAnsi"/>
                <w:bCs/>
                <w:sz w:val="20"/>
                <w:szCs w:val="20"/>
              </w:rPr>
            </w:pPr>
            <w:r w:rsidRPr="00345641">
              <w:rPr>
                <w:rFonts w:asciiTheme="majorHAnsi" w:hAnsiTheme="majorHAnsi"/>
                <w:bCs/>
                <w:sz w:val="20"/>
                <w:szCs w:val="20"/>
              </w:rPr>
              <w:t>9</w:t>
            </w:r>
          </w:p>
        </w:tc>
      </w:tr>
      <w:tr w:rsidR="00347EE6" w:rsidRPr="00345641" w:rsidTr="0078588B">
        <w:tc>
          <w:tcPr>
            <w:tcW w:w="1560"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 xml:space="preserve">Synthesis methods </w:t>
            </w:r>
          </w:p>
        </w:tc>
        <w:tc>
          <w:tcPr>
            <w:tcW w:w="709" w:type="dxa"/>
          </w:tcPr>
          <w:p w:rsidR="00347EE6" w:rsidRPr="00345641" w:rsidRDefault="00347EE6" w:rsidP="0078588B">
            <w:pPr>
              <w:jc w:val="center"/>
              <w:rPr>
                <w:rFonts w:asciiTheme="majorHAnsi" w:hAnsiTheme="majorHAnsi"/>
                <w:sz w:val="20"/>
                <w:szCs w:val="20"/>
              </w:rPr>
            </w:pPr>
            <w:r w:rsidRPr="00345641">
              <w:rPr>
                <w:rFonts w:asciiTheme="majorHAnsi" w:hAnsiTheme="majorHAnsi"/>
                <w:sz w:val="20"/>
                <w:szCs w:val="20"/>
              </w:rPr>
              <w:t>14</w:t>
            </w:r>
          </w:p>
          <w:p w:rsidR="00347EE6" w:rsidRPr="00345641" w:rsidRDefault="00347EE6" w:rsidP="0078588B">
            <w:pPr>
              <w:spacing w:line="240" w:lineRule="auto"/>
              <w:jc w:val="center"/>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Describe the meta-analysis methods used to </w:t>
            </w:r>
            <w:proofErr w:type="spellStart"/>
            <w:r w:rsidRPr="00345641">
              <w:rPr>
                <w:rFonts w:asciiTheme="majorHAnsi" w:hAnsiTheme="majorHAnsi"/>
                <w:sz w:val="20"/>
                <w:szCs w:val="20"/>
              </w:rPr>
              <w:t>synthesise</w:t>
            </w:r>
            <w:proofErr w:type="spellEnd"/>
            <w:r w:rsidRPr="00345641">
              <w:rPr>
                <w:rFonts w:asciiTheme="majorHAnsi" w:hAnsiTheme="majorHAnsi"/>
                <w:sz w:val="20"/>
                <w:szCs w:val="20"/>
              </w:rPr>
              <w:t xml:space="preserve"> IPD. Specify any statistical methods and models used. Issues should include (but are not restricted to):</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t>Use of a one-stage or two-stage approach.</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t>How effect estimates were generated separately within each study and combined across studies (where applicable).</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t>Specification of one-stage models (where applicable) including how clustering of patients within studies was accounted for.</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t>Use of fixed or random effects models and any other model assumptions, such as proportional hazards.</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lastRenderedPageBreak/>
              <w:t>How (summary) survival curves were generated (where applicable).</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t>Methods for quantifying statistical heterogeneity (such as I</w:t>
            </w:r>
            <w:r w:rsidRPr="00345641">
              <w:rPr>
                <w:rFonts w:asciiTheme="majorHAnsi" w:hAnsiTheme="majorHAnsi"/>
                <w:sz w:val="20"/>
                <w:szCs w:val="20"/>
                <w:vertAlign w:val="superscript"/>
                <w:lang w:val="en-US"/>
              </w:rPr>
              <w:t>2</w:t>
            </w:r>
            <w:r w:rsidRPr="00345641">
              <w:rPr>
                <w:rFonts w:asciiTheme="majorHAnsi" w:hAnsiTheme="majorHAnsi"/>
                <w:sz w:val="20"/>
                <w:szCs w:val="20"/>
                <w:lang w:val="en-US"/>
              </w:rPr>
              <w:t xml:space="preserve"> and </w:t>
            </w:r>
            <w:r w:rsidRPr="00345641">
              <w:rPr>
                <w:rFonts w:asciiTheme="majorHAnsi" w:hAnsiTheme="majorHAnsi"/>
                <w:sz w:val="20"/>
                <w:szCs w:val="20"/>
                <w:lang w:val="en-US"/>
              </w:rPr>
              <w:sym w:font="Symbol" w:char="F074"/>
            </w:r>
            <w:r w:rsidRPr="00345641">
              <w:rPr>
                <w:rFonts w:asciiTheme="majorHAnsi" w:hAnsiTheme="majorHAnsi"/>
                <w:sz w:val="20"/>
                <w:szCs w:val="20"/>
                <w:vertAlign w:val="superscript"/>
                <w:lang w:val="en-US"/>
              </w:rPr>
              <w:t>2</w:t>
            </w:r>
            <w:r w:rsidRPr="00345641">
              <w:rPr>
                <w:rFonts w:asciiTheme="majorHAnsi" w:hAnsiTheme="majorHAnsi"/>
                <w:sz w:val="20"/>
                <w:szCs w:val="20"/>
                <w:lang w:val="en-US"/>
              </w:rPr>
              <w:t xml:space="preserve">). </w:t>
            </w:r>
          </w:p>
          <w:p w:rsidR="00347EE6" w:rsidRPr="00345641" w:rsidRDefault="00347EE6" w:rsidP="00347EE6">
            <w:pPr>
              <w:pStyle w:val="Paragraphedeliste"/>
              <w:numPr>
                <w:ilvl w:val="0"/>
                <w:numId w:val="1"/>
              </w:numPr>
              <w:spacing w:after="120" w:line="240" w:lineRule="auto"/>
              <w:ind w:left="317" w:hanging="357"/>
              <w:jc w:val="left"/>
              <w:rPr>
                <w:rFonts w:asciiTheme="majorHAnsi" w:hAnsiTheme="majorHAnsi"/>
                <w:sz w:val="20"/>
                <w:szCs w:val="20"/>
                <w:lang w:val="en-US"/>
              </w:rPr>
            </w:pPr>
            <w:r w:rsidRPr="00345641">
              <w:rPr>
                <w:rFonts w:asciiTheme="majorHAnsi" w:hAnsiTheme="majorHAnsi"/>
                <w:sz w:val="20"/>
                <w:szCs w:val="20"/>
                <w:lang w:val="en-US"/>
              </w:rPr>
              <w:t xml:space="preserve">How studies providing IPD and not providing IPD were </w:t>
            </w:r>
            <w:proofErr w:type="spellStart"/>
            <w:r w:rsidRPr="00345641">
              <w:rPr>
                <w:rFonts w:asciiTheme="majorHAnsi" w:hAnsiTheme="majorHAnsi"/>
                <w:sz w:val="20"/>
                <w:szCs w:val="20"/>
                <w:lang w:val="en-US"/>
              </w:rPr>
              <w:t>analysed</w:t>
            </w:r>
            <w:proofErr w:type="spellEnd"/>
            <w:r w:rsidRPr="00345641">
              <w:rPr>
                <w:rFonts w:asciiTheme="majorHAnsi" w:hAnsiTheme="majorHAnsi"/>
                <w:sz w:val="20"/>
                <w:szCs w:val="20"/>
                <w:lang w:val="en-US"/>
              </w:rPr>
              <w:t xml:space="preserve"> together (where applicable).</w:t>
            </w:r>
          </w:p>
          <w:p w:rsidR="00347EE6" w:rsidRPr="00345641" w:rsidRDefault="00347EE6" w:rsidP="00347EE6">
            <w:pPr>
              <w:pStyle w:val="Paragraphedeliste"/>
              <w:numPr>
                <w:ilvl w:val="0"/>
                <w:numId w:val="1"/>
              </w:numPr>
              <w:spacing w:after="120" w:line="240" w:lineRule="auto"/>
              <w:ind w:left="317" w:hanging="357"/>
              <w:jc w:val="left"/>
              <w:rPr>
                <w:rFonts w:asciiTheme="majorHAnsi" w:eastAsiaTheme="majorEastAsia" w:hAnsiTheme="majorHAnsi" w:cstheme="majorBidi"/>
                <w:i/>
                <w:iCs/>
                <w:color w:val="404040" w:themeColor="text1" w:themeTint="BF"/>
                <w:sz w:val="20"/>
                <w:szCs w:val="20"/>
                <w:lang w:val="en-US"/>
              </w:rPr>
            </w:pPr>
            <w:proofErr w:type="gramStart"/>
            <w:r w:rsidRPr="00345641">
              <w:rPr>
                <w:rFonts w:asciiTheme="majorHAnsi" w:hAnsiTheme="majorHAnsi"/>
                <w:sz w:val="20"/>
                <w:szCs w:val="20"/>
                <w:lang w:val="en-US"/>
              </w:rPr>
              <w:t>How</w:t>
            </w:r>
            <w:proofErr w:type="gramEnd"/>
            <w:r w:rsidRPr="00345641">
              <w:rPr>
                <w:rFonts w:asciiTheme="majorHAnsi" w:hAnsiTheme="majorHAnsi"/>
                <w:sz w:val="20"/>
                <w:szCs w:val="20"/>
                <w:lang w:val="en-US"/>
              </w:rPr>
              <w:t xml:space="preserve"> missing data within the IPD were dealt with (where applicable).</w:t>
            </w:r>
          </w:p>
        </w:tc>
        <w:tc>
          <w:tcPr>
            <w:tcW w:w="1134" w:type="dxa"/>
          </w:tcPr>
          <w:p w:rsidR="00347EE6" w:rsidRPr="00345641" w:rsidRDefault="00D77361" w:rsidP="0078588B">
            <w:pPr>
              <w:spacing w:line="240" w:lineRule="auto"/>
              <w:rPr>
                <w:rFonts w:asciiTheme="majorHAnsi" w:hAnsiTheme="majorHAnsi"/>
                <w:sz w:val="20"/>
                <w:szCs w:val="20"/>
              </w:rPr>
            </w:pPr>
            <w:r w:rsidRPr="00345641">
              <w:rPr>
                <w:rFonts w:asciiTheme="majorHAnsi" w:hAnsiTheme="majorHAnsi"/>
                <w:sz w:val="20"/>
                <w:szCs w:val="20"/>
              </w:rPr>
              <w:lastRenderedPageBreak/>
              <w:t>10</w:t>
            </w:r>
          </w:p>
          <w:p w:rsidR="00347EE6" w:rsidRPr="00345641" w:rsidRDefault="00347EE6" w:rsidP="0078588B">
            <w:pPr>
              <w:spacing w:line="240" w:lineRule="auto"/>
              <w:rPr>
                <w:rFonts w:asciiTheme="majorHAnsi" w:hAnsiTheme="majorHAnsi"/>
                <w:b/>
                <w:sz w:val="20"/>
                <w:szCs w:val="20"/>
              </w:rPr>
            </w:pP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Exploration of variation in effects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A2</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If applicable, describe any methods used to explore variation in effects by study or participant</w:t>
            </w:r>
            <w:r w:rsidRPr="00345641" w:rsidDel="00555817">
              <w:rPr>
                <w:rFonts w:asciiTheme="majorHAnsi" w:hAnsiTheme="majorHAnsi"/>
                <w:sz w:val="20"/>
                <w:szCs w:val="20"/>
              </w:rPr>
              <w:t xml:space="preserve"> </w:t>
            </w:r>
            <w:r w:rsidRPr="00345641">
              <w:rPr>
                <w:rFonts w:asciiTheme="majorHAnsi" w:hAnsiTheme="majorHAnsi"/>
                <w:sz w:val="20"/>
                <w:szCs w:val="20"/>
              </w:rPr>
              <w:t xml:space="preserve">level characteristics (such as estimation of interactions between effect and covariates). State all participant-level characteristics that were </w:t>
            </w:r>
            <w:proofErr w:type="spellStart"/>
            <w:r w:rsidRPr="00345641">
              <w:rPr>
                <w:rFonts w:asciiTheme="majorHAnsi" w:hAnsiTheme="majorHAnsi"/>
                <w:sz w:val="20"/>
                <w:szCs w:val="20"/>
              </w:rPr>
              <w:t>analysed</w:t>
            </w:r>
            <w:proofErr w:type="spellEnd"/>
            <w:r w:rsidRPr="00345641">
              <w:rPr>
                <w:rFonts w:asciiTheme="majorHAnsi" w:hAnsiTheme="majorHAnsi"/>
                <w:sz w:val="20"/>
                <w:szCs w:val="20"/>
              </w:rPr>
              <w:t xml:space="preserve"> as potential effect modifiers, and whether these were pre-specified.</w:t>
            </w:r>
          </w:p>
        </w:tc>
        <w:tc>
          <w:tcPr>
            <w:tcW w:w="1134" w:type="dxa"/>
          </w:tcPr>
          <w:p w:rsidR="00347EE6" w:rsidRPr="00345641" w:rsidRDefault="00D77361" w:rsidP="0078588B">
            <w:pPr>
              <w:spacing w:line="240" w:lineRule="auto"/>
              <w:rPr>
                <w:rFonts w:asciiTheme="majorHAnsi" w:hAnsiTheme="majorHAnsi"/>
                <w:sz w:val="20"/>
                <w:szCs w:val="20"/>
              </w:rPr>
            </w:pPr>
            <w:r w:rsidRPr="00345641">
              <w:rPr>
                <w:rFonts w:asciiTheme="majorHAnsi" w:hAnsiTheme="majorHAnsi"/>
                <w:sz w:val="20"/>
                <w:szCs w:val="20"/>
              </w:rPr>
              <w:t>10</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Risk of bias across studies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15</w:t>
            </w:r>
          </w:p>
          <w:p w:rsidR="00347EE6" w:rsidRPr="00345641" w:rsidRDefault="00347EE6" w:rsidP="0078588B">
            <w:pPr>
              <w:spacing w:after="120"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Specify any assessment of risk of bias relating to the accumulated body of evidence, including any pertaining to not obtaining IPD for particular studies, outcomes or other variables.</w:t>
            </w:r>
          </w:p>
        </w:tc>
        <w:tc>
          <w:tcPr>
            <w:tcW w:w="1134" w:type="dxa"/>
          </w:tcPr>
          <w:p w:rsidR="00347EE6" w:rsidRPr="00345641" w:rsidRDefault="00D77361" w:rsidP="0078588B">
            <w:pPr>
              <w:spacing w:line="240" w:lineRule="auto"/>
              <w:rPr>
                <w:rFonts w:asciiTheme="majorHAnsi" w:hAnsiTheme="majorHAnsi"/>
                <w:sz w:val="20"/>
                <w:szCs w:val="20"/>
              </w:rPr>
            </w:pPr>
            <w:r w:rsidRPr="00345641">
              <w:rPr>
                <w:rFonts w:asciiTheme="majorHAnsi" w:hAnsiTheme="majorHAnsi"/>
                <w:sz w:val="20"/>
                <w:szCs w:val="20"/>
              </w:rPr>
              <w:t>10</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Additional analyses </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16</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Describe methods of any additional analyses, including sensitivity analyses. State which of these were pre-specified.</w:t>
            </w:r>
          </w:p>
        </w:tc>
        <w:tc>
          <w:tcPr>
            <w:tcW w:w="1134" w:type="dxa"/>
          </w:tcPr>
          <w:p w:rsidR="00347EE6" w:rsidRPr="00345641" w:rsidRDefault="00D77361" w:rsidP="0078588B">
            <w:pPr>
              <w:spacing w:line="240" w:lineRule="auto"/>
              <w:rPr>
                <w:rFonts w:asciiTheme="majorHAnsi" w:hAnsiTheme="majorHAnsi"/>
                <w:sz w:val="20"/>
                <w:szCs w:val="20"/>
              </w:rPr>
            </w:pPr>
            <w:r w:rsidRPr="00345641">
              <w:rPr>
                <w:rFonts w:asciiTheme="majorHAnsi" w:hAnsiTheme="majorHAnsi"/>
                <w:sz w:val="20"/>
                <w:szCs w:val="20"/>
              </w:rPr>
              <w:t>10</w:t>
            </w:r>
          </w:p>
        </w:tc>
      </w:tr>
      <w:tr w:rsidR="00347EE6" w:rsidRPr="00345641" w:rsidTr="0078588B">
        <w:tc>
          <w:tcPr>
            <w:tcW w:w="14034" w:type="dxa"/>
            <w:gridSpan w:val="4"/>
            <w:shd w:val="clear" w:color="auto" w:fill="FFE599" w:themeFill="accent4" w:themeFillTint="66"/>
          </w:tcPr>
          <w:p w:rsidR="00347EE6" w:rsidRPr="00345641" w:rsidRDefault="00347EE6" w:rsidP="0078588B">
            <w:pPr>
              <w:rPr>
                <w:rFonts w:asciiTheme="majorHAnsi" w:hAnsiTheme="majorHAnsi"/>
                <w:b/>
                <w:sz w:val="20"/>
                <w:szCs w:val="20"/>
              </w:rPr>
            </w:pPr>
            <w:r w:rsidRPr="00345641">
              <w:rPr>
                <w:rFonts w:asciiTheme="majorHAnsi" w:hAnsiTheme="majorHAnsi"/>
                <w:b/>
                <w:sz w:val="20"/>
                <w:szCs w:val="20"/>
              </w:rPr>
              <w:t>Results</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Study selection and IPD obtained</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17</w:t>
            </w:r>
          </w:p>
          <w:p w:rsidR="00347EE6" w:rsidRPr="00345641" w:rsidRDefault="00347EE6" w:rsidP="0078588B">
            <w:pPr>
              <w:spacing w:after="120"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134" w:type="dxa"/>
          </w:tcPr>
          <w:p w:rsidR="00347EE6" w:rsidRPr="00345641" w:rsidRDefault="00D77361" w:rsidP="0078588B">
            <w:pPr>
              <w:spacing w:line="240" w:lineRule="auto"/>
              <w:rPr>
                <w:rFonts w:asciiTheme="majorHAnsi" w:hAnsiTheme="majorHAnsi"/>
                <w:b/>
                <w:sz w:val="20"/>
                <w:szCs w:val="20"/>
              </w:rPr>
            </w:pPr>
            <w:r w:rsidRPr="00345641">
              <w:rPr>
                <w:rFonts w:asciiTheme="majorHAnsi" w:hAnsiTheme="majorHAnsi"/>
                <w:bCs/>
                <w:sz w:val="20"/>
                <w:szCs w:val="20"/>
              </w:rPr>
              <w:t>12</w:t>
            </w:r>
          </w:p>
        </w:tc>
      </w:tr>
      <w:tr w:rsidR="00347EE6" w:rsidRPr="00345641" w:rsidTr="0078588B">
        <w:tc>
          <w:tcPr>
            <w:tcW w:w="1560"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Study characteristics</w:t>
            </w:r>
          </w:p>
        </w:tc>
        <w:tc>
          <w:tcPr>
            <w:tcW w:w="709"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18</w:t>
            </w:r>
          </w:p>
          <w:p w:rsidR="00347EE6" w:rsidRPr="00345641" w:rsidRDefault="00347EE6" w:rsidP="0078588B">
            <w:pPr>
              <w:spacing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134" w:type="dxa"/>
          </w:tcPr>
          <w:p w:rsidR="00347EE6" w:rsidRPr="00345641" w:rsidRDefault="00345641" w:rsidP="0078588B">
            <w:pPr>
              <w:spacing w:line="240" w:lineRule="auto"/>
              <w:rPr>
                <w:rFonts w:asciiTheme="majorHAnsi" w:hAnsiTheme="majorHAnsi"/>
                <w:sz w:val="20"/>
                <w:szCs w:val="20"/>
              </w:rPr>
            </w:pPr>
            <w:r w:rsidRPr="00345641">
              <w:rPr>
                <w:rFonts w:asciiTheme="majorHAnsi" w:hAnsiTheme="majorHAnsi"/>
                <w:sz w:val="20"/>
                <w:szCs w:val="20"/>
              </w:rPr>
              <w:t>Table S3</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IPD integrity</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A3</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Report any important issues identified in checking IPD or state that there were none.</w:t>
            </w:r>
          </w:p>
        </w:tc>
        <w:tc>
          <w:tcPr>
            <w:tcW w:w="1134" w:type="dxa"/>
          </w:tcPr>
          <w:p w:rsidR="00347EE6" w:rsidRPr="00345641" w:rsidRDefault="00345641" w:rsidP="0078588B">
            <w:pPr>
              <w:spacing w:line="240" w:lineRule="auto"/>
              <w:rPr>
                <w:rFonts w:asciiTheme="majorHAnsi" w:hAnsiTheme="majorHAnsi"/>
                <w:sz w:val="20"/>
                <w:szCs w:val="20"/>
              </w:rPr>
            </w:pPr>
            <w:r w:rsidRPr="00345641">
              <w:rPr>
                <w:rFonts w:asciiTheme="majorHAnsi" w:hAnsiTheme="majorHAnsi"/>
                <w:sz w:val="20"/>
                <w:szCs w:val="20"/>
              </w:rPr>
              <w:t>12</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Risk of bias within studies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19</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134" w:type="dxa"/>
          </w:tcPr>
          <w:p w:rsidR="00347EE6" w:rsidRPr="00345641" w:rsidRDefault="00345641" w:rsidP="0078588B">
            <w:pPr>
              <w:rPr>
                <w:rFonts w:asciiTheme="majorHAnsi" w:hAnsiTheme="majorHAnsi"/>
                <w:sz w:val="20"/>
                <w:szCs w:val="20"/>
              </w:rPr>
            </w:pPr>
            <w:r w:rsidRPr="00345641">
              <w:rPr>
                <w:rFonts w:asciiTheme="majorHAnsi" w:hAnsiTheme="majorHAnsi"/>
                <w:sz w:val="20"/>
                <w:szCs w:val="20"/>
              </w:rPr>
              <w:t>Table S4</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Results of individual studies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20</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134" w:type="dxa"/>
          </w:tcPr>
          <w:p w:rsidR="00347EE6" w:rsidRPr="00345641" w:rsidRDefault="00345641" w:rsidP="0078588B">
            <w:pPr>
              <w:spacing w:line="240" w:lineRule="auto"/>
              <w:rPr>
                <w:rFonts w:asciiTheme="majorHAnsi" w:hAnsiTheme="majorHAnsi"/>
                <w:sz w:val="20"/>
                <w:szCs w:val="20"/>
              </w:rPr>
            </w:pPr>
            <w:r w:rsidRPr="00345641">
              <w:rPr>
                <w:rFonts w:asciiTheme="majorHAnsi" w:hAnsiTheme="majorHAnsi"/>
                <w:sz w:val="20"/>
                <w:szCs w:val="20"/>
              </w:rPr>
              <w:t xml:space="preserve">Table </w:t>
            </w:r>
            <w:r w:rsidR="00DD7D96">
              <w:rPr>
                <w:rFonts w:asciiTheme="majorHAnsi" w:hAnsiTheme="majorHAnsi"/>
                <w:sz w:val="20"/>
                <w:szCs w:val="20"/>
              </w:rPr>
              <w:t>S3</w:t>
            </w:r>
          </w:p>
        </w:tc>
      </w:tr>
      <w:tr w:rsidR="00347EE6" w:rsidRPr="00345641" w:rsidTr="0078588B">
        <w:trPr>
          <w:trHeight w:val="459"/>
        </w:trPr>
        <w:tc>
          <w:tcPr>
            <w:tcW w:w="1560" w:type="dxa"/>
            <w:vMerge w:val="restart"/>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Results of syntheses</w:t>
            </w:r>
          </w:p>
        </w:tc>
        <w:tc>
          <w:tcPr>
            <w:tcW w:w="709" w:type="dxa"/>
            <w:vMerge w:val="restart"/>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21</w:t>
            </w:r>
          </w:p>
          <w:p w:rsidR="00347EE6" w:rsidRPr="00345641" w:rsidRDefault="00347EE6" w:rsidP="0078588B">
            <w:pPr>
              <w:spacing w:after="120"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Present summary effects for each meta-analysis undertaken, including confidence intervals and measures of statistical heterogeneity. State whether the analysis was pre-specified, and report the numbers of studies and participants and, where applicable, the number of events on which it is based. </w:t>
            </w:r>
          </w:p>
        </w:tc>
        <w:tc>
          <w:tcPr>
            <w:tcW w:w="1134" w:type="dxa"/>
            <w:vMerge w:val="restart"/>
          </w:tcPr>
          <w:p w:rsidR="00347EE6" w:rsidRPr="00345641" w:rsidRDefault="00DD7D96" w:rsidP="0078588B">
            <w:pPr>
              <w:spacing w:line="240" w:lineRule="auto"/>
              <w:rPr>
                <w:rFonts w:asciiTheme="majorHAnsi" w:hAnsiTheme="majorHAnsi"/>
                <w:sz w:val="20"/>
                <w:szCs w:val="20"/>
              </w:rPr>
            </w:pPr>
            <w:r>
              <w:rPr>
                <w:rFonts w:asciiTheme="majorHAnsi" w:hAnsiTheme="majorHAnsi"/>
                <w:sz w:val="20"/>
                <w:szCs w:val="20"/>
              </w:rPr>
              <w:t>Chean et al.</w:t>
            </w:r>
            <w:r w:rsidR="006D124C">
              <w:rPr>
                <w:rFonts w:asciiTheme="majorHAnsi" w:hAnsiTheme="majorHAnsi"/>
                <w:sz w:val="20"/>
                <w:szCs w:val="20"/>
              </w:rPr>
              <w:fldChar w:fldCharType="begin"/>
            </w:r>
            <w:r w:rsidR="00987282">
              <w:rPr>
                <w:rFonts w:asciiTheme="majorHAnsi" w:hAnsiTheme="majorHAnsi"/>
                <w:sz w:val="20"/>
                <w:szCs w:val="20"/>
              </w:rPr>
              <w:instrText xml:space="preserve"> ADDIN ZOTERO_ITEM CSL_CITATION {"citationID":"knbbhKub","properties":{"formattedCitation":"(1)","plainCitation":"(1)","noteIndex":0},"citationItems":[{"id":2904,"uris":["http://zotero.org/users/local/5K0ZcI7M/items/SCB4KXS2"],"itemData":{"id":2904,"type":"article-journal","abstract":"BACKGROUND: To describe the use of life-sustaining therapies and mortality in patients with acute leukemia admitted to the intensive care unit (ICU).\nMETHODS: The PubMed database was searched from January 1st, 2000 to July 1st, 2023. All studies including adult critically ill patients with acute leukemia were included. Two reviewers independently selected the studies, assessed bias using the Newcastle-Ottawa scale for cohort studies, and performed data extraction from full-text reading. We performed a proportional meta-analysis using a random effects model. The primary outcome was all-cause ICU mortality. Secondary outcomes included reasons for ICU admission, use of organ support therapies (mechanical ventilation, vasopressors and renal replacement therapy), hospital, day-90 and one-year mortality rates.\nRESULTS: Of the 1,331 studies screened, 136 (24,861 patients) met the inclusion criteria and were included in the meta-analysis. Acute myeloid leukemia affected 16,269 (66%) patients, acute lymphoblastic leukemia affected 835 (3%) patients, and the type of leukemia was not specified in 7,757 (31%) patients. Acute respiratory failure (70%) and acute circulatory failure (25%) were the main reasons for ICU admission. Invasive mechanical ventilation, vasopressors and renal replacement therapy, were needed in 65%, 53%, and 23% of the patients, respectively. ICU mortality was available in 51 studies (6,668 patients, of whom 2,956 died throughout their ICU stay), resulting in a metanalytical proportion of 52% (95% CI [47%; 57%]; I2 93%). In a meta-regression, variables that influenced ICU mortality included year of publication, and intubation rate.\nCONCLUSION: Acute respiratory failure is the main reason for ICU admission in patients with acute leukemia. Mechanical ventilation is the first life-sustaining therapy to be used, and also a strong predictor of mortality.\nTRIAL REGISTRATION: This study's protocol was preregistered on PROSPERO (CRD42023439630).","container-title":"Annals of Intensive Care","DOI":"10.1186/s13613-024-01409-9","ISSN":"2110-5820","issue":"1","journalAbbreviation":"Ann Intensive Care","language":"eng","note":"PMID: 39821042\nPMCID: PMC11739448","page":"9","source":"PubMed","title":"Critically ill adult patients with acute leukemia: a systematic review and meta-analysis","title-short":"Critically ill adult patients with acute leukemia","volume":"15","author":[{"family":"Chean","given":"Dara"},{"family":"Luque-Paz","given":"David"},{"family":"Poole","given":"Daniele"},{"family":"Fodil","given":"Sofiane"},{"family":"Lengliné","given":"Etienne"},{"family":"Dupont","given":"Thibault"},{"family":"Kouatchet","given":"Achille"},{"family":"Darmon","given":"Michael"},{"family":"Azoulay","given":"Élie"}],"issued":{"date-parts":[["2025",1,16]]}}}],"schema":"https://github.com/citation-style-language/schema/raw/master/csl-citation.json"} </w:instrText>
            </w:r>
            <w:r w:rsidR="006D124C">
              <w:rPr>
                <w:rFonts w:asciiTheme="majorHAnsi" w:hAnsiTheme="majorHAnsi"/>
                <w:sz w:val="20"/>
                <w:szCs w:val="20"/>
              </w:rPr>
              <w:fldChar w:fldCharType="separate"/>
            </w:r>
            <w:r w:rsidR="00987282">
              <w:rPr>
                <w:rFonts w:asciiTheme="majorHAnsi" w:hAnsiTheme="majorHAnsi"/>
                <w:noProof/>
                <w:sz w:val="20"/>
                <w:szCs w:val="20"/>
              </w:rPr>
              <w:t>(1)</w:t>
            </w:r>
            <w:r w:rsidR="006D124C">
              <w:rPr>
                <w:rFonts w:asciiTheme="majorHAnsi" w:hAnsiTheme="majorHAnsi"/>
                <w:sz w:val="20"/>
                <w:szCs w:val="20"/>
              </w:rPr>
              <w:fldChar w:fldCharType="end"/>
            </w:r>
          </w:p>
        </w:tc>
      </w:tr>
      <w:tr w:rsidR="00347EE6" w:rsidRPr="00345641" w:rsidTr="0078588B">
        <w:trPr>
          <w:trHeight w:val="457"/>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after="120"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134" w:type="dxa"/>
            <w:vMerge/>
          </w:tcPr>
          <w:p w:rsidR="00347EE6" w:rsidRPr="00345641" w:rsidRDefault="00347EE6" w:rsidP="0078588B">
            <w:pPr>
              <w:spacing w:line="240" w:lineRule="auto"/>
              <w:rPr>
                <w:rFonts w:asciiTheme="majorHAnsi" w:hAnsiTheme="majorHAnsi"/>
                <w:sz w:val="20"/>
                <w:szCs w:val="20"/>
              </w:rPr>
            </w:pPr>
          </w:p>
        </w:tc>
      </w:tr>
      <w:tr w:rsidR="00347EE6" w:rsidRPr="00345641" w:rsidTr="0078588B">
        <w:trPr>
          <w:trHeight w:val="457"/>
        </w:trPr>
        <w:tc>
          <w:tcPr>
            <w:tcW w:w="1560" w:type="dxa"/>
            <w:vMerge/>
          </w:tcPr>
          <w:p w:rsidR="00347EE6" w:rsidRPr="00345641" w:rsidRDefault="00347EE6" w:rsidP="0078588B">
            <w:pPr>
              <w:spacing w:after="120" w:line="240" w:lineRule="auto"/>
              <w:rPr>
                <w:rFonts w:asciiTheme="majorHAnsi" w:hAnsiTheme="majorHAnsi"/>
                <w:sz w:val="20"/>
                <w:szCs w:val="20"/>
              </w:rPr>
            </w:pPr>
          </w:p>
        </w:tc>
        <w:tc>
          <w:tcPr>
            <w:tcW w:w="709" w:type="dxa"/>
            <w:vMerge/>
          </w:tcPr>
          <w:p w:rsidR="00347EE6" w:rsidRPr="00345641" w:rsidRDefault="00347EE6" w:rsidP="0078588B">
            <w:pPr>
              <w:spacing w:after="120"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Provide a description of the direction and size of effect in terms meaningful to those who would put findings into practice.</w:t>
            </w:r>
          </w:p>
        </w:tc>
        <w:tc>
          <w:tcPr>
            <w:tcW w:w="1134" w:type="dxa"/>
            <w:vMerge/>
          </w:tcPr>
          <w:p w:rsidR="00347EE6" w:rsidRPr="00345641" w:rsidRDefault="00347EE6" w:rsidP="0078588B">
            <w:pPr>
              <w:spacing w:line="240" w:lineRule="auto"/>
              <w:rPr>
                <w:rFonts w:asciiTheme="majorHAnsi" w:hAnsiTheme="majorHAnsi"/>
                <w:sz w:val="20"/>
                <w:szCs w:val="20"/>
              </w:rPr>
            </w:pP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Risk of bias across studies</w:t>
            </w:r>
          </w:p>
        </w:tc>
        <w:tc>
          <w:tcPr>
            <w:tcW w:w="709"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22</w:t>
            </w:r>
          </w:p>
          <w:p w:rsidR="00347EE6" w:rsidRPr="00345641" w:rsidRDefault="00347EE6" w:rsidP="0078588B">
            <w:pPr>
              <w:spacing w:line="240" w:lineRule="auto"/>
              <w:rPr>
                <w:rFonts w:asciiTheme="majorHAnsi" w:hAnsiTheme="majorHAnsi"/>
                <w:sz w:val="20"/>
                <w:szCs w:val="20"/>
              </w:rPr>
            </w:pPr>
          </w:p>
        </w:tc>
        <w:tc>
          <w:tcPr>
            <w:tcW w:w="10631" w:type="dxa"/>
          </w:tcPr>
          <w:p w:rsidR="00347EE6" w:rsidRPr="00345641" w:rsidRDefault="00347EE6" w:rsidP="0078588B">
            <w:pPr>
              <w:rPr>
                <w:rFonts w:asciiTheme="majorHAnsi" w:hAnsiTheme="majorHAnsi"/>
                <w:sz w:val="20"/>
                <w:szCs w:val="20"/>
              </w:rPr>
            </w:pPr>
            <w:r w:rsidRPr="00345641">
              <w:rPr>
                <w:rFonts w:asciiTheme="majorHAnsi" w:hAnsiTheme="majorHAnsi"/>
                <w:sz w:val="20"/>
                <w:szCs w:val="20"/>
              </w:rPr>
              <w:t>Present results of any assessment of risk of bias relating to the accumulated body of evidence, including any pertaining to the availability and representativeness of available studies, outcomes or other variables.</w:t>
            </w:r>
          </w:p>
        </w:tc>
        <w:tc>
          <w:tcPr>
            <w:tcW w:w="1134" w:type="dxa"/>
          </w:tcPr>
          <w:p w:rsidR="00347EE6" w:rsidRPr="00345641" w:rsidRDefault="00DD7D96" w:rsidP="0078588B">
            <w:pPr>
              <w:spacing w:line="240" w:lineRule="auto"/>
              <w:rPr>
                <w:rFonts w:asciiTheme="majorHAnsi" w:hAnsiTheme="majorHAnsi"/>
                <w:sz w:val="20"/>
                <w:szCs w:val="20"/>
              </w:rPr>
            </w:pPr>
            <w:r>
              <w:rPr>
                <w:rFonts w:asciiTheme="majorHAnsi" w:hAnsiTheme="majorHAnsi"/>
                <w:sz w:val="20"/>
                <w:szCs w:val="20"/>
              </w:rPr>
              <w:t>Table S4</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Additional analyses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23</w:t>
            </w:r>
          </w:p>
          <w:p w:rsidR="00347EE6" w:rsidRPr="00345641" w:rsidRDefault="00347EE6" w:rsidP="0078588B">
            <w:pPr>
              <w:spacing w:after="120" w:line="240" w:lineRule="auto"/>
              <w:rPr>
                <w:rFonts w:asciiTheme="majorHAnsi" w:hAnsiTheme="majorHAnsi"/>
                <w:sz w:val="20"/>
                <w:szCs w:val="20"/>
              </w:rPr>
            </w:pPr>
          </w:p>
        </w:tc>
        <w:tc>
          <w:tcPr>
            <w:tcW w:w="10631" w:type="dxa"/>
          </w:tcPr>
          <w:p w:rsidR="00347EE6" w:rsidRPr="00345641" w:rsidRDefault="00347EE6" w:rsidP="0078588B">
            <w:pPr>
              <w:spacing w:after="120" w:line="240" w:lineRule="auto"/>
              <w:rPr>
                <w:rFonts w:asciiTheme="majorHAnsi" w:hAnsiTheme="majorHAnsi" w:cs="Arial"/>
                <w:sz w:val="20"/>
                <w:szCs w:val="20"/>
              </w:rPr>
            </w:pPr>
            <w:r w:rsidRPr="00345641">
              <w:rPr>
                <w:rFonts w:asciiTheme="majorHAnsi" w:hAnsiTheme="majorHAnsi"/>
                <w:sz w:val="20"/>
                <w:szCs w:val="20"/>
              </w:rPr>
              <w:t xml:space="preserve">Give results of any additional analyses (e.g. sensitivity analyses). If applicable, this should also include any analyses that incorporate aggregate data for studies that do not have IPD. If applicable, </w:t>
            </w:r>
            <w:proofErr w:type="spellStart"/>
            <w:r w:rsidRPr="00345641">
              <w:rPr>
                <w:rFonts w:asciiTheme="majorHAnsi" w:hAnsiTheme="majorHAnsi"/>
                <w:sz w:val="20"/>
                <w:szCs w:val="20"/>
              </w:rPr>
              <w:t>summarise</w:t>
            </w:r>
            <w:proofErr w:type="spellEnd"/>
            <w:r w:rsidRPr="00345641">
              <w:rPr>
                <w:rFonts w:asciiTheme="majorHAnsi" w:hAnsiTheme="majorHAnsi"/>
                <w:sz w:val="20"/>
                <w:szCs w:val="20"/>
              </w:rPr>
              <w:t xml:space="preserve"> the main meta-analysis results following the inclusion or exclusion of studies for which IPD were not available.</w:t>
            </w:r>
          </w:p>
        </w:tc>
        <w:tc>
          <w:tcPr>
            <w:tcW w:w="1134" w:type="dxa"/>
          </w:tcPr>
          <w:p w:rsidR="00347EE6" w:rsidRPr="00345641" w:rsidRDefault="00DD7D96" w:rsidP="0078588B">
            <w:pPr>
              <w:spacing w:line="240" w:lineRule="auto"/>
              <w:rPr>
                <w:rFonts w:asciiTheme="majorHAnsi" w:hAnsiTheme="majorHAnsi"/>
                <w:sz w:val="20"/>
                <w:szCs w:val="20"/>
              </w:rPr>
            </w:pPr>
            <w:r>
              <w:rPr>
                <w:rFonts w:asciiTheme="majorHAnsi" w:hAnsiTheme="majorHAnsi"/>
                <w:sz w:val="20"/>
                <w:szCs w:val="20"/>
              </w:rPr>
              <w:t>15</w:t>
            </w:r>
          </w:p>
        </w:tc>
      </w:tr>
      <w:tr w:rsidR="00347EE6" w:rsidRPr="00345641" w:rsidTr="0078588B">
        <w:tc>
          <w:tcPr>
            <w:tcW w:w="14034" w:type="dxa"/>
            <w:gridSpan w:val="4"/>
            <w:shd w:val="clear" w:color="auto" w:fill="FFE599" w:themeFill="accent4" w:themeFillTint="66"/>
          </w:tcPr>
          <w:p w:rsidR="00347EE6" w:rsidRPr="00345641" w:rsidRDefault="00347EE6" w:rsidP="0078588B">
            <w:pPr>
              <w:spacing w:after="120" w:line="240" w:lineRule="auto"/>
              <w:rPr>
                <w:rFonts w:asciiTheme="majorHAnsi" w:hAnsiTheme="majorHAnsi"/>
                <w:b/>
                <w:sz w:val="20"/>
                <w:szCs w:val="20"/>
              </w:rPr>
            </w:pPr>
            <w:r w:rsidRPr="00345641">
              <w:rPr>
                <w:rFonts w:asciiTheme="majorHAnsi" w:hAnsiTheme="majorHAnsi"/>
                <w:b/>
                <w:sz w:val="20"/>
                <w:szCs w:val="20"/>
              </w:rPr>
              <w:t>Discussion</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b/>
                <w:sz w:val="20"/>
                <w:szCs w:val="20"/>
              </w:rPr>
            </w:pPr>
            <w:r w:rsidRPr="00345641">
              <w:rPr>
                <w:rFonts w:asciiTheme="majorHAnsi" w:hAnsiTheme="majorHAnsi"/>
                <w:sz w:val="20"/>
                <w:szCs w:val="20"/>
              </w:rPr>
              <w:t>Summary of evidence</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24</w:t>
            </w:r>
          </w:p>
        </w:tc>
        <w:tc>
          <w:tcPr>
            <w:tcW w:w="10631" w:type="dxa"/>
          </w:tcPr>
          <w:p w:rsidR="00347EE6" w:rsidRPr="00345641" w:rsidRDefault="00347EE6" w:rsidP="0078588B">
            <w:pPr>
              <w:spacing w:after="120" w:line="240" w:lineRule="auto"/>
              <w:rPr>
                <w:rFonts w:asciiTheme="majorHAnsi" w:hAnsiTheme="majorHAnsi"/>
                <w:sz w:val="20"/>
                <w:szCs w:val="20"/>
              </w:rPr>
            </w:pPr>
            <w:proofErr w:type="spellStart"/>
            <w:r w:rsidRPr="00345641">
              <w:rPr>
                <w:rFonts w:asciiTheme="majorHAnsi" w:hAnsiTheme="majorHAnsi"/>
                <w:sz w:val="20"/>
                <w:szCs w:val="20"/>
              </w:rPr>
              <w:t>Summarise</w:t>
            </w:r>
            <w:proofErr w:type="spellEnd"/>
            <w:r w:rsidRPr="00345641">
              <w:rPr>
                <w:rFonts w:asciiTheme="majorHAnsi" w:hAnsiTheme="majorHAnsi"/>
                <w:sz w:val="20"/>
                <w:szCs w:val="20"/>
              </w:rPr>
              <w:t xml:space="preserve"> the main findings, including the strength of evidence for each main outcome.</w:t>
            </w:r>
          </w:p>
        </w:tc>
        <w:tc>
          <w:tcPr>
            <w:tcW w:w="1134" w:type="dxa"/>
          </w:tcPr>
          <w:p w:rsidR="00347EE6" w:rsidRPr="00DD7D96" w:rsidRDefault="00DD7D96" w:rsidP="0078588B">
            <w:pPr>
              <w:spacing w:line="240" w:lineRule="auto"/>
              <w:rPr>
                <w:rFonts w:asciiTheme="majorHAnsi" w:hAnsiTheme="majorHAnsi"/>
                <w:bCs/>
                <w:sz w:val="20"/>
                <w:szCs w:val="20"/>
              </w:rPr>
            </w:pPr>
            <w:r w:rsidRPr="00DD7D96">
              <w:rPr>
                <w:rFonts w:asciiTheme="majorHAnsi" w:hAnsiTheme="majorHAnsi"/>
                <w:bCs/>
                <w:sz w:val="20"/>
                <w:szCs w:val="20"/>
              </w:rPr>
              <w:t>16</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Strengths and limitations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25</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Discuss any important strengths and limitations of the evidence including the benefits of access to IPD and any limitations arising from IPD that were not available.</w:t>
            </w:r>
          </w:p>
        </w:tc>
        <w:tc>
          <w:tcPr>
            <w:tcW w:w="1134" w:type="dxa"/>
          </w:tcPr>
          <w:p w:rsidR="00347EE6" w:rsidRPr="00DD7D96" w:rsidRDefault="00DD7D96" w:rsidP="0078588B">
            <w:pPr>
              <w:spacing w:line="240" w:lineRule="auto"/>
              <w:rPr>
                <w:rFonts w:asciiTheme="majorHAnsi" w:hAnsiTheme="majorHAnsi"/>
                <w:bCs/>
                <w:sz w:val="20"/>
                <w:szCs w:val="20"/>
              </w:rPr>
            </w:pPr>
            <w:r>
              <w:rPr>
                <w:rFonts w:asciiTheme="majorHAnsi" w:hAnsiTheme="majorHAnsi"/>
                <w:bCs/>
                <w:sz w:val="20"/>
                <w:szCs w:val="20"/>
              </w:rPr>
              <w:t>16</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Conclusions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26</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Provide a general interpretation of the findings in the context of other evidence.</w:t>
            </w:r>
          </w:p>
        </w:tc>
        <w:tc>
          <w:tcPr>
            <w:tcW w:w="1134" w:type="dxa"/>
          </w:tcPr>
          <w:p w:rsidR="00347EE6" w:rsidRPr="00DD7D96" w:rsidRDefault="00DD7D96" w:rsidP="0078588B">
            <w:pPr>
              <w:rPr>
                <w:rFonts w:asciiTheme="majorHAnsi" w:hAnsiTheme="majorHAnsi"/>
                <w:bCs/>
                <w:sz w:val="20"/>
                <w:szCs w:val="20"/>
              </w:rPr>
            </w:pPr>
            <w:r>
              <w:rPr>
                <w:rFonts w:asciiTheme="majorHAnsi" w:hAnsiTheme="majorHAnsi"/>
                <w:bCs/>
                <w:sz w:val="20"/>
                <w:szCs w:val="20"/>
              </w:rPr>
              <w:t>17</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b/>
                <w:sz w:val="20"/>
                <w:szCs w:val="20"/>
              </w:rPr>
            </w:pPr>
            <w:r w:rsidRPr="00345641">
              <w:rPr>
                <w:rFonts w:asciiTheme="majorHAnsi" w:hAnsiTheme="majorHAnsi"/>
                <w:sz w:val="20"/>
                <w:szCs w:val="20"/>
              </w:rPr>
              <w:t>Implications</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A4</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Consider relevance to key groups (such as policy makers, service providers and service users). Consider implications for future research.</w:t>
            </w:r>
          </w:p>
        </w:tc>
        <w:tc>
          <w:tcPr>
            <w:tcW w:w="1134" w:type="dxa"/>
          </w:tcPr>
          <w:p w:rsidR="00347EE6" w:rsidRPr="00DD7D96" w:rsidRDefault="00DD7D96" w:rsidP="0078588B">
            <w:pPr>
              <w:spacing w:line="240" w:lineRule="auto"/>
              <w:rPr>
                <w:rFonts w:asciiTheme="majorHAnsi" w:hAnsiTheme="majorHAnsi"/>
                <w:bCs/>
                <w:sz w:val="20"/>
                <w:szCs w:val="20"/>
              </w:rPr>
            </w:pPr>
            <w:r>
              <w:rPr>
                <w:rFonts w:asciiTheme="majorHAnsi" w:hAnsiTheme="majorHAnsi"/>
                <w:bCs/>
                <w:sz w:val="20"/>
                <w:szCs w:val="20"/>
              </w:rPr>
              <w:t>17</w:t>
            </w:r>
          </w:p>
        </w:tc>
      </w:tr>
      <w:tr w:rsidR="00347EE6" w:rsidRPr="00345641" w:rsidTr="0078588B">
        <w:tc>
          <w:tcPr>
            <w:tcW w:w="14034" w:type="dxa"/>
            <w:gridSpan w:val="4"/>
            <w:shd w:val="clear" w:color="auto" w:fill="FFE599" w:themeFill="accent4" w:themeFillTint="66"/>
          </w:tcPr>
          <w:p w:rsidR="00347EE6" w:rsidRPr="00345641" w:rsidRDefault="00347EE6" w:rsidP="0078588B">
            <w:pPr>
              <w:spacing w:after="120" w:line="240" w:lineRule="auto"/>
              <w:rPr>
                <w:rFonts w:asciiTheme="majorHAnsi" w:hAnsiTheme="majorHAnsi"/>
                <w:b/>
                <w:sz w:val="20"/>
                <w:szCs w:val="20"/>
              </w:rPr>
            </w:pPr>
            <w:r w:rsidRPr="00345641">
              <w:rPr>
                <w:rFonts w:asciiTheme="majorHAnsi" w:hAnsiTheme="majorHAnsi"/>
                <w:b/>
                <w:sz w:val="20"/>
                <w:szCs w:val="20"/>
              </w:rPr>
              <w:t>Funding</w:t>
            </w:r>
          </w:p>
        </w:tc>
      </w:tr>
      <w:tr w:rsidR="00347EE6" w:rsidRPr="00345641" w:rsidTr="0078588B">
        <w:tc>
          <w:tcPr>
            <w:tcW w:w="1560"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Funding</w:t>
            </w:r>
          </w:p>
        </w:tc>
        <w:tc>
          <w:tcPr>
            <w:tcW w:w="709"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27</w:t>
            </w:r>
          </w:p>
        </w:tc>
        <w:tc>
          <w:tcPr>
            <w:tcW w:w="10631" w:type="dxa"/>
          </w:tcPr>
          <w:p w:rsidR="00347EE6" w:rsidRPr="00345641" w:rsidRDefault="00347EE6" w:rsidP="0078588B">
            <w:pPr>
              <w:spacing w:after="120" w:line="240" w:lineRule="auto"/>
              <w:rPr>
                <w:rFonts w:asciiTheme="majorHAnsi" w:hAnsiTheme="majorHAnsi"/>
                <w:sz w:val="20"/>
                <w:szCs w:val="20"/>
              </w:rPr>
            </w:pPr>
            <w:r w:rsidRPr="00345641">
              <w:rPr>
                <w:rFonts w:asciiTheme="majorHAnsi" w:hAnsiTheme="majorHAnsi"/>
                <w:sz w:val="20"/>
                <w:szCs w:val="20"/>
              </w:rPr>
              <w:t>Describe sources of funding and other support (such as supply of IPD), and the role in the systematic review of those providing such support.</w:t>
            </w:r>
          </w:p>
        </w:tc>
        <w:tc>
          <w:tcPr>
            <w:tcW w:w="1134" w:type="dxa"/>
          </w:tcPr>
          <w:p w:rsidR="00347EE6" w:rsidRPr="00DD7D96" w:rsidRDefault="00DD7D96" w:rsidP="0078588B">
            <w:pPr>
              <w:spacing w:line="240" w:lineRule="auto"/>
              <w:rPr>
                <w:rFonts w:asciiTheme="majorHAnsi" w:hAnsiTheme="majorHAnsi"/>
                <w:bCs/>
                <w:sz w:val="20"/>
                <w:szCs w:val="20"/>
              </w:rPr>
            </w:pPr>
            <w:r w:rsidRPr="00DD7D96">
              <w:rPr>
                <w:rFonts w:asciiTheme="majorHAnsi" w:hAnsiTheme="majorHAnsi"/>
                <w:bCs/>
                <w:sz w:val="20"/>
                <w:szCs w:val="20"/>
              </w:rPr>
              <w:t>27</w:t>
            </w:r>
          </w:p>
        </w:tc>
      </w:tr>
    </w:tbl>
    <w:p w:rsidR="00347EE6" w:rsidRPr="00345641" w:rsidRDefault="00347EE6">
      <w:pPr>
        <w:jc w:val="left"/>
        <w:sectPr w:rsidR="00347EE6" w:rsidRPr="00345641" w:rsidSect="00347EE6">
          <w:pgSz w:w="16838" w:h="11906" w:orient="landscape"/>
          <w:pgMar w:top="1417" w:right="1417" w:bottom="1417" w:left="1417" w:header="708" w:footer="708" w:gutter="0"/>
          <w:cols w:space="708"/>
          <w:docGrid w:linePitch="360"/>
        </w:sectPr>
      </w:pPr>
    </w:p>
    <w:p w:rsidR="00551117" w:rsidRPr="00345641" w:rsidRDefault="00551117">
      <w:pPr>
        <w:jc w:val="left"/>
      </w:pPr>
    </w:p>
    <w:p w:rsidR="007A5709" w:rsidRPr="007A5709" w:rsidRDefault="007A5709" w:rsidP="007A5709">
      <w:pPr>
        <w:rPr>
          <w:b/>
          <w:bCs/>
        </w:rPr>
      </w:pPr>
      <w:bookmarkStart w:id="1" w:name="_Toc212854887"/>
      <w:r w:rsidRPr="007A5709">
        <w:rPr>
          <w:b/>
          <w:bCs/>
        </w:rPr>
        <w:t xml:space="preserve">Table </w:t>
      </w:r>
      <w:r>
        <w:rPr>
          <w:b/>
          <w:bCs/>
        </w:rPr>
        <w:t>S</w:t>
      </w:r>
      <w:r w:rsidRPr="007A5709">
        <w:rPr>
          <w:b/>
          <w:bCs/>
        </w:rPr>
        <w:fldChar w:fldCharType="begin"/>
      </w:r>
      <w:r w:rsidRPr="007A5709">
        <w:rPr>
          <w:b/>
          <w:bCs/>
        </w:rPr>
        <w:instrText xml:space="preserve"> SEQ Table \* ARABIC </w:instrText>
      </w:r>
      <w:r w:rsidRPr="007A5709">
        <w:rPr>
          <w:b/>
          <w:bCs/>
        </w:rPr>
        <w:fldChar w:fldCharType="separate"/>
      </w:r>
      <w:r w:rsidR="001764B7">
        <w:rPr>
          <w:b/>
          <w:bCs/>
          <w:noProof/>
        </w:rPr>
        <w:t>2</w:t>
      </w:r>
      <w:r w:rsidRPr="007A5709">
        <w:rPr>
          <w:b/>
          <w:bCs/>
        </w:rPr>
        <w:fldChar w:fldCharType="end"/>
      </w:r>
      <w:r w:rsidRPr="007A5709">
        <w:rPr>
          <w:b/>
          <w:bCs/>
        </w:rPr>
        <w:t>. Full systematic search string.</w:t>
      </w:r>
      <w:bookmarkEnd w:id="1"/>
    </w:p>
    <w:tbl>
      <w:tblPr>
        <w:tblStyle w:val="Grilledutableau"/>
        <w:tblW w:w="9209" w:type="dxa"/>
        <w:tblLook w:val="04A0" w:firstRow="1" w:lastRow="0" w:firstColumn="1" w:lastColumn="0" w:noHBand="0" w:noVBand="1"/>
      </w:tblPr>
      <w:tblGrid>
        <w:gridCol w:w="1300"/>
        <w:gridCol w:w="7909"/>
      </w:tblGrid>
      <w:tr w:rsidR="004F71DF" w:rsidRPr="00345641" w:rsidTr="0078588B">
        <w:trPr>
          <w:trHeight w:val="320"/>
        </w:trPr>
        <w:tc>
          <w:tcPr>
            <w:tcW w:w="1300" w:type="dxa"/>
            <w:noWrap/>
            <w:hideMark/>
          </w:tcPr>
          <w:p w:rsidR="004F71DF" w:rsidRPr="00345641" w:rsidRDefault="004F71DF" w:rsidP="0078588B">
            <w:pPr>
              <w:spacing w:after="160" w:line="278" w:lineRule="auto"/>
              <w:jc w:val="left"/>
              <w:rPr>
                <w:b/>
                <w:bCs/>
              </w:rPr>
            </w:pPr>
          </w:p>
        </w:tc>
        <w:tc>
          <w:tcPr>
            <w:tcW w:w="7909" w:type="dxa"/>
            <w:noWrap/>
            <w:hideMark/>
          </w:tcPr>
          <w:p w:rsidR="004F71DF" w:rsidRPr="00345641" w:rsidRDefault="004F71DF" w:rsidP="0078588B">
            <w:pPr>
              <w:spacing w:after="160" w:line="278" w:lineRule="auto"/>
              <w:jc w:val="left"/>
              <w:rPr>
                <w:b/>
                <w:bCs/>
              </w:rPr>
            </w:pPr>
            <w:r w:rsidRPr="00345641">
              <w:rPr>
                <w:b/>
                <w:bCs/>
              </w:rPr>
              <w:t>Search string</w:t>
            </w:r>
          </w:p>
        </w:tc>
      </w:tr>
      <w:tr w:rsidR="004F71DF" w:rsidRPr="00345641" w:rsidTr="0078588B">
        <w:trPr>
          <w:trHeight w:val="1700"/>
        </w:trPr>
        <w:tc>
          <w:tcPr>
            <w:tcW w:w="1300" w:type="dxa"/>
            <w:noWrap/>
            <w:hideMark/>
          </w:tcPr>
          <w:p w:rsidR="004F71DF" w:rsidRPr="00345641" w:rsidRDefault="004F71DF" w:rsidP="0078588B">
            <w:pPr>
              <w:spacing w:after="160" w:line="278" w:lineRule="auto"/>
              <w:jc w:val="left"/>
              <w:rPr>
                <w:b/>
                <w:bCs/>
              </w:rPr>
            </w:pPr>
            <w:r w:rsidRPr="00345641">
              <w:rPr>
                <w:b/>
                <w:bCs/>
              </w:rPr>
              <w:t>PubMed</w:t>
            </w:r>
          </w:p>
        </w:tc>
        <w:tc>
          <w:tcPr>
            <w:tcW w:w="7909" w:type="dxa"/>
            <w:hideMark/>
          </w:tcPr>
          <w:p w:rsidR="004F71DF" w:rsidRPr="00345641" w:rsidRDefault="00DA2AAC" w:rsidP="0078588B">
            <w:pPr>
              <w:spacing w:after="160" w:line="278" w:lineRule="auto"/>
              <w:jc w:val="left"/>
            </w:pPr>
            <w:r w:rsidRPr="00345641">
              <w:t>((((((((((("leukemia"[</w:t>
            </w:r>
            <w:proofErr w:type="spellStart"/>
            <w:r w:rsidRPr="00345641">
              <w:t>MeSH</w:t>
            </w:r>
            <w:proofErr w:type="spellEnd"/>
            <w:r w:rsidRPr="00345641">
              <w:t xml:space="preserve"> Terms]) AND ("intensive care units"[</w:t>
            </w:r>
            <w:proofErr w:type="spellStart"/>
            <w:r w:rsidRPr="00345641">
              <w:t>MeSH</w:t>
            </w:r>
            <w:proofErr w:type="spellEnd"/>
            <w:r w:rsidRPr="00345641">
              <w:t xml:space="preserve"> Terms])) OR (("leukemia"[</w:t>
            </w:r>
            <w:proofErr w:type="spellStart"/>
            <w:r w:rsidRPr="00345641">
              <w:t>MeSH</w:t>
            </w:r>
            <w:proofErr w:type="spellEnd"/>
            <w:r w:rsidRPr="00345641">
              <w:t xml:space="preserve"> Terms]) AND ("critical care"[</w:t>
            </w:r>
            <w:proofErr w:type="spellStart"/>
            <w:r w:rsidRPr="00345641">
              <w:t>MeSH</w:t>
            </w:r>
            <w:proofErr w:type="spellEnd"/>
            <w:r w:rsidRPr="00345641">
              <w:t xml:space="preserve"> Terms]))) OR (("hematologic neoplasms"[</w:t>
            </w:r>
            <w:proofErr w:type="spellStart"/>
            <w:r w:rsidRPr="00345641">
              <w:t>MeSH</w:t>
            </w:r>
            <w:proofErr w:type="spellEnd"/>
            <w:r w:rsidRPr="00345641">
              <w:t xml:space="preserve"> Terms]) AND ("intensive care units"[</w:t>
            </w:r>
            <w:proofErr w:type="spellStart"/>
            <w:r w:rsidRPr="00345641">
              <w:t>MeSH</w:t>
            </w:r>
            <w:proofErr w:type="spellEnd"/>
            <w:r w:rsidRPr="00345641">
              <w:t xml:space="preserve"> Terms]))) OR (("hematologic neoplasms"[</w:t>
            </w:r>
            <w:proofErr w:type="spellStart"/>
            <w:r w:rsidRPr="00345641">
              <w:t>MeSH</w:t>
            </w:r>
            <w:proofErr w:type="spellEnd"/>
            <w:r w:rsidRPr="00345641">
              <w:t xml:space="preserve"> Terms]) AND ("critical care"[</w:t>
            </w:r>
            <w:proofErr w:type="spellStart"/>
            <w:r w:rsidRPr="00345641">
              <w:t>MeSH</w:t>
            </w:r>
            <w:proofErr w:type="spellEnd"/>
            <w:r w:rsidRPr="00345641">
              <w:t xml:space="preserve"> Terms]))) OR (("hematologic diseases"[</w:t>
            </w:r>
            <w:proofErr w:type="spellStart"/>
            <w:r w:rsidRPr="00345641">
              <w:t>MeSH</w:t>
            </w:r>
            <w:proofErr w:type="spellEnd"/>
            <w:r w:rsidRPr="00345641">
              <w:t xml:space="preserve"> Terms]) AND ("intensive care units"[</w:t>
            </w:r>
            <w:proofErr w:type="spellStart"/>
            <w:r w:rsidRPr="00345641">
              <w:t>MeSH</w:t>
            </w:r>
            <w:proofErr w:type="spellEnd"/>
            <w:r w:rsidRPr="00345641">
              <w:t xml:space="preserve"> Terms]))) OR (("hematologic diseases"[</w:t>
            </w:r>
            <w:proofErr w:type="spellStart"/>
            <w:r w:rsidRPr="00345641">
              <w:t>MeSH</w:t>
            </w:r>
            <w:proofErr w:type="spellEnd"/>
            <w:r w:rsidRPr="00345641">
              <w:t xml:space="preserve"> Terms]) AND ("critical care"[</w:t>
            </w:r>
            <w:proofErr w:type="spellStart"/>
            <w:r w:rsidRPr="00345641">
              <w:t>MeSH</w:t>
            </w:r>
            <w:proofErr w:type="spellEnd"/>
            <w:r w:rsidRPr="00345641">
              <w:t xml:space="preserve"> Terms])) AND ((</w:t>
            </w:r>
            <w:proofErr w:type="spellStart"/>
            <w:r w:rsidRPr="00345641">
              <w:t>fha</w:t>
            </w:r>
            <w:proofErr w:type="spellEnd"/>
            <w:r w:rsidRPr="00345641">
              <w:t>[Filter]) AND (2000:2022[</w:t>
            </w:r>
            <w:proofErr w:type="spellStart"/>
            <w:r w:rsidRPr="00345641">
              <w:t>pdat</w:t>
            </w:r>
            <w:proofErr w:type="spellEnd"/>
            <w:r w:rsidRPr="00345641">
              <w:t>]))) NOT ("child"[</w:t>
            </w:r>
            <w:proofErr w:type="spellStart"/>
            <w:r w:rsidRPr="00345641">
              <w:t>MeSH</w:t>
            </w:r>
            <w:proofErr w:type="spellEnd"/>
            <w:r w:rsidRPr="00345641">
              <w:t xml:space="preserve"> Terms]) AND ((</w:t>
            </w:r>
            <w:proofErr w:type="spellStart"/>
            <w:r w:rsidRPr="00345641">
              <w:t>fha</w:t>
            </w:r>
            <w:proofErr w:type="spellEnd"/>
            <w:r w:rsidRPr="00345641">
              <w:t>[Filter]) AND (</w:t>
            </w:r>
            <w:proofErr w:type="spellStart"/>
            <w:r w:rsidRPr="00345641">
              <w:t>english</w:t>
            </w:r>
            <w:proofErr w:type="spellEnd"/>
            <w:r w:rsidRPr="00345641">
              <w:t>[Filter]))) NOT ("review"[Filter]) AND ((</w:t>
            </w:r>
            <w:proofErr w:type="spellStart"/>
            <w:r w:rsidRPr="00345641">
              <w:t>fha</w:t>
            </w:r>
            <w:proofErr w:type="spellEnd"/>
            <w:r w:rsidRPr="00345641">
              <w:t>[Filter]) AND (</w:t>
            </w:r>
            <w:proofErr w:type="spellStart"/>
            <w:r w:rsidRPr="00345641">
              <w:t>english</w:t>
            </w:r>
            <w:proofErr w:type="spellEnd"/>
            <w:r w:rsidRPr="00345641">
              <w:t>[Filter]))) NOT ("meta-analysis"[Filter]) AND ((</w:t>
            </w:r>
            <w:proofErr w:type="spellStart"/>
            <w:r w:rsidRPr="00345641">
              <w:t>fha</w:t>
            </w:r>
            <w:proofErr w:type="spellEnd"/>
            <w:r w:rsidRPr="00345641">
              <w:t>[Filter]) AND (</w:t>
            </w:r>
            <w:proofErr w:type="spellStart"/>
            <w:r w:rsidRPr="00345641">
              <w:t>english</w:t>
            </w:r>
            <w:proofErr w:type="spellEnd"/>
            <w:r w:rsidRPr="00345641">
              <w:t>[Filter]))) NOT ("blood transfusion"[</w:t>
            </w:r>
            <w:proofErr w:type="spellStart"/>
            <w:r w:rsidRPr="00345641">
              <w:t>MeSH</w:t>
            </w:r>
            <w:proofErr w:type="spellEnd"/>
            <w:r w:rsidRPr="00345641">
              <w:t xml:space="preserve"> Major Topic]) AND ((</w:t>
            </w:r>
            <w:proofErr w:type="spellStart"/>
            <w:r w:rsidRPr="00345641">
              <w:t>fha</w:t>
            </w:r>
            <w:proofErr w:type="spellEnd"/>
            <w:r w:rsidRPr="00345641">
              <w:t>[Filter]) AND (</w:t>
            </w:r>
            <w:proofErr w:type="spellStart"/>
            <w:r w:rsidRPr="00345641">
              <w:t>english</w:t>
            </w:r>
            <w:proofErr w:type="spellEnd"/>
            <w:r w:rsidRPr="00345641">
              <w:t>[Filter]))) NOT ("blood coagulation"[</w:t>
            </w:r>
            <w:proofErr w:type="spellStart"/>
            <w:r w:rsidRPr="00345641">
              <w:t>MeSH</w:t>
            </w:r>
            <w:proofErr w:type="spellEnd"/>
            <w:r w:rsidRPr="00345641">
              <w:t xml:space="preserve"> Major Topic])</w:t>
            </w:r>
          </w:p>
        </w:tc>
      </w:tr>
    </w:tbl>
    <w:p w:rsidR="004F71DF" w:rsidRPr="00345641" w:rsidRDefault="004F71DF" w:rsidP="00395819">
      <w:pPr>
        <w:rPr>
          <w:b/>
          <w:bCs/>
        </w:rPr>
      </w:pPr>
    </w:p>
    <w:p w:rsidR="00FB2679" w:rsidRPr="00345641" w:rsidRDefault="00FB2679" w:rsidP="00395819">
      <w:pPr>
        <w:rPr>
          <w:b/>
          <w:bCs/>
        </w:rPr>
        <w:sectPr w:rsidR="00FB2679" w:rsidRPr="00345641">
          <w:pgSz w:w="11906" w:h="16838"/>
          <w:pgMar w:top="1417" w:right="1417" w:bottom="1417" w:left="1417" w:header="708" w:footer="708" w:gutter="0"/>
          <w:cols w:space="708"/>
          <w:docGrid w:linePitch="360"/>
        </w:sectPr>
      </w:pPr>
    </w:p>
    <w:p w:rsidR="00345641" w:rsidRPr="00345641" w:rsidRDefault="00345641" w:rsidP="00395819">
      <w:pPr>
        <w:rPr>
          <w:b/>
          <w:bCs/>
        </w:rPr>
      </w:pPr>
    </w:p>
    <w:p w:rsidR="007A5709" w:rsidRPr="007A5709" w:rsidRDefault="007A5709" w:rsidP="007A5709">
      <w:pPr>
        <w:rPr>
          <w:b/>
          <w:bCs/>
        </w:rPr>
      </w:pPr>
      <w:bookmarkStart w:id="2" w:name="_Toc212854888"/>
      <w:r w:rsidRPr="007A5709">
        <w:rPr>
          <w:b/>
          <w:bCs/>
        </w:rPr>
        <w:t>Table S</w:t>
      </w:r>
      <w:r w:rsidRPr="007A5709">
        <w:rPr>
          <w:b/>
          <w:bCs/>
        </w:rPr>
        <w:fldChar w:fldCharType="begin"/>
      </w:r>
      <w:r w:rsidRPr="007A5709">
        <w:rPr>
          <w:b/>
          <w:bCs/>
        </w:rPr>
        <w:instrText xml:space="preserve"> SEQ Table \* ARABIC </w:instrText>
      </w:r>
      <w:r w:rsidRPr="007A5709">
        <w:rPr>
          <w:b/>
          <w:bCs/>
        </w:rPr>
        <w:fldChar w:fldCharType="separate"/>
      </w:r>
      <w:r w:rsidR="001764B7">
        <w:rPr>
          <w:b/>
          <w:bCs/>
          <w:noProof/>
        </w:rPr>
        <w:t>3</w:t>
      </w:r>
      <w:r w:rsidRPr="007A5709">
        <w:rPr>
          <w:b/>
          <w:bCs/>
        </w:rPr>
        <w:fldChar w:fldCharType="end"/>
      </w:r>
      <w:r w:rsidRPr="007A5709">
        <w:rPr>
          <w:b/>
          <w:bCs/>
        </w:rPr>
        <w:t>. Summary of the 29 included studies.</w:t>
      </w:r>
      <w:bookmarkEnd w:id="2"/>
    </w:p>
    <w:tbl>
      <w:tblPr>
        <w:tblStyle w:val="Grilledutableau"/>
        <w:tblW w:w="14541" w:type="dxa"/>
        <w:tblLayout w:type="fixed"/>
        <w:tblLook w:val="0000" w:firstRow="0" w:lastRow="0" w:firstColumn="0" w:lastColumn="0" w:noHBand="0" w:noVBand="0"/>
      </w:tblPr>
      <w:tblGrid>
        <w:gridCol w:w="2505"/>
        <w:gridCol w:w="1601"/>
        <w:gridCol w:w="1134"/>
        <w:gridCol w:w="992"/>
        <w:gridCol w:w="2410"/>
        <w:gridCol w:w="1179"/>
        <w:gridCol w:w="1180"/>
        <w:gridCol w:w="1180"/>
        <w:gridCol w:w="1180"/>
        <w:gridCol w:w="1180"/>
      </w:tblGrid>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Title</w:t>
            </w:r>
          </w:p>
        </w:tc>
        <w:tc>
          <w:tcPr>
            <w:tcW w:w="1601" w:type="dxa"/>
          </w:tcPr>
          <w:p w:rsidR="00345641" w:rsidRPr="00345641" w:rsidRDefault="00345641" w:rsidP="006164BE">
            <w:pPr>
              <w:spacing w:line="278" w:lineRule="auto"/>
              <w:jc w:val="left"/>
              <w:rPr>
                <w:b/>
                <w:bCs/>
                <w:sz w:val="22"/>
                <w:szCs w:val="22"/>
              </w:rPr>
            </w:pPr>
            <w:r w:rsidRPr="00345641">
              <w:rPr>
                <w:b/>
                <w:bCs/>
                <w:sz w:val="22"/>
                <w:szCs w:val="22"/>
              </w:rPr>
              <w:t>First author</w:t>
            </w:r>
          </w:p>
        </w:tc>
        <w:tc>
          <w:tcPr>
            <w:tcW w:w="1134" w:type="dxa"/>
          </w:tcPr>
          <w:p w:rsidR="00345641" w:rsidRPr="00345641" w:rsidRDefault="00345641" w:rsidP="006164BE">
            <w:pPr>
              <w:spacing w:line="278" w:lineRule="auto"/>
              <w:jc w:val="left"/>
              <w:rPr>
                <w:b/>
                <w:bCs/>
                <w:sz w:val="22"/>
                <w:szCs w:val="22"/>
              </w:rPr>
            </w:pPr>
            <w:r w:rsidRPr="00345641">
              <w:rPr>
                <w:b/>
                <w:bCs/>
                <w:sz w:val="22"/>
                <w:szCs w:val="22"/>
              </w:rPr>
              <w:t>Publication year</w:t>
            </w:r>
          </w:p>
        </w:tc>
        <w:tc>
          <w:tcPr>
            <w:tcW w:w="992" w:type="dxa"/>
          </w:tcPr>
          <w:p w:rsidR="00345641" w:rsidRPr="00345641" w:rsidRDefault="00345641" w:rsidP="006164BE">
            <w:pPr>
              <w:spacing w:line="278" w:lineRule="auto"/>
              <w:jc w:val="left"/>
              <w:rPr>
                <w:b/>
                <w:bCs/>
                <w:sz w:val="22"/>
                <w:szCs w:val="22"/>
              </w:rPr>
            </w:pPr>
            <w:r w:rsidRPr="00345641">
              <w:rPr>
                <w:b/>
                <w:bCs/>
                <w:sz w:val="22"/>
                <w:szCs w:val="22"/>
              </w:rPr>
              <w:t>N centers</w:t>
            </w:r>
          </w:p>
        </w:tc>
        <w:tc>
          <w:tcPr>
            <w:tcW w:w="2410" w:type="dxa"/>
          </w:tcPr>
          <w:p w:rsidR="00345641" w:rsidRPr="00345641" w:rsidRDefault="00345641" w:rsidP="006164BE">
            <w:pPr>
              <w:spacing w:line="278" w:lineRule="auto"/>
              <w:rPr>
                <w:b/>
                <w:bCs/>
                <w:sz w:val="22"/>
                <w:szCs w:val="22"/>
              </w:rPr>
            </w:pPr>
            <w:r w:rsidRPr="00345641">
              <w:rPr>
                <w:b/>
                <w:bCs/>
                <w:sz w:val="22"/>
                <w:szCs w:val="22"/>
              </w:rPr>
              <w:t>Participating centers</w:t>
            </w:r>
          </w:p>
        </w:tc>
        <w:tc>
          <w:tcPr>
            <w:tcW w:w="1179" w:type="dxa"/>
          </w:tcPr>
          <w:p w:rsidR="00345641" w:rsidRPr="00345641" w:rsidRDefault="00345641" w:rsidP="006164BE">
            <w:pPr>
              <w:spacing w:line="278" w:lineRule="auto"/>
              <w:jc w:val="center"/>
              <w:rPr>
                <w:b/>
                <w:bCs/>
                <w:sz w:val="22"/>
                <w:szCs w:val="22"/>
              </w:rPr>
            </w:pPr>
            <w:r w:rsidRPr="00345641">
              <w:rPr>
                <w:b/>
                <w:bCs/>
                <w:sz w:val="22"/>
                <w:szCs w:val="22"/>
              </w:rPr>
              <w:t>First admission</w:t>
            </w:r>
          </w:p>
        </w:tc>
        <w:tc>
          <w:tcPr>
            <w:tcW w:w="1180" w:type="dxa"/>
          </w:tcPr>
          <w:p w:rsidR="00345641" w:rsidRPr="00345641" w:rsidRDefault="00345641" w:rsidP="006164BE">
            <w:pPr>
              <w:spacing w:line="278" w:lineRule="auto"/>
              <w:jc w:val="center"/>
              <w:rPr>
                <w:b/>
                <w:bCs/>
                <w:sz w:val="22"/>
                <w:szCs w:val="22"/>
              </w:rPr>
            </w:pPr>
            <w:r w:rsidRPr="00345641">
              <w:rPr>
                <w:b/>
                <w:bCs/>
                <w:sz w:val="22"/>
                <w:szCs w:val="22"/>
              </w:rPr>
              <w:t>Last admission</w:t>
            </w:r>
          </w:p>
        </w:tc>
        <w:tc>
          <w:tcPr>
            <w:tcW w:w="1180" w:type="dxa"/>
          </w:tcPr>
          <w:p w:rsidR="00345641" w:rsidRPr="00345641" w:rsidRDefault="00345641" w:rsidP="006164BE">
            <w:pPr>
              <w:spacing w:line="278" w:lineRule="auto"/>
              <w:jc w:val="center"/>
              <w:rPr>
                <w:b/>
                <w:bCs/>
                <w:sz w:val="22"/>
                <w:szCs w:val="22"/>
              </w:rPr>
            </w:pPr>
            <w:r w:rsidRPr="00345641">
              <w:rPr>
                <w:b/>
                <w:bCs/>
                <w:sz w:val="22"/>
                <w:szCs w:val="22"/>
              </w:rPr>
              <w:t>Patients with acute leukemia</w:t>
            </w:r>
          </w:p>
        </w:tc>
        <w:tc>
          <w:tcPr>
            <w:tcW w:w="1180" w:type="dxa"/>
          </w:tcPr>
          <w:p w:rsidR="00345641" w:rsidRPr="00345641" w:rsidRDefault="00345641" w:rsidP="006164BE">
            <w:pPr>
              <w:spacing w:line="278" w:lineRule="auto"/>
              <w:jc w:val="center"/>
              <w:rPr>
                <w:b/>
                <w:bCs/>
                <w:sz w:val="22"/>
                <w:szCs w:val="22"/>
              </w:rPr>
            </w:pPr>
            <w:r w:rsidRPr="00345641">
              <w:rPr>
                <w:b/>
                <w:bCs/>
                <w:sz w:val="22"/>
                <w:szCs w:val="22"/>
              </w:rPr>
              <w:t xml:space="preserve">Non </w:t>
            </w:r>
            <w:proofErr w:type="spellStart"/>
            <w:r w:rsidRPr="00345641">
              <w:rPr>
                <w:b/>
                <w:bCs/>
                <w:sz w:val="22"/>
                <w:szCs w:val="22"/>
              </w:rPr>
              <w:t>alloHSCT</w:t>
            </w:r>
            <w:proofErr w:type="spellEnd"/>
          </w:p>
        </w:tc>
        <w:tc>
          <w:tcPr>
            <w:tcW w:w="1180" w:type="dxa"/>
          </w:tcPr>
          <w:p w:rsidR="00345641" w:rsidRPr="00345641" w:rsidRDefault="00345641" w:rsidP="006164BE">
            <w:pPr>
              <w:spacing w:line="278" w:lineRule="auto"/>
              <w:jc w:val="center"/>
              <w:rPr>
                <w:b/>
                <w:bCs/>
                <w:sz w:val="22"/>
                <w:szCs w:val="22"/>
              </w:rPr>
            </w:pPr>
            <w:r w:rsidRPr="00345641">
              <w:rPr>
                <w:b/>
                <w:bCs/>
                <w:sz w:val="22"/>
                <w:szCs w:val="22"/>
              </w:rPr>
              <w:t>ICU deaths</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Predictors of noninvasive ventilation failure in patients with hematologic malignancy and acute respiratory failure</w:t>
            </w:r>
            <w:r w:rsidR="00D21559">
              <w:rPr>
                <w:b/>
                <w:bCs/>
                <w:sz w:val="22"/>
                <w:szCs w:val="22"/>
              </w:rPr>
              <w:fldChar w:fldCharType="begin"/>
            </w:r>
            <w:r w:rsidR="00987282">
              <w:rPr>
                <w:b/>
                <w:bCs/>
                <w:sz w:val="22"/>
                <w:szCs w:val="22"/>
              </w:rPr>
              <w:instrText xml:space="preserve"> ADDIN ZOTERO_ITEM CSL_CITATION {"citationID":"2rstLMjz","properties":{"formattedCitation":"(2)","plainCitation":"(2)","noteIndex":0},"citationItems":[{"id":492,"uris":["http://zotero.org/users/local/5K0ZcI7M/items/E8UIAKFS"],"itemData":{"id":492,"type":"article-journal","abstract":"OBJECTIVES: The current trend to manage critically ill hematologic patients admitted with acute respiratory failure is to perform noninvasive ventilation to avoid endotracheal intubation. However, failure of noninvasive ventilation may lead to an increased mortality.\nDESIGN: Retrospective study to determine the frequency of noninvasive ventilation failure and identify its determinants.\nSETTING: Medical intensive care unit in a University hospital.\nPATIENTS: All consecutive patients with hematologic malignancies admitted to the intensive care unit over a 10-yr period who received noninvasive ventilation.\nRESULTS: A total of 99 patients were studied. Simplified Acute Physiology Score II at admission was 49 (median, interquartile range, 39-57). Fifty-three patients (54%) failed noninvasive ventilation and required endotracheal intubation. Their PaO2/FiO2 ratio was significantly lower (175 [101-236] vs. 248 [134-337]) and their respiratory rate under noninvasive ventilation was significantly higher (32 breaths/min [30-36] vs. 28 [27-30]). Forty-seven patients (89%) who failed noninvasive ventilation required vasopressors. Hospital mortality was 79% in those who failed noninvasive ventilation, and 41% in those who succeeded. Patients who failed noninvasive ventilation had a significantly longer intensive care unit stay (13 days [8-23] vs. 5 [2-8]) and a significantly higher rate of intensive care unit-acquired infections (32% compared with 7%). Factors independently associated with noninvasive ventilation failure by multivariate analysis were respiratory rate under noninvasive ventilation, longer delay between admission and noninvasive ventilation first use, need for vasopressors or renal replacement therapy, and acute respiratory distress syndrome.\nCONCLUSIONS: Failure of noninvasive ventilation occurs in half the critically ill hematologic patients and is associated with an increased mortality. Predictors of noninvasive ventilation failure might be used to guide decisions regarding intubation.","container-title":"Critical Care Medicine","DOI":"10.1097/CCM.0b013e31818699f6","ISSN":"1530-0293","issue":"10","journalAbbreviation":"Crit Care Med","language":"eng","note":"number: 10\nPMID: 18766110","page":"2766-2772","source":"PubMed","title":"Predictors of noninvasive ventilation failure in patients with hematologic malignancy and acute respiratory failure","volume":"36","author":[{"family":"Adda","given":"Mélanie"},{"family":"Coquet","given":"Isaline"},{"family":"Darmon","given":"Michaël"},{"family":"Thiery","given":"Guillaume"},{"family":"Schlemmer","given":"Benoît"},{"family":"Azoulay","given":"Elie"}],"issued":{"date-parts":[["2008",10]]}}}],"schema":"https://github.com/citation-style-language/schema/raw/master/csl-citation.json"} </w:instrText>
            </w:r>
            <w:r w:rsidR="00D21559">
              <w:rPr>
                <w:b/>
                <w:bCs/>
                <w:sz w:val="22"/>
                <w:szCs w:val="22"/>
              </w:rPr>
              <w:fldChar w:fldCharType="separate"/>
            </w:r>
            <w:r w:rsidR="00987282">
              <w:rPr>
                <w:b/>
                <w:bCs/>
                <w:noProof/>
                <w:sz w:val="22"/>
                <w:szCs w:val="22"/>
              </w:rPr>
              <w:t>(2)</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Adda</w:t>
            </w:r>
          </w:p>
        </w:tc>
        <w:tc>
          <w:tcPr>
            <w:tcW w:w="1134" w:type="dxa"/>
          </w:tcPr>
          <w:p w:rsidR="00345641" w:rsidRPr="00345641" w:rsidRDefault="00345641" w:rsidP="006164BE">
            <w:pPr>
              <w:spacing w:line="278" w:lineRule="auto"/>
              <w:jc w:val="center"/>
              <w:rPr>
                <w:sz w:val="22"/>
                <w:szCs w:val="22"/>
              </w:rPr>
            </w:pPr>
            <w:r w:rsidRPr="00345641">
              <w:rPr>
                <w:sz w:val="22"/>
                <w:szCs w:val="22"/>
              </w:rPr>
              <w:t>2008</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1995</w:t>
            </w:r>
          </w:p>
        </w:tc>
        <w:tc>
          <w:tcPr>
            <w:tcW w:w="1180" w:type="dxa"/>
          </w:tcPr>
          <w:p w:rsidR="00345641" w:rsidRPr="00345641" w:rsidRDefault="00345641" w:rsidP="006164BE">
            <w:pPr>
              <w:spacing w:line="278" w:lineRule="auto"/>
              <w:jc w:val="center"/>
              <w:rPr>
                <w:sz w:val="22"/>
                <w:szCs w:val="22"/>
              </w:rPr>
            </w:pPr>
            <w:r w:rsidRPr="00345641">
              <w:rPr>
                <w:sz w:val="22"/>
                <w:szCs w:val="22"/>
              </w:rPr>
              <w:t>2005</w:t>
            </w:r>
          </w:p>
        </w:tc>
        <w:tc>
          <w:tcPr>
            <w:tcW w:w="1180" w:type="dxa"/>
          </w:tcPr>
          <w:p w:rsidR="00345641" w:rsidRPr="00345641" w:rsidRDefault="00345641" w:rsidP="006164BE">
            <w:pPr>
              <w:spacing w:line="278" w:lineRule="auto"/>
              <w:jc w:val="center"/>
              <w:rPr>
                <w:sz w:val="22"/>
                <w:szCs w:val="22"/>
              </w:rPr>
            </w:pPr>
            <w:r w:rsidRPr="00345641">
              <w:rPr>
                <w:sz w:val="22"/>
                <w:szCs w:val="22"/>
              </w:rPr>
              <w:t>38</w:t>
            </w:r>
          </w:p>
        </w:tc>
        <w:tc>
          <w:tcPr>
            <w:tcW w:w="1180" w:type="dxa"/>
          </w:tcPr>
          <w:p w:rsidR="00345641" w:rsidRPr="00345641" w:rsidRDefault="00345641" w:rsidP="006164BE">
            <w:pPr>
              <w:spacing w:line="278" w:lineRule="auto"/>
              <w:jc w:val="center"/>
              <w:rPr>
                <w:sz w:val="22"/>
                <w:szCs w:val="22"/>
              </w:rPr>
            </w:pPr>
            <w:r w:rsidRPr="00345641">
              <w:rPr>
                <w:sz w:val="22"/>
                <w:szCs w:val="22"/>
              </w:rPr>
              <w:t>0</w:t>
            </w:r>
          </w:p>
        </w:tc>
        <w:tc>
          <w:tcPr>
            <w:tcW w:w="1180" w:type="dxa"/>
          </w:tcPr>
          <w:p w:rsidR="00345641" w:rsidRPr="00345641" w:rsidRDefault="00345641" w:rsidP="006164BE">
            <w:pPr>
              <w:spacing w:line="278" w:lineRule="auto"/>
              <w:jc w:val="center"/>
              <w:rPr>
                <w:sz w:val="22"/>
                <w:szCs w:val="22"/>
              </w:rPr>
            </w:pPr>
            <w:r w:rsidRPr="00345641">
              <w:rPr>
                <w:sz w:val="22"/>
                <w:szCs w:val="22"/>
              </w:rPr>
              <w:t>16</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Deterioration of previous acute lung injury during neutropenia recovery</w:t>
            </w:r>
            <w:r w:rsidR="00D21559">
              <w:rPr>
                <w:b/>
                <w:bCs/>
                <w:sz w:val="22"/>
                <w:szCs w:val="22"/>
              </w:rPr>
              <w:fldChar w:fldCharType="begin"/>
            </w:r>
            <w:r w:rsidR="00987282">
              <w:rPr>
                <w:b/>
                <w:bCs/>
                <w:sz w:val="22"/>
                <w:szCs w:val="22"/>
              </w:rPr>
              <w:instrText xml:space="preserve"> ADDIN ZOTERO_ITEM CSL_CITATION {"citationID":"T6wDeysN","properties":{"formattedCitation":"(3)","plainCitation":"(3)","noteIndex":0},"citationItems":[{"id":2429,"uris":["http://zotero.org/users/local/5K0ZcI7M/items/GTQAJPK3"],"itemData":{"id":2429,"type":"article-journal","abstract":"DESIGN: Although neutropenia recovery is associated with a high risk of deterioration of respiratory condition, no studies designed to identify risk factors for acute respiratory distress syndrome (ARDS) in this situation have been published.\nSETTING: Medical ICU in a French teaching hospital.\nSUBJECTS: We conducted a study to describe critically ill cancer patients with ARDS during neutropenia recovery (defined as the 7-day period centered on the day the neutrophil count rose above 1000/mm3 [day 0]) and to compare them with critically ill cancer patients without ARDS during neutropenia recovery.\nINTERVENTIONS: None.\nMEASUREMENTS AND MAIN RESULTS: During a 10-yr period, 62 critically ill cancer patients recovered from neutropenia, of whom 21 experienced ARDS during neutropenia recovery, with a median time of -1 days (-2.5-1) between day 0 and ARDS. In-ICU mortality in these 21 patients was 61.9%. As compared with non-ARDS patients, ARDS patients were less likely to have myeloma and more likely to have leukemia/lymphoma treated with adriamycin, a history of pneumonia before neutropenia, and a neutropenia duration &gt;10 days; they had a shorter time since malignancy diagnosis and a longer time from chemotherapy to neutropenia. Neither the leukocyte counts on day 0 nor those during the 6-day neutropenia recovery period were predictive of ARDS.\nCONCLUSIONS: Patients with acute respiratory failure after prolonged neutropenia complicated by pneumonia are at increased risk for ARDS.","container-title":"Critical Care Medicine","DOI":"10.1097/00003246-200204000-00010","ISSN":"0090-3493","issue":"4","journalAbbreviation":"Crit Care Med","language":"eng","note":"PMID: 11940745","page":"781-786","source":"PubMed","title":"Deterioration of previous acute lung injury during neutropenia recovery","volume":"30","author":[{"family":"Azoulay","given":"Elie"},{"family":"Darmon","given":"Michael"},{"family":"Delclaux","given":"Christophe"},{"family":"Fieux","given":"Fabienne"},{"family":"Bornstain","given":"Caroline"},{"family":"Moreau","given":"Delphine"},{"family":"Attalah","given":"Habiba"},{"family":"Le Gall","given":"Jean-Roger"},{"family":"Schlemmer","given":"Benoît"}],"issued":{"date-parts":[["2002",4]]}}}],"schema":"https://github.com/citation-style-language/schema/raw/master/csl-citation.json"} </w:instrText>
            </w:r>
            <w:r w:rsidR="00D21559">
              <w:rPr>
                <w:b/>
                <w:bCs/>
                <w:sz w:val="22"/>
                <w:szCs w:val="22"/>
              </w:rPr>
              <w:fldChar w:fldCharType="separate"/>
            </w:r>
            <w:r w:rsidR="00987282">
              <w:rPr>
                <w:b/>
                <w:bCs/>
                <w:noProof/>
                <w:sz w:val="22"/>
                <w:szCs w:val="22"/>
              </w:rPr>
              <w:t>(3)</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E. Azoulay</w:t>
            </w:r>
          </w:p>
        </w:tc>
        <w:tc>
          <w:tcPr>
            <w:tcW w:w="1134" w:type="dxa"/>
          </w:tcPr>
          <w:p w:rsidR="00345641" w:rsidRPr="00345641" w:rsidRDefault="00345641" w:rsidP="006164BE">
            <w:pPr>
              <w:spacing w:line="278" w:lineRule="auto"/>
              <w:jc w:val="center"/>
              <w:rPr>
                <w:sz w:val="22"/>
                <w:szCs w:val="22"/>
              </w:rPr>
            </w:pPr>
            <w:r w:rsidRPr="00345641">
              <w:rPr>
                <w:sz w:val="22"/>
                <w:szCs w:val="22"/>
              </w:rPr>
              <w:t>2002</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1991</w:t>
            </w:r>
          </w:p>
        </w:tc>
        <w:tc>
          <w:tcPr>
            <w:tcW w:w="1180" w:type="dxa"/>
          </w:tcPr>
          <w:p w:rsidR="00345641" w:rsidRPr="00345641" w:rsidRDefault="00345641" w:rsidP="006164BE">
            <w:pPr>
              <w:spacing w:line="278" w:lineRule="auto"/>
              <w:jc w:val="center"/>
              <w:rPr>
                <w:sz w:val="22"/>
                <w:szCs w:val="22"/>
              </w:rPr>
            </w:pPr>
            <w:r w:rsidRPr="00345641">
              <w:rPr>
                <w:sz w:val="22"/>
                <w:szCs w:val="22"/>
              </w:rPr>
              <w:t>2000</w:t>
            </w:r>
          </w:p>
        </w:tc>
        <w:tc>
          <w:tcPr>
            <w:tcW w:w="1180" w:type="dxa"/>
          </w:tcPr>
          <w:p w:rsidR="00345641" w:rsidRPr="00345641" w:rsidRDefault="00345641" w:rsidP="006164BE">
            <w:pPr>
              <w:spacing w:line="278" w:lineRule="auto"/>
              <w:jc w:val="center"/>
              <w:rPr>
                <w:sz w:val="22"/>
                <w:szCs w:val="22"/>
              </w:rPr>
            </w:pPr>
            <w:r w:rsidRPr="00345641">
              <w:rPr>
                <w:sz w:val="22"/>
                <w:szCs w:val="22"/>
              </w:rPr>
              <w:t>43</w:t>
            </w:r>
          </w:p>
        </w:tc>
        <w:tc>
          <w:tcPr>
            <w:tcW w:w="1180" w:type="dxa"/>
          </w:tcPr>
          <w:p w:rsidR="00345641" w:rsidRPr="00345641" w:rsidRDefault="00345641" w:rsidP="006164BE">
            <w:pPr>
              <w:spacing w:line="278" w:lineRule="auto"/>
              <w:jc w:val="center"/>
              <w:rPr>
                <w:sz w:val="22"/>
                <w:szCs w:val="22"/>
              </w:rPr>
            </w:pPr>
            <w:r w:rsidRPr="00345641">
              <w:rPr>
                <w:sz w:val="22"/>
                <w:szCs w:val="22"/>
              </w:rPr>
              <w:t>0</w:t>
            </w:r>
          </w:p>
        </w:tc>
        <w:tc>
          <w:tcPr>
            <w:tcW w:w="1180" w:type="dxa"/>
          </w:tcPr>
          <w:p w:rsidR="00345641" w:rsidRPr="00345641" w:rsidRDefault="00345641" w:rsidP="006164BE">
            <w:pPr>
              <w:spacing w:line="278" w:lineRule="auto"/>
              <w:jc w:val="center"/>
              <w:rPr>
                <w:sz w:val="22"/>
                <w:szCs w:val="22"/>
              </w:rPr>
            </w:pPr>
            <w:r w:rsidRPr="00345641">
              <w:rPr>
                <w:sz w:val="22"/>
                <w:szCs w:val="22"/>
              </w:rPr>
              <w:t>23</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The Prognosis of Acute Respiratory Failure in Critically Ill Cancer Patients</w:t>
            </w:r>
            <w:r w:rsidR="00D21559">
              <w:rPr>
                <w:b/>
                <w:bCs/>
                <w:sz w:val="22"/>
                <w:szCs w:val="22"/>
              </w:rPr>
              <w:fldChar w:fldCharType="begin"/>
            </w:r>
            <w:r w:rsidR="00987282">
              <w:rPr>
                <w:b/>
                <w:bCs/>
                <w:sz w:val="22"/>
                <w:szCs w:val="22"/>
              </w:rPr>
              <w:instrText xml:space="preserve"> ADDIN ZOTERO_ITEM CSL_CITATION {"citationID":"XHWRN21V","properties":{"formattedCitation":"(4)","plainCitation":"(4)","noteIndex":0},"citationItems":[{"id":2437,"uris":["http://zotero.org/users/local/5K0ZcI7M/items/T8VVQKV8"],"itemData":{"id":2437,"type":"article-journal","abstract":"Acute respiratory failure (ARF) in patients with cancer is frequently a fatal event. To identify factors associated with survival of cancer patients admitted to an intensive care unit (ICU) for ARF, we conducted a prospective 5-year observational study in a medical ICU in a teaching hospital in Paris, France. The patients were 203 cancer patients with ARF mainly due to infectious pneumonia (58%), but also noninfectious pneumonia (9%), congestive heart failure (12%), and no identifiable cause (21%). We measured clinical characteristics and ICU and hospital mortality rates.ICU mortality was 44.8% and hospital mortality was 47.8%. Noninvasive mechanical ventilation was used in 79 (39%) patients and conventional mechanical ventilation in 114 (56%), the mortality rates being 48.1% and 75.4%, respectively. Among the 14 patients with late noninvasive mechanical ventilation failure (&gt;48 hours), only 1 survived. The mortality rate was 100% in the 19 noncardiac patients in whom conventional mechanical ventilation was started after 72 hours. By multivariable analysis, factors associated with increased mortality were documented invasive aspergillosis (odds ratio [OR], 2.13; 95% confidence intervals [CI], 1.05-14.74), no definite diagnosis (OR, 3.85; 95% CI, 1.26-11.70), vasopressors (OR, 3.19; 95% CI, 1.28-7.95), first-line conventional mechanical ventilation (OR, 8.75; 95% CI, 2.35-35.24), conventional mechanical ventilation after noninvasive mechanical ventilation failure (OR, 17.46; 95% CI, 5.04-60.52), and late noninvasive mechanical ventilation failure (OR, 10.64; 95% CI, 1.05-107.83). Hospital mortality was lower in patients with cardiac pulmonary edema (OR, 0.16; 95% CI, 0.03-0.72). Survival gains achieved in critically ill cancer patients in recent years extend to patients requiring ventilatory assistance. The impact of conventional mechanical ventilation on survival depends on the time from ICU admission to conventional mechanical ventilation and on the patient's response to noninvasive mechanical ventilation.","container-title":"Medicine","DOI":"10.1097/01.md.0000145370.63676.fb","ISSN":"0025-7974","issue":"6","journalAbbreviation":"Medicine (Baltimore)","language":"eng","note":"PMID: 15525848","page":"360-370","source":"PubMed","title":"The prognosis of acute respiratory failure in critically ill cancer patients","volume":"83","author":[{"family":"Azoulay","given":"Élie"},{"family":"Thiéry","given":"Guillaume"},{"family":"Chevret","given":"Sylvie"},{"family":"Moreau","given":"Delphine"},{"family":"Darmon","given":"Michaël"},{"family":"Bergeron","given":"Anne"},{"family":"Yang","given":"Kun"},{"family":"Meignin","given":"Véronique"},{"family":"Ciroldi","given":"Magali"},{"family":"Le Gall","given":"Jean-Roger"},{"family":"Tazi","given":"Abdellatif"},{"family":"Schlemmer","given":"Benoît"}],"issued":{"date-parts":[["2004",11]]}}}],"schema":"https://github.com/citation-style-language/schema/raw/master/csl-citation.json"} </w:instrText>
            </w:r>
            <w:r w:rsidR="00D21559">
              <w:rPr>
                <w:b/>
                <w:bCs/>
                <w:sz w:val="22"/>
                <w:szCs w:val="22"/>
              </w:rPr>
              <w:fldChar w:fldCharType="separate"/>
            </w:r>
            <w:r w:rsidR="00987282">
              <w:rPr>
                <w:b/>
                <w:bCs/>
                <w:noProof/>
                <w:sz w:val="22"/>
                <w:szCs w:val="22"/>
              </w:rPr>
              <w:t>(4)</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E. Azoulay</w:t>
            </w:r>
          </w:p>
        </w:tc>
        <w:tc>
          <w:tcPr>
            <w:tcW w:w="1134" w:type="dxa"/>
          </w:tcPr>
          <w:p w:rsidR="00345641" w:rsidRPr="00345641" w:rsidRDefault="00345641" w:rsidP="006164BE">
            <w:pPr>
              <w:spacing w:line="278" w:lineRule="auto"/>
              <w:jc w:val="center"/>
              <w:rPr>
                <w:sz w:val="22"/>
                <w:szCs w:val="22"/>
              </w:rPr>
            </w:pPr>
            <w:r w:rsidRPr="00345641">
              <w:rPr>
                <w:sz w:val="22"/>
                <w:szCs w:val="22"/>
              </w:rPr>
              <w:t>2004</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1993</w:t>
            </w:r>
          </w:p>
        </w:tc>
        <w:tc>
          <w:tcPr>
            <w:tcW w:w="1180" w:type="dxa"/>
          </w:tcPr>
          <w:p w:rsidR="00345641" w:rsidRPr="00345641" w:rsidRDefault="00345641" w:rsidP="006164BE">
            <w:pPr>
              <w:spacing w:line="278" w:lineRule="auto"/>
              <w:jc w:val="center"/>
              <w:rPr>
                <w:sz w:val="22"/>
                <w:szCs w:val="22"/>
              </w:rPr>
            </w:pPr>
            <w:r w:rsidRPr="00345641">
              <w:rPr>
                <w:sz w:val="22"/>
                <w:szCs w:val="22"/>
              </w:rPr>
              <w:t>2002</w:t>
            </w:r>
          </w:p>
        </w:tc>
        <w:tc>
          <w:tcPr>
            <w:tcW w:w="1180" w:type="dxa"/>
          </w:tcPr>
          <w:p w:rsidR="00345641" w:rsidRPr="00345641" w:rsidRDefault="00345641" w:rsidP="006164BE">
            <w:pPr>
              <w:spacing w:line="278" w:lineRule="auto"/>
              <w:jc w:val="center"/>
              <w:rPr>
                <w:sz w:val="22"/>
                <w:szCs w:val="22"/>
              </w:rPr>
            </w:pPr>
            <w:r w:rsidRPr="00345641">
              <w:rPr>
                <w:sz w:val="22"/>
                <w:szCs w:val="22"/>
              </w:rPr>
              <w:t>62</w:t>
            </w:r>
          </w:p>
        </w:tc>
        <w:tc>
          <w:tcPr>
            <w:tcW w:w="1180" w:type="dxa"/>
          </w:tcPr>
          <w:p w:rsidR="00345641" w:rsidRPr="00345641" w:rsidRDefault="00345641" w:rsidP="006164BE">
            <w:pPr>
              <w:spacing w:line="278" w:lineRule="auto"/>
              <w:jc w:val="center"/>
              <w:rPr>
                <w:sz w:val="22"/>
                <w:szCs w:val="22"/>
              </w:rPr>
            </w:pPr>
            <w:r w:rsidRPr="00345641">
              <w:rPr>
                <w:sz w:val="22"/>
                <w:szCs w:val="22"/>
              </w:rPr>
              <w:t>52</w:t>
            </w:r>
          </w:p>
        </w:tc>
        <w:tc>
          <w:tcPr>
            <w:tcW w:w="1180" w:type="dxa"/>
          </w:tcPr>
          <w:p w:rsidR="00345641" w:rsidRPr="00345641" w:rsidRDefault="00345641" w:rsidP="006164BE">
            <w:pPr>
              <w:spacing w:line="278" w:lineRule="auto"/>
              <w:jc w:val="center"/>
              <w:rPr>
                <w:sz w:val="22"/>
                <w:szCs w:val="22"/>
              </w:rPr>
            </w:pPr>
            <w:r w:rsidRPr="00345641">
              <w:rPr>
                <w:sz w:val="22"/>
                <w:szCs w:val="22"/>
              </w:rPr>
              <w:t>29</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Dexamethasone in patients with acute lung injury from acute monocytic </w:t>
            </w:r>
            <w:proofErr w:type="spellStart"/>
            <w:r w:rsidRPr="00345641">
              <w:rPr>
                <w:b/>
                <w:bCs/>
                <w:sz w:val="22"/>
                <w:szCs w:val="22"/>
              </w:rPr>
              <w:t>leukaemia</w:t>
            </w:r>
            <w:proofErr w:type="spellEnd"/>
            <w:r w:rsidR="00D21559">
              <w:rPr>
                <w:b/>
                <w:bCs/>
                <w:sz w:val="22"/>
                <w:szCs w:val="22"/>
              </w:rPr>
              <w:fldChar w:fldCharType="begin"/>
            </w:r>
            <w:r w:rsidR="00987282">
              <w:rPr>
                <w:b/>
                <w:bCs/>
                <w:sz w:val="22"/>
                <w:szCs w:val="22"/>
              </w:rPr>
              <w:instrText xml:space="preserve"> ADDIN ZOTERO_ITEM CSL_CITATION {"citationID":"q1Odsnx5","properties":{"formattedCitation":"(5)","plainCitation":"(5)","noteIndex":0},"citationItems":[{"id":399,"uris":["http://zotero.org/users/local/5K0ZcI7M/items/KBVDMRYX"],"itemData":{"id":399,"type":"article-journal","abstract":"The use of steroids is not required in myeloid malignancies and remains controversial in patients with acute lung injury (ALI) or acute respiratory distress syndrome (ARDS). We sought to evaluate dexamethasone in patients with ALI/ARDS caused by acute monocytic leukaemia (AML FAB-M5) via either leukostasis or leukaemic infiltration. Dexamethasone (10 mg every 6 h until neutropenia) was added to chemotherapy and intensive care unit (ICU) management in 20 consecutive patients between 2005 and 2008, whose data were compared with those from 20 historical controls (1994-2002). ICU mortality was the primary criterion. We also compared respiratory deterioration rates, need for ventilation and nosocomial infections. 17 (85%) patients had hyperleukocytosis, 19 (95%) had leukaemic masses, and all 20 had severe pancytopenia. All patients presented with respiratory symptoms and pulmonary infiltrates prior to AML FAB-M5 diagnosis. Compared with historical controls, dexamethasone-treated patients had a significantly lower ICU mortality rate (20% versus 50%; p = 0.04) and a trend for less respiratory deterioration (50% versus 80%; p = 0.07). There were no significant increases in the rates of infections with dexamethasone. In conclusion, in patients with ALI/ARDS related to AML FAB-M5, adding dexamethasone to conventional chemotherapy seemed effective and safe. These results warrant a controlled trial of dexamethasone versus placebo in AML FAB-M5 patients with noninfectious pulmonary infiltrates.","container-title":"The European Respiratory Journal","DOI":"10.1183/09031936.00057711","ISSN":"1399-3003","issue":"3","journalAbbreviation":"Eur. Respir. J.","language":"eng","note":"number: 3\nPMID: 21828031","page":"648-653","source":"PubMed","title":"Dexamethasone in patients with acute lung injury from acute monocytic leukaemia","volume":"39","author":[{"family":"Azoulay","given":"É"},{"family":"Canet","given":"E."},{"family":"Raffoux","given":"E."},{"family":"Lengliné","given":"E."},{"family":"Lemiale","given":"V."},{"family":"Vincent","given":"F."},{"family":"Labarthe","given":"A.","non-dropping-particle":"de"},{"family":"Seguin","given":"A."},{"family":"Boissel","given":"N."},{"family":"Dombret","given":"H."},{"family":"Schlemmer","given":"B."}],"issued":{"date-parts":[["2012",3]]}}}],"schema":"https://github.com/citation-style-language/schema/raw/master/csl-citation.json"} </w:instrText>
            </w:r>
            <w:r w:rsidR="00D21559">
              <w:rPr>
                <w:b/>
                <w:bCs/>
                <w:sz w:val="22"/>
                <w:szCs w:val="22"/>
              </w:rPr>
              <w:fldChar w:fldCharType="separate"/>
            </w:r>
            <w:r w:rsidR="00987282">
              <w:rPr>
                <w:b/>
                <w:bCs/>
                <w:noProof/>
                <w:sz w:val="22"/>
                <w:szCs w:val="22"/>
              </w:rPr>
              <w:t>(5)</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E. Azoulay</w:t>
            </w:r>
          </w:p>
        </w:tc>
        <w:tc>
          <w:tcPr>
            <w:tcW w:w="1134" w:type="dxa"/>
          </w:tcPr>
          <w:p w:rsidR="00345641" w:rsidRPr="00345641" w:rsidRDefault="00345641" w:rsidP="006164BE">
            <w:pPr>
              <w:spacing w:line="278" w:lineRule="auto"/>
              <w:jc w:val="center"/>
              <w:rPr>
                <w:sz w:val="22"/>
                <w:szCs w:val="22"/>
              </w:rPr>
            </w:pPr>
            <w:r w:rsidRPr="00345641">
              <w:rPr>
                <w:sz w:val="22"/>
                <w:szCs w:val="22"/>
              </w:rPr>
              <w:t>2012</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1993</w:t>
            </w:r>
          </w:p>
        </w:tc>
        <w:tc>
          <w:tcPr>
            <w:tcW w:w="1180" w:type="dxa"/>
          </w:tcPr>
          <w:p w:rsidR="00345641" w:rsidRPr="00345641" w:rsidRDefault="00345641" w:rsidP="006164BE">
            <w:pPr>
              <w:spacing w:line="278" w:lineRule="auto"/>
              <w:jc w:val="center"/>
              <w:rPr>
                <w:sz w:val="22"/>
                <w:szCs w:val="22"/>
              </w:rPr>
            </w:pPr>
            <w:r w:rsidRPr="00345641">
              <w:rPr>
                <w:sz w:val="22"/>
                <w:szCs w:val="22"/>
              </w:rPr>
              <w:t>2008</w:t>
            </w:r>
          </w:p>
        </w:tc>
        <w:tc>
          <w:tcPr>
            <w:tcW w:w="1180" w:type="dxa"/>
          </w:tcPr>
          <w:p w:rsidR="00345641" w:rsidRPr="00345641" w:rsidRDefault="00345641" w:rsidP="006164BE">
            <w:pPr>
              <w:spacing w:line="278" w:lineRule="auto"/>
              <w:jc w:val="center"/>
              <w:rPr>
                <w:sz w:val="22"/>
                <w:szCs w:val="22"/>
              </w:rPr>
            </w:pPr>
            <w:r w:rsidRPr="00345641">
              <w:rPr>
                <w:sz w:val="22"/>
                <w:szCs w:val="22"/>
              </w:rPr>
              <w:t>40</w:t>
            </w:r>
          </w:p>
        </w:tc>
        <w:tc>
          <w:tcPr>
            <w:tcW w:w="1180" w:type="dxa"/>
          </w:tcPr>
          <w:p w:rsidR="00345641" w:rsidRPr="00345641" w:rsidRDefault="00345641" w:rsidP="006164BE">
            <w:pPr>
              <w:spacing w:line="278" w:lineRule="auto"/>
              <w:jc w:val="center"/>
              <w:rPr>
                <w:sz w:val="22"/>
                <w:szCs w:val="22"/>
              </w:rPr>
            </w:pPr>
            <w:r w:rsidRPr="00345641">
              <w:rPr>
                <w:sz w:val="22"/>
                <w:szCs w:val="22"/>
              </w:rPr>
              <w:t>40</w:t>
            </w:r>
          </w:p>
        </w:tc>
        <w:tc>
          <w:tcPr>
            <w:tcW w:w="1180" w:type="dxa"/>
          </w:tcPr>
          <w:p w:rsidR="00345641" w:rsidRPr="00345641" w:rsidRDefault="00345641" w:rsidP="006164BE">
            <w:pPr>
              <w:spacing w:line="278" w:lineRule="auto"/>
              <w:jc w:val="center"/>
              <w:rPr>
                <w:sz w:val="22"/>
                <w:szCs w:val="22"/>
              </w:rPr>
            </w:pPr>
            <w:r w:rsidRPr="00345641">
              <w:rPr>
                <w:sz w:val="22"/>
                <w:szCs w:val="22"/>
              </w:rPr>
              <w:t>14</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Outcomes of Critically Ill Patients With Hematologic Malignancies: Prospective Multicenter </w:t>
            </w:r>
            <w:r w:rsidRPr="00345641">
              <w:rPr>
                <w:b/>
                <w:bCs/>
                <w:sz w:val="22"/>
                <w:szCs w:val="22"/>
              </w:rPr>
              <w:lastRenderedPageBreak/>
              <w:t xml:space="preserve">Data From France and Belgium—A Groupe de Recherche </w:t>
            </w:r>
            <w:proofErr w:type="spellStart"/>
            <w:r w:rsidRPr="00345641">
              <w:rPr>
                <w:b/>
                <w:bCs/>
                <w:sz w:val="22"/>
                <w:szCs w:val="22"/>
              </w:rPr>
              <w:t>Respiratoire</w:t>
            </w:r>
            <w:proofErr w:type="spellEnd"/>
            <w:r w:rsidRPr="00345641">
              <w:rPr>
                <w:b/>
                <w:bCs/>
                <w:sz w:val="22"/>
                <w:szCs w:val="22"/>
              </w:rPr>
              <w:t xml:space="preserve"> </w:t>
            </w:r>
            <w:proofErr w:type="spellStart"/>
            <w:r w:rsidRPr="00345641">
              <w:rPr>
                <w:b/>
                <w:bCs/>
                <w:sz w:val="22"/>
                <w:szCs w:val="22"/>
              </w:rPr>
              <w:t>en</w:t>
            </w:r>
            <w:proofErr w:type="spellEnd"/>
            <w:r w:rsidRPr="00345641">
              <w:rPr>
                <w:b/>
                <w:bCs/>
                <w:sz w:val="22"/>
                <w:szCs w:val="22"/>
              </w:rPr>
              <w:t xml:space="preserve"> </w:t>
            </w:r>
            <w:proofErr w:type="spellStart"/>
            <w:r w:rsidRPr="00345641">
              <w:rPr>
                <w:b/>
                <w:bCs/>
                <w:sz w:val="22"/>
                <w:szCs w:val="22"/>
              </w:rPr>
              <w:t>Réanimation</w:t>
            </w:r>
            <w:proofErr w:type="spellEnd"/>
            <w:r w:rsidRPr="00345641">
              <w:rPr>
                <w:b/>
                <w:bCs/>
                <w:sz w:val="22"/>
                <w:szCs w:val="22"/>
              </w:rPr>
              <w:t xml:space="preserve"> Onco-</w:t>
            </w:r>
            <w:proofErr w:type="spellStart"/>
            <w:r w:rsidRPr="00345641">
              <w:rPr>
                <w:b/>
                <w:bCs/>
                <w:sz w:val="22"/>
                <w:szCs w:val="22"/>
              </w:rPr>
              <w:t>Hématologique</w:t>
            </w:r>
            <w:proofErr w:type="spellEnd"/>
            <w:r w:rsidRPr="00345641">
              <w:rPr>
                <w:b/>
                <w:bCs/>
                <w:sz w:val="22"/>
                <w:szCs w:val="22"/>
              </w:rPr>
              <w:t xml:space="preserve"> Study</w:t>
            </w:r>
            <w:r w:rsidR="00D21559">
              <w:rPr>
                <w:b/>
                <w:bCs/>
                <w:sz w:val="22"/>
                <w:szCs w:val="22"/>
              </w:rPr>
              <w:fldChar w:fldCharType="begin"/>
            </w:r>
            <w:r w:rsidR="00987282">
              <w:rPr>
                <w:b/>
                <w:bCs/>
                <w:sz w:val="22"/>
                <w:szCs w:val="22"/>
              </w:rPr>
              <w:instrText xml:space="preserve"> ADDIN ZOTERO_ITEM CSL_CITATION {"citationID":"Eu9RLRjK","properties":{"formattedCitation":"(6)","plainCitation":"(6)","noteIndex":0},"citationItems":[{"id":441,"uris":["http://zotero.org/users/local/5K0ZcI7M/items/DSXY26RW"],"itemData":{"id":441,"type":"article-journal","abstract":"PURPOSE Patients with hematologic malignancies are increasingly admitted to the intensive care unit (ICU) when life-threatening events occur. We sought to report outcomes and prognostic factors in these patients. PATIENTS AND METHODS Ours was a prospective, multicenter cohort study of critically ill patients with hematologic malignancies. Health-related quality of life (HRQOL) and disease status were collected after 3 to 6 months. Results Of the 1,011 patients, 38.2% had newly diagnosed malignancies, 23.1% were in remission, and 24.9% had received hematopoietic stem-cell transplantations (HSCT, including 145 allogeneic). ICU admission was mostly required for acute respiratory failure (62.5%) and/or shock (42.3%). On day1, 733 patients (72.5%) received life-supporting interventions. Hospital, day-90, and 1-year survival rates were 60.7%, 52.5%, and 43.3%, respectively. By multivariate analysis, cancer remission and time to ICU admission less than 24 hours were associated with better hospital survival. Poor performance status, Charlson comorbidity index, allogeneic HSCT, organ dysfunction score, cardiac arrest, acute respiratory failure, malignant organ infiltration, and invasive aspergillosis were associated with higher hospital mortality. Mechanical ventilation (47.9% of patients), vasoactive drugs (51.2%), and dialysis (25.9%) were associated with mortality rates of 60.5%, 57.5%, and 59.2%, respectively. On day 90, 80% of survivors had no HRQOL alterations (physical and mental health similar to that of the overall cancer population). After 6 months, 80% of survivors had no change in treatment intensity compared with similar patients not admitted to the ICU, and 80% were in remission. CONCLUSION Critically ill patients with hematologic malignancies have good survival, disease control, and post-ICU HRQOL. Earlier ICU admission is associated with better survival.","container-title":"Journal of Clinical Oncology: Official Journal of the American Society of Clinical Oncology","DOI":"10.1200/JCO.2012.47.2365","ISSN":"1527-7755","issue":"22","journalAbbreviation":"J Clin Oncol","language":"eng","note":"number: 22\nPMID: 23752112","page":"2810-2818","source":"PubMed","title":"Outcomes of critically ill patients with hematologic malignancies: prospective multicenter data from France and Belgium--a groupe de recherche respiratoire en réanimation onco-hématologique study","title-short":"Outcomes of critically ill patients with hematologic malignancies","volume":"31","author":[{"family":"Azoulay","given":"Elie"},{"family":"Mokart","given":"Djamel"},{"family":"Pène","given":"Frédéric"},{"family":"Lambert","given":"Jérôme"},{"family":"Kouatchet","given":"Achille"},{"family":"Mayaux","given":"Julien"},{"family":"Vincent","given":"François"},{"family":"Nyunga","given":"Martine"},{"family":"Bruneel","given":"Fabrice"},{"family":"Laisne","given":"Louise-Marie"},{"family":"Rabbat","given":"Antoine"},{"family":"Lebert","given":"Christine"},{"family":"Perez","given":"Pierre"},{"family":"Chaize","given":"Marine"},{"family":"Renault","given":"Anne"},{"family":"Meert","given":"Anne-Pascale"},{"family":"Benoit","given":"Dominique"},{"family":"Hamidfar","given":"Rebecca"},{"family":"Jourdain","given":"Mercé"},{"family":"Darmon","given":"Michael"},{"family":"Schlemmer","given":"Benoit"},{"family":"Chevret","given":"Sylvie"},{"family":"Lemiale","given":"Virginie"}],"issued":{"date-parts":[["2013",8,1]]}}}],"schema":"https://github.com/citation-style-language/schema/raw/master/csl-citation.json"} </w:instrText>
            </w:r>
            <w:r w:rsidR="00D21559">
              <w:rPr>
                <w:b/>
                <w:bCs/>
                <w:sz w:val="22"/>
                <w:szCs w:val="22"/>
              </w:rPr>
              <w:fldChar w:fldCharType="separate"/>
            </w:r>
            <w:r w:rsidR="00987282">
              <w:rPr>
                <w:b/>
                <w:bCs/>
                <w:noProof/>
                <w:sz w:val="22"/>
                <w:szCs w:val="22"/>
              </w:rPr>
              <w:t>(6)</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lastRenderedPageBreak/>
              <w:t>E. Azoulay</w:t>
            </w:r>
          </w:p>
        </w:tc>
        <w:tc>
          <w:tcPr>
            <w:tcW w:w="1134" w:type="dxa"/>
          </w:tcPr>
          <w:p w:rsidR="00345641" w:rsidRPr="00345641" w:rsidRDefault="00345641" w:rsidP="006164BE">
            <w:pPr>
              <w:spacing w:line="278" w:lineRule="auto"/>
              <w:jc w:val="center"/>
              <w:rPr>
                <w:sz w:val="22"/>
                <w:szCs w:val="22"/>
              </w:rPr>
            </w:pPr>
            <w:r w:rsidRPr="00345641">
              <w:rPr>
                <w:sz w:val="22"/>
                <w:szCs w:val="22"/>
              </w:rPr>
              <w:t>2013</w:t>
            </w:r>
          </w:p>
        </w:tc>
        <w:tc>
          <w:tcPr>
            <w:tcW w:w="992" w:type="dxa"/>
          </w:tcPr>
          <w:p w:rsidR="00345641" w:rsidRPr="00345641" w:rsidRDefault="00345641" w:rsidP="006164BE">
            <w:pPr>
              <w:spacing w:line="278" w:lineRule="auto"/>
              <w:jc w:val="center"/>
              <w:rPr>
                <w:sz w:val="22"/>
                <w:szCs w:val="22"/>
              </w:rPr>
            </w:pPr>
            <w:r w:rsidRPr="00345641">
              <w:rPr>
                <w:sz w:val="22"/>
                <w:szCs w:val="22"/>
              </w:rPr>
              <w:t>17</w:t>
            </w:r>
          </w:p>
        </w:tc>
        <w:tc>
          <w:tcPr>
            <w:tcW w:w="2410" w:type="dxa"/>
          </w:tcPr>
          <w:p w:rsidR="00345641" w:rsidRPr="00345641" w:rsidRDefault="00345641" w:rsidP="006164BE">
            <w:pPr>
              <w:spacing w:line="278" w:lineRule="auto"/>
              <w:rPr>
                <w:sz w:val="22"/>
                <w:szCs w:val="22"/>
              </w:rPr>
            </w:pPr>
            <w:r w:rsidRPr="00345641">
              <w:rPr>
                <w:sz w:val="22"/>
                <w:szCs w:val="22"/>
              </w:rPr>
              <w:t xml:space="preserve">SaintLouis, </w:t>
            </w:r>
            <w:proofErr w:type="spellStart"/>
            <w:r w:rsidRPr="00345641">
              <w:rPr>
                <w:sz w:val="22"/>
                <w:szCs w:val="22"/>
              </w:rPr>
              <w:t>HotelDieu</w:t>
            </w:r>
            <w:proofErr w:type="spellEnd"/>
            <w:r w:rsidRPr="00345641">
              <w:rPr>
                <w:sz w:val="22"/>
                <w:szCs w:val="22"/>
              </w:rPr>
              <w:t xml:space="preserve">, Versailles, </w:t>
            </w:r>
            <w:proofErr w:type="spellStart"/>
            <w:r w:rsidRPr="00345641">
              <w:rPr>
                <w:sz w:val="22"/>
                <w:szCs w:val="22"/>
              </w:rPr>
              <w:t>Avicennes</w:t>
            </w:r>
            <w:proofErr w:type="spellEnd"/>
            <w:r w:rsidRPr="00345641">
              <w:rPr>
                <w:sz w:val="22"/>
                <w:szCs w:val="22"/>
              </w:rPr>
              <w:t xml:space="preserve">, </w:t>
            </w:r>
            <w:proofErr w:type="spellStart"/>
            <w:r w:rsidRPr="00345641">
              <w:rPr>
                <w:sz w:val="22"/>
                <w:szCs w:val="22"/>
              </w:rPr>
              <w:t>LaRocheSurYon</w:t>
            </w:r>
            <w:proofErr w:type="spellEnd"/>
            <w:r w:rsidRPr="00345641">
              <w:rPr>
                <w:sz w:val="22"/>
                <w:szCs w:val="22"/>
              </w:rPr>
              <w:t xml:space="preserve">, Cochin, Nancy, Marseille, Angers, </w:t>
            </w:r>
            <w:proofErr w:type="spellStart"/>
            <w:r w:rsidRPr="00345641">
              <w:rPr>
                <w:sz w:val="22"/>
                <w:szCs w:val="22"/>
              </w:rPr>
              <w:lastRenderedPageBreak/>
              <w:t>PitieSalpetriere</w:t>
            </w:r>
            <w:proofErr w:type="spellEnd"/>
            <w:r w:rsidRPr="00345641">
              <w:rPr>
                <w:sz w:val="22"/>
                <w:szCs w:val="22"/>
              </w:rPr>
              <w:t xml:space="preserve">, Brest, Grenoble, </w:t>
            </w:r>
            <w:proofErr w:type="spellStart"/>
            <w:r w:rsidRPr="00345641">
              <w:rPr>
                <w:sz w:val="22"/>
                <w:szCs w:val="22"/>
              </w:rPr>
              <w:t>SaintEtienne</w:t>
            </w:r>
            <w:proofErr w:type="spellEnd"/>
            <w:r w:rsidRPr="00345641">
              <w:rPr>
                <w:sz w:val="22"/>
                <w:szCs w:val="22"/>
              </w:rPr>
              <w:t xml:space="preserve">, Roubaix, Lille, </w:t>
            </w:r>
            <w:proofErr w:type="spellStart"/>
            <w:r w:rsidRPr="00345641">
              <w:rPr>
                <w:sz w:val="22"/>
                <w:szCs w:val="22"/>
              </w:rPr>
              <w:t>Bruxelles</w:t>
            </w:r>
            <w:proofErr w:type="spellEnd"/>
            <w:r w:rsidRPr="00345641">
              <w:rPr>
                <w:sz w:val="22"/>
                <w:szCs w:val="22"/>
              </w:rPr>
              <w:t>, Gand</w:t>
            </w:r>
          </w:p>
        </w:tc>
        <w:tc>
          <w:tcPr>
            <w:tcW w:w="1179" w:type="dxa"/>
          </w:tcPr>
          <w:p w:rsidR="00345641" w:rsidRPr="00345641" w:rsidRDefault="00345641" w:rsidP="006164BE">
            <w:pPr>
              <w:spacing w:line="278" w:lineRule="auto"/>
              <w:jc w:val="center"/>
              <w:rPr>
                <w:sz w:val="22"/>
                <w:szCs w:val="22"/>
              </w:rPr>
            </w:pPr>
            <w:r w:rsidRPr="00345641">
              <w:rPr>
                <w:sz w:val="22"/>
                <w:szCs w:val="22"/>
              </w:rPr>
              <w:lastRenderedPageBreak/>
              <w:t>2009</w:t>
            </w:r>
          </w:p>
        </w:tc>
        <w:tc>
          <w:tcPr>
            <w:tcW w:w="1180" w:type="dxa"/>
          </w:tcPr>
          <w:p w:rsidR="00345641" w:rsidRPr="00345641" w:rsidRDefault="00345641" w:rsidP="006164BE">
            <w:pPr>
              <w:spacing w:line="278" w:lineRule="auto"/>
              <w:jc w:val="center"/>
              <w:rPr>
                <w:sz w:val="22"/>
                <w:szCs w:val="22"/>
              </w:rPr>
            </w:pPr>
            <w:r w:rsidRPr="00345641">
              <w:rPr>
                <w:sz w:val="22"/>
                <w:szCs w:val="22"/>
              </w:rPr>
              <w:t>2011</w:t>
            </w:r>
          </w:p>
        </w:tc>
        <w:tc>
          <w:tcPr>
            <w:tcW w:w="1180" w:type="dxa"/>
          </w:tcPr>
          <w:p w:rsidR="00345641" w:rsidRPr="00345641" w:rsidRDefault="00345641" w:rsidP="006164BE">
            <w:pPr>
              <w:spacing w:line="278" w:lineRule="auto"/>
              <w:jc w:val="center"/>
              <w:rPr>
                <w:sz w:val="22"/>
                <w:szCs w:val="22"/>
              </w:rPr>
            </w:pPr>
            <w:r w:rsidRPr="00345641">
              <w:rPr>
                <w:sz w:val="22"/>
                <w:szCs w:val="22"/>
              </w:rPr>
              <w:t>356</w:t>
            </w:r>
          </w:p>
        </w:tc>
        <w:tc>
          <w:tcPr>
            <w:tcW w:w="1180" w:type="dxa"/>
          </w:tcPr>
          <w:p w:rsidR="00345641" w:rsidRPr="00345641" w:rsidRDefault="00345641" w:rsidP="006164BE">
            <w:pPr>
              <w:spacing w:line="278" w:lineRule="auto"/>
              <w:jc w:val="center"/>
              <w:rPr>
                <w:sz w:val="22"/>
                <w:szCs w:val="22"/>
              </w:rPr>
            </w:pPr>
            <w:r w:rsidRPr="00345641">
              <w:rPr>
                <w:sz w:val="22"/>
                <w:szCs w:val="22"/>
              </w:rPr>
              <w:t>286</w:t>
            </w:r>
          </w:p>
        </w:tc>
        <w:tc>
          <w:tcPr>
            <w:tcW w:w="1180" w:type="dxa"/>
          </w:tcPr>
          <w:p w:rsidR="00345641" w:rsidRPr="00345641" w:rsidRDefault="00345641" w:rsidP="006164BE">
            <w:pPr>
              <w:spacing w:line="278" w:lineRule="auto"/>
              <w:jc w:val="center"/>
              <w:rPr>
                <w:sz w:val="22"/>
                <w:szCs w:val="22"/>
              </w:rPr>
            </w:pPr>
            <w:r w:rsidRPr="00345641">
              <w:rPr>
                <w:sz w:val="22"/>
                <w:szCs w:val="22"/>
              </w:rPr>
              <w:t>105</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Determinants of 1-year survival in critically ill acute leukemia patients: a GRRR-OH study</w:t>
            </w:r>
            <w:r w:rsidR="00D21559">
              <w:rPr>
                <w:b/>
                <w:bCs/>
                <w:sz w:val="22"/>
                <w:szCs w:val="22"/>
              </w:rPr>
              <w:fldChar w:fldCharType="begin"/>
            </w:r>
            <w:r w:rsidR="00987282">
              <w:rPr>
                <w:b/>
                <w:bCs/>
                <w:sz w:val="22"/>
                <w:szCs w:val="22"/>
              </w:rPr>
              <w:instrText xml:space="preserve"> ADDIN ZOTERO_ITEM CSL_CITATION {"citationID":"bnZCftpr","properties":{"formattedCitation":"(7)","plainCitation":"(7)","noteIndex":0},"citationItems":[{"id":450,"uris":["http://zotero.org/users/local/5K0ZcI7M/items/S4L5BNWN"],"itemData":{"id":450,"type":"article-journal","abstract":"Acute leukemia (AL) is the most common hematological malignancy requiring intensive care unit (ICU) management. Data on long-term survival are limited. This is a post hoc analysis of the prospective multicenter data from France and Belgium: A Groupe de Recherche Respiratoire en Réanimation Onco-Hématologique [A Research Group on Acute Respiratory Failure in Onco-Hematological Patients (French)] Study, to identify determinants of 1-year survival in critically ill AL patients. A total of 278 patients were admitted in the 17 participating ICUs. Median age was 58 years and 70% had newly diagnosed leukemia. ICU mortality rate was 28.6 and 39.6% of the patients alive at 1 year. Admission for intensive monitoring was independently associated with better 1-year survival by multivariate analysis. Conversely, relapsed/refractory disease, secondary leukemia, mechanical ventilation and renal replacement therapy were independently associated with 1-year mortality. This study confirms the impact of organ dysfunction on long-term survival in ICU patients with AL. Follow-up studies to assess respiratory and renal recovery are warranted.","container-title":"Leukemia &amp; Lymphoma","DOI":"10.1080/10428194.2017.1375106","ISSN":"1029-2403","issue":"6","journalAbbreviation":"Leuk Lymphoma","language":"eng","note":"number: 6\nPMID: 28901791","page":"1323-1331","source":"PubMed","title":"Determinants of 1-year survival in critically ill acute leukemia patients: a GRRR-OH study","title-short":"Determinants of 1-year survival in critically ill acute leukemia patients","volume":"59","author":[{"family":"Tavares","given":"Márcio"},{"family":"Lemiale","given":"Virginie"},{"family":"Mokart","given":"Djamel"},{"family":"Pène","given":"Frédéric"},{"family":"Lengliné","given":"Etienne"},{"family":"Kouatchet","given":"Achille"},{"family":"Mayaux","given":"Julien"},{"family":"Vincent","given":"François"},{"family":"Nyunga","given":"Martine"},{"family":"Bruneel","given":"Fabrice"},{"family":"Rabbat","given":"Antoine"},{"family":"Lebert","given":"Christine"},{"family":"Perez","given":"Pierre"},{"family":"Meert","given":"Anne-Pascale"},{"family":"Benoit","given":"Dominique"},{"family":"Darmon","given":"Michael"},{"family":"Azoulay","given":"Elie"}],"issued":{"date-parts":[["2018"]]}}}],"schema":"https://github.com/citation-style-language/schema/raw/master/csl-citation.json"} </w:instrText>
            </w:r>
            <w:r w:rsidR="00D21559">
              <w:rPr>
                <w:b/>
                <w:bCs/>
                <w:sz w:val="22"/>
                <w:szCs w:val="22"/>
              </w:rPr>
              <w:fldChar w:fldCharType="separate"/>
            </w:r>
            <w:r w:rsidR="00987282">
              <w:rPr>
                <w:b/>
                <w:bCs/>
                <w:noProof/>
                <w:sz w:val="22"/>
                <w:szCs w:val="22"/>
              </w:rPr>
              <w:t>(7)</w:t>
            </w:r>
            <w:r w:rsidR="00D21559">
              <w:rPr>
                <w:b/>
                <w:bCs/>
                <w:sz w:val="22"/>
                <w:szCs w:val="22"/>
              </w:rPr>
              <w:fldChar w:fldCharType="end"/>
            </w:r>
          </w:p>
        </w:tc>
        <w:tc>
          <w:tcPr>
            <w:tcW w:w="1601" w:type="dxa"/>
          </w:tcPr>
          <w:p w:rsidR="00345641" w:rsidRPr="00345641" w:rsidRDefault="00345641" w:rsidP="006164BE">
            <w:pPr>
              <w:spacing w:line="278" w:lineRule="auto"/>
              <w:jc w:val="left"/>
              <w:rPr>
                <w:sz w:val="22"/>
                <w:szCs w:val="22"/>
              </w:rPr>
            </w:pPr>
            <w:r w:rsidRPr="00345641">
              <w:rPr>
                <w:sz w:val="22"/>
                <w:szCs w:val="22"/>
              </w:rPr>
              <w:t>M. Tavares</w:t>
            </w:r>
          </w:p>
        </w:tc>
        <w:tc>
          <w:tcPr>
            <w:tcW w:w="1134" w:type="dxa"/>
          </w:tcPr>
          <w:p w:rsidR="00345641" w:rsidRPr="00345641" w:rsidRDefault="00345641" w:rsidP="006164BE">
            <w:pPr>
              <w:spacing w:line="278" w:lineRule="auto"/>
              <w:jc w:val="center"/>
              <w:rPr>
                <w:sz w:val="22"/>
                <w:szCs w:val="22"/>
              </w:rPr>
            </w:pPr>
            <w:r w:rsidRPr="00345641">
              <w:rPr>
                <w:sz w:val="22"/>
                <w:szCs w:val="22"/>
              </w:rPr>
              <w:t>2018</w:t>
            </w:r>
          </w:p>
        </w:tc>
        <w:tc>
          <w:tcPr>
            <w:tcW w:w="992" w:type="dxa"/>
          </w:tcPr>
          <w:p w:rsidR="00345641" w:rsidRPr="00345641" w:rsidRDefault="00345641" w:rsidP="006164BE">
            <w:pPr>
              <w:spacing w:line="278" w:lineRule="auto"/>
              <w:jc w:val="center"/>
              <w:rPr>
                <w:sz w:val="22"/>
                <w:szCs w:val="22"/>
              </w:rPr>
            </w:pPr>
            <w:r w:rsidRPr="00345641">
              <w:rPr>
                <w:sz w:val="22"/>
                <w:szCs w:val="22"/>
              </w:rPr>
              <w:t>41</w:t>
            </w:r>
          </w:p>
        </w:tc>
        <w:tc>
          <w:tcPr>
            <w:tcW w:w="2410" w:type="dxa"/>
          </w:tcPr>
          <w:p w:rsidR="00345641" w:rsidRPr="00345641" w:rsidRDefault="00345641" w:rsidP="006164BE">
            <w:pPr>
              <w:spacing w:line="278" w:lineRule="auto"/>
              <w:rPr>
                <w:sz w:val="22"/>
                <w:szCs w:val="22"/>
              </w:rPr>
            </w:pPr>
            <w:r w:rsidRPr="00345641">
              <w:rPr>
                <w:sz w:val="22"/>
                <w:szCs w:val="22"/>
              </w:rPr>
              <w:t xml:space="preserve">SaintLouis, Marseille, Cochin, </w:t>
            </w:r>
            <w:proofErr w:type="spellStart"/>
            <w:r w:rsidRPr="00345641">
              <w:rPr>
                <w:sz w:val="22"/>
                <w:szCs w:val="22"/>
              </w:rPr>
              <w:t>Bruxelles</w:t>
            </w:r>
            <w:proofErr w:type="spellEnd"/>
            <w:r w:rsidRPr="00345641">
              <w:rPr>
                <w:sz w:val="22"/>
                <w:szCs w:val="22"/>
              </w:rPr>
              <w:t xml:space="preserve">, Barcelona, Prague, Dublin, Pilsen, </w:t>
            </w:r>
            <w:proofErr w:type="spellStart"/>
            <w:r w:rsidRPr="00345641">
              <w:rPr>
                <w:sz w:val="22"/>
                <w:szCs w:val="22"/>
              </w:rPr>
              <w:t>MayoClinic</w:t>
            </w:r>
            <w:proofErr w:type="spellEnd"/>
            <w:r w:rsidRPr="00345641">
              <w:rPr>
                <w:sz w:val="22"/>
                <w:szCs w:val="22"/>
              </w:rPr>
              <w:t xml:space="preserve">, Hershey, Versailles, Roubaix, Palma, Helsinki, Caen, </w:t>
            </w:r>
            <w:proofErr w:type="spellStart"/>
            <w:r w:rsidRPr="00345641">
              <w:rPr>
                <w:sz w:val="22"/>
                <w:szCs w:val="22"/>
              </w:rPr>
              <w:t>Nimegue</w:t>
            </w:r>
            <w:proofErr w:type="spellEnd"/>
            <w:r w:rsidRPr="00345641">
              <w:rPr>
                <w:sz w:val="22"/>
                <w:szCs w:val="22"/>
              </w:rPr>
              <w:t xml:space="preserve">, </w:t>
            </w:r>
            <w:proofErr w:type="spellStart"/>
            <w:r w:rsidRPr="00345641">
              <w:rPr>
                <w:sz w:val="22"/>
                <w:szCs w:val="22"/>
              </w:rPr>
              <w:t>KingsCollege</w:t>
            </w:r>
            <w:proofErr w:type="spellEnd"/>
            <w:r w:rsidRPr="00345641">
              <w:rPr>
                <w:sz w:val="22"/>
                <w:szCs w:val="22"/>
              </w:rPr>
              <w:t xml:space="preserve">, </w:t>
            </w:r>
            <w:proofErr w:type="spellStart"/>
            <w:r w:rsidRPr="00345641">
              <w:rPr>
                <w:sz w:val="22"/>
                <w:szCs w:val="22"/>
              </w:rPr>
              <w:t>Copenhague</w:t>
            </w:r>
            <w:proofErr w:type="spellEnd"/>
            <w:r w:rsidRPr="00345641">
              <w:rPr>
                <w:sz w:val="22"/>
                <w:szCs w:val="22"/>
              </w:rPr>
              <w:t xml:space="preserve">, Odense, </w:t>
            </w:r>
            <w:proofErr w:type="spellStart"/>
            <w:r w:rsidRPr="00345641">
              <w:rPr>
                <w:sz w:val="22"/>
                <w:szCs w:val="22"/>
              </w:rPr>
              <w:t>Groningue</w:t>
            </w:r>
            <w:proofErr w:type="spellEnd"/>
            <w:r w:rsidRPr="00345641">
              <w:rPr>
                <w:sz w:val="22"/>
                <w:szCs w:val="22"/>
              </w:rPr>
              <w:t xml:space="preserve">, </w:t>
            </w:r>
            <w:proofErr w:type="spellStart"/>
            <w:r w:rsidRPr="00345641">
              <w:rPr>
                <w:sz w:val="22"/>
                <w:szCs w:val="22"/>
              </w:rPr>
              <w:t>Tempere</w:t>
            </w:r>
            <w:proofErr w:type="spellEnd"/>
            <w:r w:rsidRPr="00345641">
              <w:rPr>
                <w:sz w:val="22"/>
                <w:szCs w:val="22"/>
              </w:rPr>
              <w:t xml:space="preserve">, Grenoble, Orleans, </w:t>
            </w:r>
            <w:proofErr w:type="spellStart"/>
            <w:r w:rsidRPr="00345641">
              <w:rPr>
                <w:sz w:val="22"/>
                <w:szCs w:val="22"/>
              </w:rPr>
              <w:t>PitieSalpetriere</w:t>
            </w:r>
            <w:proofErr w:type="spellEnd"/>
            <w:r w:rsidRPr="00345641">
              <w:rPr>
                <w:sz w:val="22"/>
                <w:szCs w:val="22"/>
              </w:rPr>
              <w:t xml:space="preserve">, Rouen, Oslo, Toronto, Vienne, Amsterdam, </w:t>
            </w:r>
            <w:proofErr w:type="spellStart"/>
            <w:r w:rsidRPr="00345641">
              <w:rPr>
                <w:sz w:val="22"/>
                <w:szCs w:val="22"/>
              </w:rPr>
              <w:t>SaoLuis</w:t>
            </w:r>
            <w:proofErr w:type="spellEnd"/>
            <w:r w:rsidRPr="00345641">
              <w:rPr>
                <w:sz w:val="22"/>
                <w:szCs w:val="22"/>
              </w:rPr>
              <w:t xml:space="preserve">, Rio, </w:t>
            </w:r>
            <w:proofErr w:type="spellStart"/>
            <w:r w:rsidRPr="00345641">
              <w:rPr>
                <w:sz w:val="22"/>
                <w:szCs w:val="22"/>
              </w:rPr>
              <w:t>SaoPaulo</w:t>
            </w:r>
            <w:proofErr w:type="spellEnd"/>
            <w:r w:rsidRPr="00345641">
              <w:rPr>
                <w:sz w:val="22"/>
                <w:szCs w:val="22"/>
              </w:rPr>
              <w:t>, Rome, Gand, Lyon, Lille, Nantes, Maastricht, Trondheim, Angers, Montpellier</w:t>
            </w:r>
          </w:p>
        </w:tc>
        <w:tc>
          <w:tcPr>
            <w:tcW w:w="1179" w:type="dxa"/>
          </w:tcPr>
          <w:p w:rsidR="00345641" w:rsidRPr="00345641" w:rsidRDefault="00345641" w:rsidP="006164BE">
            <w:pPr>
              <w:spacing w:line="278" w:lineRule="auto"/>
              <w:jc w:val="center"/>
              <w:rPr>
                <w:sz w:val="22"/>
                <w:szCs w:val="22"/>
              </w:rPr>
            </w:pPr>
            <w:r w:rsidRPr="00345641">
              <w:rPr>
                <w:sz w:val="22"/>
                <w:szCs w:val="22"/>
              </w:rPr>
              <w:t>2015</w:t>
            </w:r>
          </w:p>
        </w:tc>
        <w:tc>
          <w:tcPr>
            <w:tcW w:w="1180" w:type="dxa"/>
          </w:tcPr>
          <w:p w:rsidR="00345641" w:rsidRPr="00345641" w:rsidRDefault="00345641" w:rsidP="006164BE">
            <w:pPr>
              <w:spacing w:line="278" w:lineRule="auto"/>
              <w:jc w:val="center"/>
              <w:rPr>
                <w:sz w:val="22"/>
                <w:szCs w:val="22"/>
              </w:rPr>
            </w:pPr>
            <w:r w:rsidRPr="00345641">
              <w:rPr>
                <w:sz w:val="22"/>
                <w:szCs w:val="22"/>
              </w:rPr>
              <w:t>2016</w:t>
            </w:r>
          </w:p>
        </w:tc>
        <w:tc>
          <w:tcPr>
            <w:tcW w:w="1180" w:type="dxa"/>
          </w:tcPr>
          <w:p w:rsidR="00345641" w:rsidRPr="00345641" w:rsidRDefault="00345641" w:rsidP="006164BE">
            <w:pPr>
              <w:spacing w:line="278" w:lineRule="auto"/>
              <w:jc w:val="center"/>
              <w:rPr>
                <w:sz w:val="22"/>
                <w:szCs w:val="22"/>
              </w:rPr>
            </w:pPr>
            <w:r w:rsidRPr="00345641">
              <w:rPr>
                <w:sz w:val="22"/>
                <w:szCs w:val="22"/>
              </w:rPr>
              <w:t>260</w:t>
            </w:r>
          </w:p>
        </w:tc>
        <w:tc>
          <w:tcPr>
            <w:tcW w:w="1180" w:type="dxa"/>
          </w:tcPr>
          <w:p w:rsidR="00345641" w:rsidRPr="00345641" w:rsidRDefault="00345641" w:rsidP="006164BE">
            <w:pPr>
              <w:spacing w:line="278" w:lineRule="auto"/>
              <w:jc w:val="center"/>
              <w:rPr>
                <w:sz w:val="22"/>
                <w:szCs w:val="22"/>
              </w:rPr>
            </w:pPr>
            <w:r w:rsidRPr="00345641">
              <w:rPr>
                <w:sz w:val="22"/>
                <w:szCs w:val="22"/>
              </w:rPr>
              <w:t>182</w:t>
            </w:r>
          </w:p>
        </w:tc>
        <w:tc>
          <w:tcPr>
            <w:tcW w:w="1180" w:type="dxa"/>
          </w:tcPr>
          <w:p w:rsidR="00345641" w:rsidRPr="00345641" w:rsidRDefault="00345641" w:rsidP="006164BE">
            <w:pPr>
              <w:spacing w:line="278" w:lineRule="auto"/>
              <w:jc w:val="center"/>
              <w:rPr>
                <w:sz w:val="22"/>
                <w:szCs w:val="22"/>
              </w:rPr>
            </w:pPr>
            <w:r w:rsidRPr="00345641">
              <w:rPr>
                <w:sz w:val="22"/>
                <w:szCs w:val="22"/>
              </w:rPr>
              <w:t>175</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Predictors of intensive care unit admission in patients with hematologic malignancy</w:t>
            </w:r>
            <w:r w:rsidR="00D21559">
              <w:rPr>
                <w:b/>
                <w:bCs/>
                <w:sz w:val="22"/>
                <w:szCs w:val="22"/>
              </w:rPr>
              <w:fldChar w:fldCharType="begin"/>
            </w:r>
            <w:r w:rsidR="00987282">
              <w:rPr>
                <w:b/>
                <w:bCs/>
                <w:sz w:val="22"/>
                <w:szCs w:val="22"/>
              </w:rPr>
              <w:instrText xml:space="preserve"> ADDIN ZOTERO_ITEM CSL_CITATION {"citationID":"FjDi9B2X","properties":{"formattedCitation":"(8)","plainCitation":"(8)","noteIndex":0},"citationItems":[{"id":2555,"uris":["http://zotero.org/users/local/5K0ZcI7M/items/AEQ9L8U9"],"itemData":{"id":2555,"type":"article-journal","abstract":"Limited data exist on predictors of intensive care unit (ICU) admission in patients with hematologic malignancy. The objective of this study was to identify predictors of ICU admission in hospitalized patients with hematologic malignancies. A retrospective cohort study was conducted on 820 consecutive admissions of patients with a malignant hematology diagnosis at our institution between March 2009 and December 2015. Backward stepwise selection procedure was conducted for multivariable logistic regression analyses. 820 patients were included, of whom 179 (22%) were admitted to the ICU. Types of hematologic cancers included 71% (N = 578) lymphoid cancer, 18% (N = 151) myeloid cancer, and 10% (N = 80) plasma cell neoplasms. 14% (N = 111) of patients had acute leukemia. Six predictors of admission to ICU were found in multivariable analysis, including disease-related (acute leukemia, curative intent chemotherapy), laboratory-related (platelet count &lt; 50 × 109/L, albumin below normal, LDH above normal at time of admission), and physician-related factors (having advanced directives discussion) (p &lt; 0.0001). A significant proportion of patients with hematologic malignancies admitted to hospital are admitted to ICU. Utilizing the identified predictors of ICU admission may help guide timely informed goals of care discussions with patients before clinical deterioration occurs.","container-title":"Scientific Reports","DOI":"10.1038/s41598-020-78114-7","ISSN":"2045-2322","issue":"1","journalAbbreviation":"Sci Rep","language":"eng","note":"PMID: 33273653\nPMCID: PMC7713054","page":"21145","source":"PubMed","title":"Predictors of intensive care unit admission in patients with hematologic malignancy","volume":"10","author":[{"family":"Vijenthira","given":"Abi"},{"family":"Chiu","given":"Nicholas"},{"family":"Jacobson","given":"Daniel"},{"family":"Freedman","given":"Zoey"},{"family":"Cheung","given":"Matthew C."},{"family":"Goddard","given":"Shannon"},{"family":"Fowler","given":"Robert"},{"family":"Buckstein","given":"Rena"}],"issued":{"date-parts":[["2020",12,3]]}}}],"schema":"https://github.com/citation-style-language/schema/raw/master/csl-citation.json"} </w:instrText>
            </w:r>
            <w:r w:rsidR="00D21559">
              <w:rPr>
                <w:b/>
                <w:bCs/>
                <w:sz w:val="22"/>
                <w:szCs w:val="22"/>
              </w:rPr>
              <w:fldChar w:fldCharType="separate"/>
            </w:r>
            <w:r w:rsidR="00987282">
              <w:rPr>
                <w:b/>
                <w:bCs/>
                <w:noProof/>
                <w:sz w:val="22"/>
                <w:szCs w:val="22"/>
              </w:rPr>
              <w:t>(8)</w:t>
            </w:r>
            <w:r w:rsidR="00D21559">
              <w:rPr>
                <w:b/>
                <w:bCs/>
                <w:sz w:val="22"/>
                <w:szCs w:val="22"/>
              </w:rPr>
              <w:fldChar w:fldCharType="end"/>
            </w:r>
          </w:p>
        </w:tc>
        <w:tc>
          <w:tcPr>
            <w:tcW w:w="1601" w:type="dxa"/>
          </w:tcPr>
          <w:p w:rsidR="00345641" w:rsidRPr="00345641" w:rsidRDefault="00345641" w:rsidP="006164BE">
            <w:pPr>
              <w:spacing w:line="278" w:lineRule="auto"/>
              <w:jc w:val="left"/>
              <w:rPr>
                <w:sz w:val="22"/>
                <w:szCs w:val="22"/>
              </w:rPr>
            </w:pPr>
            <w:r w:rsidRPr="00345641">
              <w:rPr>
                <w:sz w:val="22"/>
                <w:szCs w:val="22"/>
              </w:rPr>
              <w:t xml:space="preserve">A. </w:t>
            </w:r>
            <w:proofErr w:type="spellStart"/>
            <w:r w:rsidRPr="00345641">
              <w:rPr>
                <w:sz w:val="22"/>
                <w:szCs w:val="22"/>
              </w:rPr>
              <w:t>Vijenthira</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2020</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Toronto</w:t>
            </w:r>
          </w:p>
        </w:tc>
        <w:tc>
          <w:tcPr>
            <w:tcW w:w="1179" w:type="dxa"/>
          </w:tcPr>
          <w:p w:rsidR="00345641" w:rsidRPr="00345641" w:rsidRDefault="00345641" w:rsidP="006164BE">
            <w:pPr>
              <w:spacing w:line="278" w:lineRule="auto"/>
              <w:jc w:val="center"/>
              <w:rPr>
                <w:sz w:val="22"/>
                <w:szCs w:val="22"/>
              </w:rPr>
            </w:pPr>
            <w:r w:rsidRPr="00345641">
              <w:rPr>
                <w:sz w:val="22"/>
                <w:szCs w:val="22"/>
              </w:rPr>
              <w:t>2009</w:t>
            </w:r>
          </w:p>
        </w:tc>
        <w:tc>
          <w:tcPr>
            <w:tcW w:w="1180" w:type="dxa"/>
          </w:tcPr>
          <w:p w:rsidR="00345641" w:rsidRPr="00345641" w:rsidRDefault="00345641" w:rsidP="006164BE">
            <w:pPr>
              <w:spacing w:line="278" w:lineRule="auto"/>
              <w:jc w:val="center"/>
              <w:rPr>
                <w:sz w:val="22"/>
                <w:szCs w:val="22"/>
              </w:rPr>
            </w:pPr>
            <w:r w:rsidRPr="00345641">
              <w:rPr>
                <w:sz w:val="22"/>
                <w:szCs w:val="22"/>
              </w:rPr>
              <w:t>2015</w:t>
            </w:r>
          </w:p>
        </w:tc>
        <w:tc>
          <w:tcPr>
            <w:tcW w:w="1180" w:type="dxa"/>
          </w:tcPr>
          <w:p w:rsidR="00345641" w:rsidRPr="00345641" w:rsidRDefault="00345641" w:rsidP="006164BE">
            <w:pPr>
              <w:spacing w:line="278" w:lineRule="auto"/>
              <w:jc w:val="center"/>
              <w:rPr>
                <w:sz w:val="22"/>
                <w:szCs w:val="22"/>
              </w:rPr>
            </w:pPr>
            <w:r w:rsidRPr="00345641">
              <w:rPr>
                <w:sz w:val="22"/>
                <w:szCs w:val="22"/>
              </w:rPr>
              <w:t>44</w:t>
            </w:r>
          </w:p>
        </w:tc>
        <w:tc>
          <w:tcPr>
            <w:tcW w:w="1180" w:type="dxa"/>
          </w:tcPr>
          <w:p w:rsidR="00345641" w:rsidRPr="00345641" w:rsidRDefault="00345641" w:rsidP="006164BE">
            <w:pPr>
              <w:spacing w:line="278" w:lineRule="auto"/>
              <w:jc w:val="center"/>
              <w:rPr>
                <w:sz w:val="22"/>
                <w:szCs w:val="22"/>
              </w:rPr>
            </w:pPr>
            <w:r w:rsidRPr="00345641">
              <w:rPr>
                <w:sz w:val="22"/>
                <w:szCs w:val="22"/>
              </w:rPr>
              <w:t>44</w:t>
            </w:r>
          </w:p>
        </w:tc>
        <w:tc>
          <w:tcPr>
            <w:tcW w:w="1180" w:type="dxa"/>
          </w:tcPr>
          <w:p w:rsidR="00345641" w:rsidRPr="00345641" w:rsidRDefault="00345641" w:rsidP="006164BE">
            <w:pPr>
              <w:spacing w:line="278" w:lineRule="auto"/>
              <w:jc w:val="center"/>
              <w:rPr>
                <w:sz w:val="22"/>
                <w:szCs w:val="22"/>
              </w:rPr>
            </w:pPr>
            <w:r w:rsidRPr="00345641">
              <w:rPr>
                <w:sz w:val="22"/>
                <w:szCs w:val="22"/>
              </w:rPr>
              <w:t>13</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lastRenderedPageBreak/>
              <w:t>Hospital-acquired infections at an oncological intensive care cancer unit: differences between solid and hematological cancer patients</w:t>
            </w:r>
            <w:r w:rsidR="00D21559">
              <w:rPr>
                <w:b/>
                <w:bCs/>
                <w:sz w:val="22"/>
                <w:szCs w:val="22"/>
              </w:rPr>
              <w:fldChar w:fldCharType="begin"/>
            </w:r>
            <w:r w:rsidR="00987282">
              <w:rPr>
                <w:b/>
                <w:bCs/>
                <w:sz w:val="22"/>
                <w:szCs w:val="22"/>
              </w:rPr>
              <w:instrText xml:space="preserve"> ADDIN ZOTERO_ITEM CSL_CITATION {"citationID":"hoK8Rhwg","properties":{"formattedCitation":"(9)","plainCitation":"(9)","noteIndex":0},"citationItems":[{"id":544,"uris":["http://zotero.org/users/local/5K0ZcI7M/items/NHWPGE6R"],"itemData":{"id":544,"type":"article-journal","abstract":"BACKGROUND: Cancer patients have a higher risk of severe sepsis in comparison with non-cancer patients, with an increased risk for hospital-acquired infections (HAI), particularly with multidrug resistant bacteria (MDRB). The aim of the study is to describe the frequency and characteristics of HAI and MDRB in critically ill cancer patients.\nMETHODS: We conducted an 18-month prospective study in patients admitted ≥48 h to an ICU at a cancer referral center in Mexico. Patients with hematological malignancies (HM) were compared with solid tumors. Demographic and clinical data were recorded. Mortality was evaluated at 30-days.\nRESULTS: There were 351 admissions during the study period, among whom 157 (66 %) met the inclusion criteria of the study as follows: 104 patients with solid tumors and 53 with HM. Sixty-four patients (40.7 %) developed 95 episodes of HAI. HAI rate was 4.6/100 patients-days. MDRB were isolated in 38 patients (24 %), with no differences between both groups. Escherichia coli was the main bacteria isolated (n = 24), 78 % were extended spectrum beta-lactamases producers. The only risk factor associated with HAI was the presence of mechanical ventilation for more than 5 days (OR 3.12, 95 % CI 1.6 - 6.2, p = 0.001). At 30-day follow-up, 61 patients (39 %) have died (38 % with solid tumors and 60 % with HM, p &lt; 0.001). No differences were found in mortality at 30-day between patients with HAI (n = 25, 39 %) vs. non-HAI (n = 36, 38.7 %, p = 0.964); neither in those who developed a HAI with MDRB (n = 12, 35.3 %) vs. HAI with non-MDRB (n = 13, 43.3 %, p = 0.51).\nCONCLUSIONS: Patients with cancer who are admitted to an ICU, have a high risk of HAI, but there were no differences patients with solid or hematologic malignancies.","container-title":"BMC infectious diseases","DOI":"10.1186/s12879-016-1592-1","ISSN":"1471-2334","journalAbbreviation":"BMC Infect Dis","language":"eng","note":"PMID: 27286681\nPMCID: PMC4903007","page":"274","source":"PubMed","title":"Hospital-acquired infections at an oncological intensive care cancer unit: differences between solid and hematological cancer patients","title-short":"Hospital-acquired infections at an oncological intensive care cancer unit","volume":"16","author":[{"family":"Cornejo-Juárez","given":"Patricia"},{"family":"Vilar-Compte","given":"Diana"},{"family":"García-Horton","given":"Alejandro"},{"family":"López-Velázquez","given":"Marco"},{"family":"Ñamendys-Silva","given":"Silvio"},{"family":"Volkow-Fernández","given":"Patricia"}],"issued":{"date-parts":[["2016"]],"season":"10"}}}],"schema":"https://github.com/citation-style-language/schema/raw/master/csl-citation.json"} </w:instrText>
            </w:r>
            <w:r w:rsidR="00D21559">
              <w:rPr>
                <w:b/>
                <w:bCs/>
                <w:sz w:val="22"/>
                <w:szCs w:val="22"/>
              </w:rPr>
              <w:fldChar w:fldCharType="separate"/>
            </w:r>
            <w:r w:rsidR="00987282">
              <w:rPr>
                <w:b/>
                <w:bCs/>
                <w:noProof/>
                <w:sz w:val="22"/>
                <w:szCs w:val="22"/>
              </w:rPr>
              <w:t>(9)</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P. Cornejo-Juarez</w:t>
            </w:r>
          </w:p>
        </w:tc>
        <w:tc>
          <w:tcPr>
            <w:tcW w:w="1134" w:type="dxa"/>
          </w:tcPr>
          <w:p w:rsidR="00345641" w:rsidRPr="00345641" w:rsidRDefault="00345641" w:rsidP="006164BE">
            <w:pPr>
              <w:spacing w:line="278" w:lineRule="auto"/>
              <w:jc w:val="center"/>
              <w:rPr>
                <w:sz w:val="22"/>
                <w:szCs w:val="22"/>
              </w:rPr>
            </w:pPr>
            <w:r w:rsidRPr="00345641">
              <w:rPr>
                <w:sz w:val="22"/>
                <w:szCs w:val="22"/>
              </w:rPr>
              <w:t>2016</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Mexico</w:t>
            </w:r>
          </w:p>
        </w:tc>
        <w:tc>
          <w:tcPr>
            <w:tcW w:w="1179" w:type="dxa"/>
          </w:tcPr>
          <w:p w:rsidR="00345641" w:rsidRPr="00345641" w:rsidRDefault="00345641" w:rsidP="006164BE">
            <w:pPr>
              <w:spacing w:line="278" w:lineRule="auto"/>
              <w:jc w:val="center"/>
              <w:rPr>
                <w:sz w:val="22"/>
                <w:szCs w:val="22"/>
              </w:rPr>
            </w:pPr>
            <w:r w:rsidRPr="00345641">
              <w:rPr>
                <w:sz w:val="22"/>
                <w:szCs w:val="22"/>
              </w:rPr>
              <w:t>2013</w:t>
            </w:r>
          </w:p>
        </w:tc>
        <w:tc>
          <w:tcPr>
            <w:tcW w:w="1180" w:type="dxa"/>
          </w:tcPr>
          <w:p w:rsidR="00345641" w:rsidRPr="00345641" w:rsidRDefault="00345641" w:rsidP="006164BE">
            <w:pPr>
              <w:spacing w:line="278" w:lineRule="auto"/>
              <w:jc w:val="center"/>
              <w:rPr>
                <w:sz w:val="22"/>
                <w:szCs w:val="22"/>
              </w:rPr>
            </w:pPr>
            <w:r w:rsidRPr="00345641">
              <w:rPr>
                <w:sz w:val="22"/>
                <w:szCs w:val="22"/>
              </w:rPr>
              <w:t>2014</w:t>
            </w:r>
          </w:p>
        </w:tc>
        <w:tc>
          <w:tcPr>
            <w:tcW w:w="1180" w:type="dxa"/>
          </w:tcPr>
          <w:p w:rsidR="00345641" w:rsidRPr="00345641" w:rsidRDefault="00345641" w:rsidP="006164BE">
            <w:pPr>
              <w:spacing w:line="278" w:lineRule="auto"/>
              <w:jc w:val="center"/>
              <w:rPr>
                <w:sz w:val="22"/>
                <w:szCs w:val="22"/>
              </w:rPr>
            </w:pPr>
            <w:r w:rsidRPr="00345641">
              <w:rPr>
                <w:sz w:val="22"/>
                <w:szCs w:val="22"/>
              </w:rPr>
              <w:t>23</w:t>
            </w:r>
          </w:p>
        </w:tc>
        <w:tc>
          <w:tcPr>
            <w:tcW w:w="1180" w:type="dxa"/>
          </w:tcPr>
          <w:p w:rsidR="00345641" w:rsidRPr="00345641" w:rsidRDefault="00345641" w:rsidP="006164BE">
            <w:pPr>
              <w:spacing w:line="278" w:lineRule="auto"/>
              <w:jc w:val="center"/>
              <w:rPr>
                <w:sz w:val="22"/>
                <w:szCs w:val="22"/>
              </w:rPr>
            </w:pPr>
            <w:r w:rsidRPr="00345641">
              <w:rPr>
                <w:sz w:val="22"/>
                <w:szCs w:val="22"/>
              </w:rPr>
              <w:t>22</w:t>
            </w:r>
          </w:p>
        </w:tc>
        <w:tc>
          <w:tcPr>
            <w:tcW w:w="1180" w:type="dxa"/>
          </w:tcPr>
          <w:p w:rsidR="00345641" w:rsidRPr="00345641" w:rsidRDefault="00345641" w:rsidP="006164BE">
            <w:pPr>
              <w:spacing w:line="278" w:lineRule="auto"/>
              <w:jc w:val="center"/>
              <w:rPr>
                <w:sz w:val="22"/>
                <w:szCs w:val="22"/>
              </w:rPr>
            </w:pPr>
            <w:r w:rsidRPr="00345641">
              <w:rPr>
                <w:sz w:val="22"/>
                <w:szCs w:val="22"/>
              </w:rPr>
              <w:t>11</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Intensive care in patients with newly diagnosed malignancies and a need for cancer chemotherapy</w:t>
            </w:r>
            <w:r w:rsidR="00D21559">
              <w:rPr>
                <w:b/>
                <w:bCs/>
                <w:sz w:val="22"/>
                <w:szCs w:val="22"/>
              </w:rPr>
              <w:fldChar w:fldCharType="begin"/>
            </w:r>
            <w:r w:rsidR="00987282">
              <w:rPr>
                <w:b/>
                <w:bCs/>
                <w:sz w:val="22"/>
                <w:szCs w:val="22"/>
              </w:rPr>
              <w:instrText xml:space="preserve"> ADDIN ZOTERO_ITEM CSL_CITATION {"citationID":"iRa2UreD","properties":{"formattedCitation":"(10)","plainCitation":"(10)","noteIndex":0},"citationItems":[{"id":366,"uris":["http://zotero.org/users/local/5K0ZcI7M/items/LLT673KI"],"itemData":{"id":366,"type":"article-journal","abstract":"OBJECTIVE: Patients with newly diagnosed cancer responsible for organ failures may require intensive care unit (ICU) admission and immediate chemotherapy. Outcomes in this population have not been studied.\nDESIGN: Prospective observational cohort study.\nSETTING: Teaching hospital.\nSUBJECTS: All patients admitted to the ICU, from January 1997 to June 2003, for organ failures due to newly diagnosed, untreated cancer and deemed necessary to receive immediate cancer chemotherapy.\nINTERVENTIONS: None.\nMEASUREMENTS AND MAIN RESULTS: For the period of 6.5 yrs, 100 patients met the study criteria: 43 had acute leukemia, 37 lymphoma, and 12 solid tumors. Median Simplified Acute Physiology Score II was 39 (30-48) points, and median Logistic Organ Dysfunction score was 5 (3-7) points. Three variables were independently associated with 30-day mortality: need for vasopressor therapy (odds ratio, 6.01; 95% confidence interval, 1.86-19.4), mechanical ventilation (odds ratio, 6.36; 95% confidence interval, 1.76-22.94); and hepatic failure (odds ratio, 7.76; 95% confidence interval, 1.25-48.27). Overall survival was 60% after 30 days and 49% after 180 days.\nCONCLUSIONS: Mortality was chiefly dependent on the nature and number of organ failures, not on the nature or stage of the malignancy. The 30-day and 180-day survival rates indicate that, in this selected group of patients, advanced disease at cancer diagnosis should not lead to refusal of ICU admission. Moreover, administration of chemotherapy in the intensive care unit is feasible, and although the mortality rate is high, routine ICU admission of patients with newly diagnosed cancer, specific organ failure, and the need for administration of chemotherapy in the ICU deserves evaluation.","container-title":"Critical Care Medicine","DOI":"10.1097/01.ccm.0000181728.13354.0a","ISSN":"0090-3493","issue":"11","journalAbbreviation":"Crit. Care Med.","language":"eng","note":"number: 11\nPMID: 16276171","page":"2488-2493","source":"PubMed","title":"Intensive care in patients with newly diagnosed malignancies and a need for cancer chemotherapy","volume":"33","author":[{"family":"Darmon","given":"Michael"},{"family":"Thiery","given":"Guillaume"},{"family":"Ciroldi","given":"Magali"},{"family":"Miranda","given":"Sandra","non-dropping-particle":"de"},{"family":"Galicier","given":"Lionel"},{"family":"Raffoux","given":"Emmanuel"},{"family":"Le Gall","given":"Jean-Roger"},{"family":"Schlemmer","given":"Benoît"},{"family":"Azoulay","given":"Elie"}],"issued":{"date-parts":[["2005",11]]}}}],"schema":"https://github.com/citation-style-language/schema/raw/master/csl-citation.json"} </w:instrText>
            </w:r>
            <w:r w:rsidR="00D21559">
              <w:rPr>
                <w:b/>
                <w:bCs/>
                <w:sz w:val="22"/>
                <w:szCs w:val="22"/>
              </w:rPr>
              <w:fldChar w:fldCharType="separate"/>
            </w:r>
            <w:r w:rsidR="00987282">
              <w:rPr>
                <w:b/>
                <w:bCs/>
                <w:noProof/>
                <w:sz w:val="22"/>
                <w:szCs w:val="22"/>
              </w:rPr>
              <w:t>(10)</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Darmon</w:t>
            </w:r>
          </w:p>
        </w:tc>
        <w:tc>
          <w:tcPr>
            <w:tcW w:w="1134" w:type="dxa"/>
          </w:tcPr>
          <w:p w:rsidR="00345641" w:rsidRPr="00345641" w:rsidRDefault="00345641" w:rsidP="006164BE">
            <w:pPr>
              <w:spacing w:line="278" w:lineRule="auto"/>
              <w:jc w:val="center"/>
              <w:rPr>
                <w:sz w:val="22"/>
                <w:szCs w:val="22"/>
              </w:rPr>
            </w:pPr>
            <w:r w:rsidRPr="00345641">
              <w:rPr>
                <w:sz w:val="22"/>
                <w:szCs w:val="22"/>
              </w:rPr>
              <w:t>2005</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1997</w:t>
            </w:r>
          </w:p>
        </w:tc>
        <w:tc>
          <w:tcPr>
            <w:tcW w:w="1180" w:type="dxa"/>
          </w:tcPr>
          <w:p w:rsidR="00345641" w:rsidRPr="00345641" w:rsidRDefault="00345641" w:rsidP="006164BE">
            <w:pPr>
              <w:spacing w:line="278" w:lineRule="auto"/>
              <w:jc w:val="center"/>
              <w:rPr>
                <w:sz w:val="22"/>
                <w:szCs w:val="22"/>
              </w:rPr>
            </w:pPr>
            <w:r w:rsidRPr="00345641">
              <w:rPr>
                <w:sz w:val="22"/>
                <w:szCs w:val="22"/>
              </w:rPr>
              <w:t>2003</w:t>
            </w:r>
          </w:p>
        </w:tc>
        <w:tc>
          <w:tcPr>
            <w:tcW w:w="1180" w:type="dxa"/>
          </w:tcPr>
          <w:p w:rsidR="00345641" w:rsidRPr="00345641" w:rsidRDefault="00345641" w:rsidP="006164BE">
            <w:pPr>
              <w:spacing w:line="278" w:lineRule="auto"/>
              <w:jc w:val="center"/>
              <w:rPr>
                <w:sz w:val="22"/>
                <w:szCs w:val="22"/>
              </w:rPr>
            </w:pPr>
            <w:r w:rsidRPr="00345641">
              <w:rPr>
                <w:sz w:val="22"/>
                <w:szCs w:val="22"/>
              </w:rPr>
              <w:t>36</w:t>
            </w:r>
          </w:p>
        </w:tc>
        <w:tc>
          <w:tcPr>
            <w:tcW w:w="1180" w:type="dxa"/>
          </w:tcPr>
          <w:p w:rsidR="00345641" w:rsidRPr="00345641" w:rsidRDefault="00345641" w:rsidP="006164BE">
            <w:pPr>
              <w:spacing w:line="278" w:lineRule="auto"/>
              <w:jc w:val="center"/>
              <w:rPr>
                <w:sz w:val="22"/>
                <w:szCs w:val="22"/>
              </w:rPr>
            </w:pPr>
            <w:r w:rsidRPr="00345641">
              <w:rPr>
                <w:sz w:val="22"/>
                <w:szCs w:val="22"/>
              </w:rPr>
              <w:t>36</w:t>
            </w:r>
          </w:p>
        </w:tc>
        <w:tc>
          <w:tcPr>
            <w:tcW w:w="1180" w:type="dxa"/>
          </w:tcPr>
          <w:p w:rsidR="00345641" w:rsidRPr="00345641" w:rsidRDefault="00345641" w:rsidP="006164BE">
            <w:pPr>
              <w:spacing w:line="278" w:lineRule="auto"/>
              <w:jc w:val="center"/>
              <w:rPr>
                <w:sz w:val="22"/>
                <w:szCs w:val="22"/>
              </w:rPr>
            </w:pPr>
            <w:r w:rsidRPr="00345641">
              <w:rPr>
                <w:sz w:val="22"/>
                <w:szCs w:val="22"/>
              </w:rPr>
              <w:t>14</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Molecular detection of respiratory viruses in </w:t>
            </w:r>
            <w:proofErr w:type="spellStart"/>
            <w:r w:rsidRPr="00345641">
              <w:rPr>
                <w:b/>
                <w:bCs/>
                <w:sz w:val="22"/>
                <w:szCs w:val="22"/>
              </w:rPr>
              <w:t>immunocopromised</w:t>
            </w:r>
            <w:proofErr w:type="spellEnd"/>
            <w:r w:rsidRPr="00345641">
              <w:rPr>
                <w:b/>
                <w:bCs/>
                <w:sz w:val="22"/>
                <w:szCs w:val="22"/>
              </w:rPr>
              <w:t xml:space="preserve"> ICU patients: Incidence and meaning</w:t>
            </w:r>
            <w:r w:rsidR="00D21559">
              <w:rPr>
                <w:b/>
                <w:bCs/>
                <w:sz w:val="22"/>
                <w:szCs w:val="22"/>
              </w:rPr>
              <w:fldChar w:fldCharType="begin"/>
            </w:r>
            <w:r w:rsidR="00987282">
              <w:rPr>
                <w:b/>
                <w:bCs/>
                <w:sz w:val="22"/>
                <w:szCs w:val="22"/>
              </w:rPr>
              <w:instrText xml:space="preserve"> ADDIN ZOTERO_ITEM CSL_CITATION {"citationID":"0wQR76NR","properties":{"formattedCitation":"(11)","plainCitation":"(11)","noteIndex":0},"citationItems":[{"id":1753,"uris":["http://zotero.org/users/local/5K0ZcI7M/items/D37KI3NA"],"itemData":{"id":1753,"type":"article-journal","abstract":"Purpose\nProspective single-center study to assess the sensitivity and clinical relevance of molecular testing for respiratory viruses in critically ill immunocompromised patients with acute respiratory failure (ARF).\n\nMethods\n100 consecutive critically ill immunocompromised patients with ARF in 2007–2009. Among them, 65 had hematologic malignancies (including 14 hematopoietic stem cell transplant recipients), 22 had iatrogenic immunosuppression, and 13 had solid malignancies. A multiplex molecular assay (MMA) was added to the usual battery of tests performed to look for causes of ARF.\n\nResults\nNasopharyngeal aspirates and/or bronchoalveolar lavage fluid were tested for respiratory viruses using both the MMA and immunofluorescence. A virus was detected in 47 (47%) patients using the MMA and 8 (8%) patients using immunofluorescence (P = 0.006). MMA-positive and MMA-negative patients had similar clinical and radiographic presentations and were not significantly different for the use of ventilatory support (58% vs. 76%, P = 0.09), occurrence of shock (43% vs. 53%, P = 0.41), use of renal replacement therapy (26% vs. 23%, P = 0.92), SAPS II (35 [26–44] vs. 38 [27–50], P = 0.36), time spent in the ICU (6 vs. 7 days, P = 0.35), or ICU mortality (17% vs. 28%, P = 0.27). Using MMA, a virus was found in 6 of the 12 patients with no diagnosis at the end of the etiologic investigations.\n\nConclusions\nIn critically ill immunocompromised patients, an MMA was far more sensitive than immunofluorescence for respiratory virus detection. Patients with RVs detected in the respiratory tract had the same clinical characteristics and outcomes as other patients.","container-title":"Respiratory Medicine","DOI":"10.1016/j.rmed.2012.05.001","ISSN":"0954-6111","issue":"8","journalAbbreviation":"Respir Med","note":"number: 8\nPMID: 22647492\nPMCID: PMC7126300","page":"1184-1191","source":"PubMed Central","title":"Molecular detection of respiratory viruses in immunocopromised ICU patients: Incidence and meaning","title-short":"Molecular detection of respiratory viruses in immunocopromised ICU patients","volume":"106","author":[{"family":"Schnell","given":"David"},{"family":"Legoff","given":"Jérôme"},{"family":"Mariotte","given":"Eric"},{"family":"Seguin","given":"Amélie"},{"family":"Canet","given":"Emmanuel"},{"family":"Lemiale","given":"Virginie"},{"family":"Darmon","given":"Michael"},{"family":"Schlemmer","given":"Benoît"},{"family":"Simon","given":"François"},{"family":"Azoulay","given":"Élie"}],"issued":{"date-parts":[["2012",8]]}}}],"schema":"https://github.com/citation-style-language/schema/raw/master/csl-citation.json"} </w:instrText>
            </w:r>
            <w:r w:rsidR="00D21559">
              <w:rPr>
                <w:b/>
                <w:bCs/>
                <w:sz w:val="22"/>
                <w:szCs w:val="22"/>
              </w:rPr>
              <w:fldChar w:fldCharType="separate"/>
            </w:r>
            <w:r w:rsidR="00987282">
              <w:rPr>
                <w:b/>
                <w:bCs/>
                <w:noProof/>
                <w:sz w:val="22"/>
                <w:szCs w:val="22"/>
              </w:rPr>
              <w:t>(11)</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D. Schnell</w:t>
            </w:r>
          </w:p>
        </w:tc>
        <w:tc>
          <w:tcPr>
            <w:tcW w:w="1134" w:type="dxa"/>
          </w:tcPr>
          <w:p w:rsidR="00345641" w:rsidRPr="00345641" w:rsidRDefault="00345641" w:rsidP="006164BE">
            <w:pPr>
              <w:spacing w:line="278" w:lineRule="auto"/>
              <w:jc w:val="center"/>
              <w:rPr>
                <w:sz w:val="22"/>
                <w:szCs w:val="22"/>
              </w:rPr>
            </w:pPr>
            <w:r w:rsidRPr="00345641">
              <w:rPr>
                <w:sz w:val="22"/>
                <w:szCs w:val="22"/>
              </w:rPr>
              <w:t>2012</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21</w:t>
            </w:r>
          </w:p>
        </w:tc>
        <w:tc>
          <w:tcPr>
            <w:tcW w:w="1180" w:type="dxa"/>
          </w:tcPr>
          <w:p w:rsidR="00345641" w:rsidRPr="00345641" w:rsidRDefault="00345641" w:rsidP="006164BE">
            <w:pPr>
              <w:spacing w:line="278" w:lineRule="auto"/>
              <w:jc w:val="center"/>
              <w:rPr>
                <w:sz w:val="22"/>
                <w:szCs w:val="22"/>
              </w:rPr>
            </w:pPr>
            <w:r w:rsidRPr="00345641">
              <w:rPr>
                <w:sz w:val="22"/>
                <w:szCs w:val="22"/>
              </w:rPr>
              <w:t>17</w:t>
            </w:r>
          </w:p>
        </w:tc>
        <w:tc>
          <w:tcPr>
            <w:tcW w:w="1180" w:type="dxa"/>
          </w:tcPr>
          <w:p w:rsidR="00345641" w:rsidRPr="00345641" w:rsidRDefault="00345641" w:rsidP="006164BE">
            <w:pPr>
              <w:spacing w:line="278" w:lineRule="auto"/>
              <w:jc w:val="center"/>
              <w:rPr>
                <w:sz w:val="22"/>
                <w:szCs w:val="22"/>
              </w:rPr>
            </w:pPr>
            <w:r w:rsidRPr="00345641">
              <w:rPr>
                <w:sz w:val="22"/>
                <w:szCs w:val="22"/>
              </w:rPr>
              <w:t>3</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Improved survival rates of AML patients following admission to the intensive care unit</w:t>
            </w:r>
            <w:r w:rsidR="00D21559">
              <w:rPr>
                <w:b/>
                <w:bCs/>
                <w:sz w:val="22"/>
                <w:szCs w:val="22"/>
              </w:rPr>
              <w:fldChar w:fldCharType="begin"/>
            </w:r>
            <w:r w:rsidR="00987282">
              <w:rPr>
                <w:b/>
                <w:bCs/>
                <w:sz w:val="22"/>
                <w:szCs w:val="22"/>
              </w:rPr>
              <w:instrText xml:space="preserve"> ADDIN ZOTERO_ITEM CSL_CITATION {"citationID":"TFPYmJ6F","properties":{"formattedCitation":"(12)","plainCitation":"(12)","noteIndex":0},"citationItems":[{"id":1106,"uris":["http://zotero.org/users/local/5K0ZcI7M/items/WUZDRMH6"],"itemData":{"id":1106,"type":"article-journal","abstract":"Induction chemotherapy in AML patients may have life-threatening side effects requiring intensive care unit (ICU) treatment. We analyzed all AML patients receiving intensive chemotherapy at a single academic center between 01/2006-12/2016. At least one ICU admission was observed in 32% (76/240) patients, and 33% of those died following ICU admission. Whereas the ICU admission proportion remained stable, mortality after ICU admission decreased from 14% (2006-2008) to 3% (2014-2016; p = .056). The number of failing organ systems inversely correlated with surviving ICU admission (p &lt; .001). Sepsis and renal, cardiac and pulmonary failure were each associated with higher mortality. With increasing ICU duration, survival probability decreased (p &lt; .001), but remained &gt;50% even after 14 days of ICU treatment. Progression-free and overall survival were comparable between ICU surviving patients and patients never needing ICU support. In conclusion, outcome after ICU admission of AML patients has substantially improved in recent years.","container-title":"Leukemia &amp; Lymphoma","DOI":"10.1080/10428194.2019.1594213","ISSN":"1029-2403","issue":"10","journalAbbreviation":"Leuk Lymphoma","language":"eng","note":"number: 10\nPMID: 30943056","page":"2423-2431","source":"PubMed","title":"Improved survival rates of AML patients following admission to the intensive care unit","volume":"60","author":[{"family":"Fassbind","given":"Priska"},{"family":"Jeker","given":"Barbara"},{"family":"Mueller","given":"Beatrice U."},{"family":"Bacher","given":"Ulrike"},{"family":"Zimmerli","given":"Stefan"},{"family":"Endrich","given":"Olga"},{"family":"Gahl","given":"Brigitta"},{"family":"Novak","given":"Urban"},{"family":"Pabst","given":"Thomas"}],"issued":{"date-parts":[["2019",10]]}}}],"schema":"https://github.com/citation-style-language/schema/raw/master/csl-citation.json"} </w:instrText>
            </w:r>
            <w:r w:rsidR="00D21559">
              <w:rPr>
                <w:b/>
                <w:bCs/>
                <w:sz w:val="22"/>
                <w:szCs w:val="22"/>
              </w:rPr>
              <w:fldChar w:fldCharType="separate"/>
            </w:r>
            <w:r w:rsidR="00987282">
              <w:rPr>
                <w:b/>
                <w:bCs/>
                <w:noProof/>
                <w:sz w:val="22"/>
                <w:szCs w:val="22"/>
              </w:rPr>
              <w:t>(12)</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P. Fassbind</w:t>
            </w:r>
          </w:p>
        </w:tc>
        <w:tc>
          <w:tcPr>
            <w:tcW w:w="1134" w:type="dxa"/>
          </w:tcPr>
          <w:p w:rsidR="00345641" w:rsidRPr="00345641" w:rsidRDefault="00345641" w:rsidP="006164BE">
            <w:pPr>
              <w:spacing w:line="278" w:lineRule="auto"/>
              <w:jc w:val="center"/>
              <w:rPr>
                <w:sz w:val="22"/>
                <w:szCs w:val="22"/>
              </w:rPr>
            </w:pPr>
            <w:r w:rsidRPr="00345641">
              <w:rPr>
                <w:sz w:val="22"/>
                <w:szCs w:val="22"/>
              </w:rPr>
              <w:t>2019</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Berne</w:t>
            </w:r>
          </w:p>
        </w:tc>
        <w:tc>
          <w:tcPr>
            <w:tcW w:w="1179" w:type="dxa"/>
          </w:tcPr>
          <w:p w:rsidR="00345641" w:rsidRPr="00345641" w:rsidRDefault="00345641" w:rsidP="006164BE">
            <w:pPr>
              <w:spacing w:line="278" w:lineRule="auto"/>
              <w:jc w:val="center"/>
              <w:rPr>
                <w:sz w:val="22"/>
                <w:szCs w:val="22"/>
              </w:rPr>
            </w:pPr>
            <w:r w:rsidRPr="00345641">
              <w:rPr>
                <w:sz w:val="22"/>
                <w:szCs w:val="22"/>
              </w:rPr>
              <w:t>2006</w:t>
            </w:r>
          </w:p>
        </w:tc>
        <w:tc>
          <w:tcPr>
            <w:tcW w:w="1180" w:type="dxa"/>
          </w:tcPr>
          <w:p w:rsidR="00345641" w:rsidRPr="00345641" w:rsidRDefault="00345641" w:rsidP="006164BE">
            <w:pPr>
              <w:spacing w:line="278" w:lineRule="auto"/>
              <w:jc w:val="center"/>
              <w:rPr>
                <w:sz w:val="22"/>
                <w:szCs w:val="22"/>
              </w:rPr>
            </w:pPr>
            <w:r w:rsidRPr="00345641">
              <w:rPr>
                <w:sz w:val="22"/>
                <w:szCs w:val="22"/>
              </w:rPr>
              <w:t>2017</w:t>
            </w:r>
          </w:p>
        </w:tc>
        <w:tc>
          <w:tcPr>
            <w:tcW w:w="1180" w:type="dxa"/>
          </w:tcPr>
          <w:p w:rsidR="00345641" w:rsidRPr="00345641" w:rsidRDefault="00345641" w:rsidP="006164BE">
            <w:pPr>
              <w:spacing w:line="278" w:lineRule="auto"/>
              <w:jc w:val="center"/>
              <w:rPr>
                <w:sz w:val="22"/>
                <w:szCs w:val="22"/>
              </w:rPr>
            </w:pPr>
            <w:r w:rsidRPr="00345641">
              <w:rPr>
                <w:sz w:val="22"/>
                <w:szCs w:val="22"/>
              </w:rPr>
              <w:t>76</w:t>
            </w:r>
          </w:p>
        </w:tc>
        <w:tc>
          <w:tcPr>
            <w:tcW w:w="1180" w:type="dxa"/>
          </w:tcPr>
          <w:p w:rsidR="00345641" w:rsidRPr="00345641" w:rsidRDefault="00345641" w:rsidP="006164BE">
            <w:pPr>
              <w:spacing w:line="278" w:lineRule="auto"/>
              <w:jc w:val="center"/>
              <w:rPr>
                <w:sz w:val="22"/>
                <w:szCs w:val="22"/>
              </w:rPr>
            </w:pPr>
            <w:r w:rsidRPr="00345641">
              <w:rPr>
                <w:sz w:val="22"/>
                <w:szCs w:val="22"/>
              </w:rPr>
              <w:t>72</w:t>
            </w:r>
          </w:p>
        </w:tc>
        <w:tc>
          <w:tcPr>
            <w:tcW w:w="1180" w:type="dxa"/>
          </w:tcPr>
          <w:p w:rsidR="00345641" w:rsidRPr="00345641" w:rsidRDefault="00345641" w:rsidP="006164BE">
            <w:pPr>
              <w:spacing w:line="278" w:lineRule="auto"/>
              <w:jc w:val="center"/>
              <w:rPr>
                <w:sz w:val="22"/>
                <w:szCs w:val="22"/>
              </w:rPr>
            </w:pPr>
            <w:r w:rsidRPr="00345641">
              <w:rPr>
                <w:sz w:val="22"/>
                <w:szCs w:val="22"/>
              </w:rPr>
              <w:t>20</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Prognostic factors in critically ill cancer patients admitted to the intensive care unit</w:t>
            </w:r>
            <w:r w:rsidR="00D21559">
              <w:rPr>
                <w:b/>
                <w:bCs/>
                <w:sz w:val="22"/>
                <w:szCs w:val="22"/>
              </w:rPr>
              <w:fldChar w:fldCharType="begin"/>
            </w:r>
            <w:r w:rsidR="00987282">
              <w:rPr>
                <w:b/>
                <w:bCs/>
                <w:sz w:val="22"/>
                <w:szCs w:val="22"/>
              </w:rPr>
              <w:instrText xml:space="preserve"> ADDIN ZOTERO_ITEM CSL_CITATION {"citationID":"DXKThp2m","properties":{"formattedCitation":"(13)","plainCitation":"(13)","noteIndex":0},"citationItems":[{"id":1167,"uris":["http://zotero.org/users/local/5K0ZcI7M/items/U6GX9EIF"],"itemData":{"id":1167,"type":"article-journal","abstract":"OBJECTIVE: The objective of this study is to identify factors predicting intensive care unit (ICU) mortality in cancer patients admitted to a medical ICU.\nPATIENTS AND METHODS: We conducted a retrospective study in 162 consecutive cancer patients admitted to the medical ICU of a 1000-bed university hospital between January 2009 and June 2012. Medical history, physical and laboratory findings on admission, and therapeutic interventions during ICU stay were recorded. The study end point was ICU mortality. Logistic regression analysis was performed to identify independent risk factors for ICU mortality.\nRESULTS: The study cohort consisted of 104 (64.2%) patients with solid tumors and 58 patients (35.8%) with hematological malignancies. The major causes of ICU admission were sepsis/septic shock (66.7%) and respiratory failure (63.6%), respectively. Overall ICU mortality rate was 55 % (n=89). The ICU mortality rates were similar in patients with hematological malignancies and solid tumors (57% vs 53.8%; P=.744). Four variables were independent predictors for ICU mortality in cancer patients: the remission status of the underlying cancer on ICU admission (odds ratio [OR], 0.113; 95% confidence interval [CI], 0.027-0.48; P=.003), Acute Physiology and Chronic Health Evaluation II score (OR, 1.12; 95% CI, 1.032-1.215; P=.007), sepsis/septic shock during ICU stay (OR, 8.94; 95% CI, 2.28-35; P=.002), and vasopressor requirement (OR 16.84; 95% CI, 3.98-71.24; P=.0001). Although Acute Physiology and Chronic Health Evaluation II score (OR, 1.30; 95% CI, 1.054-1.61; P=.014), admission through emergency service (OR, 0.005; 95% CI, 0.00-0.69; P=.035), and vasopressor requirement during ICU stay (OR, 140.64; 95% CI, 3.59-5505.5; P=.008) were independent predictors for ICU mortality in patients with hematological malignancies, Sequential Organ Failure Assessment score (OR, 1.83; 95% CI, 1.29-2.6; P=.001), lactate dehydrogenase level on admission (OR, 1.002; 95% CI, 1-1.005; P=.028), sepsis/septic shock during ICU stay (OR, 138.4; 95% CI, 12.54-1528.4; P=.0001), and complete or partial remission of the underlying cancer (OR, 0.026; 95% CI, 0.002-0.3; P=.004) were the independent risk factors in patients with solid tumors.\nCONCLUSION: Intensive care unit mortality rate was 55% in our cancer patients, which suggests that patients with cancer can benefit from ICU admission. We also found that ICU mortality rates of patients with hematological malignancies and solid tumors were similar.","container-title":"Journal of Critical Care","DOI":"10.1016/j.jcrc.2014.01.014","ISSN":"1557-8615","issue":"4","journalAbbreviation":"J Crit Care","language":"eng","note":"number: 4\nPMID: 24612762","page":"618-626","source":"PubMed","title":"Prognostic factors in critically ill cancer patients admitted to the intensive care unit","volume":"29","author":[{"family":"Aygencel","given":"Gulbin"},{"family":"Turkoglu","given":"Melda"},{"family":"Turkoz Sucak","given":"Gulsan"},{"family":"Benekli","given":"Mustafa"}],"issued":{"date-parts":[["2014",8]]}}}],"schema":"https://github.com/citation-style-language/schema/raw/master/csl-citation.json"} </w:instrText>
            </w:r>
            <w:r w:rsidR="00D21559">
              <w:rPr>
                <w:b/>
                <w:bCs/>
                <w:sz w:val="22"/>
                <w:szCs w:val="22"/>
              </w:rPr>
              <w:fldChar w:fldCharType="separate"/>
            </w:r>
            <w:r w:rsidR="00987282">
              <w:rPr>
                <w:b/>
                <w:bCs/>
                <w:noProof/>
                <w:sz w:val="22"/>
                <w:szCs w:val="22"/>
              </w:rPr>
              <w:t>(13)</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 xml:space="preserve">G. </w:t>
            </w:r>
            <w:proofErr w:type="spellStart"/>
            <w:r w:rsidRPr="00345641">
              <w:rPr>
                <w:sz w:val="22"/>
                <w:szCs w:val="22"/>
              </w:rPr>
              <w:t>Aygencel</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2014</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Ankara</w:t>
            </w:r>
          </w:p>
        </w:tc>
        <w:tc>
          <w:tcPr>
            <w:tcW w:w="1179"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35</w:t>
            </w:r>
          </w:p>
        </w:tc>
        <w:tc>
          <w:tcPr>
            <w:tcW w:w="1180" w:type="dxa"/>
          </w:tcPr>
          <w:p w:rsidR="00345641" w:rsidRPr="00345641" w:rsidRDefault="00345641" w:rsidP="006164BE">
            <w:pPr>
              <w:spacing w:line="278" w:lineRule="auto"/>
              <w:jc w:val="center"/>
              <w:rPr>
                <w:sz w:val="22"/>
                <w:szCs w:val="22"/>
              </w:rPr>
            </w:pPr>
            <w:r w:rsidRPr="00345641">
              <w:rPr>
                <w:sz w:val="22"/>
                <w:szCs w:val="22"/>
              </w:rPr>
              <w:t>22</w:t>
            </w:r>
          </w:p>
        </w:tc>
        <w:tc>
          <w:tcPr>
            <w:tcW w:w="1180" w:type="dxa"/>
          </w:tcPr>
          <w:p w:rsidR="00345641" w:rsidRPr="00345641" w:rsidRDefault="00345641" w:rsidP="006164BE">
            <w:pPr>
              <w:spacing w:line="278" w:lineRule="auto"/>
              <w:jc w:val="center"/>
              <w:rPr>
                <w:sz w:val="22"/>
                <w:szCs w:val="22"/>
              </w:rPr>
            </w:pPr>
            <w:r w:rsidRPr="00345641">
              <w:rPr>
                <w:sz w:val="22"/>
                <w:szCs w:val="22"/>
              </w:rPr>
              <w:t>24</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Can treating critically-ill </w:t>
            </w:r>
            <w:proofErr w:type="spellStart"/>
            <w:r w:rsidRPr="00345641">
              <w:rPr>
                <w:b/>
                <w:bCs/>
                <w:sz w:val="22"/>
                <w:szCs w:val="22"/>
              </w:rPr>
              <w:t>haematological</w:t>
            </w:r>
            <w:proofErr w:type="spellEnd"/>
            <w:r w:rsidRPr="00345641">
              <w:rPr>
                <w:b/>
                <w:bCs/>
                <w:sz w:val="22"/>
                <w:szCs w:val="22"/>
              </w:rPr>
              <w:t xml:space="preserve"> malignancy patients in a separate intensive </w:t>
            </w:r>
            <w:r w:rsidRPr="00345641">
              <w:rPr>
                <w:b/>
                <w:bCs/>
                <w:sz w:val="22"/>
                <w:szCs w:val="22"/>
              </w:rPr>
              <w:lastRenderedPageBreak/>
              <w:t>care unit decrease intensive care unit mortality?</w:t>
            </w:r>
            <w:r w:rsidR="00D21559">
              <w:rPr>
                <w:b/>
                <w:bCs/>
                <w:sz w:val="22"/>
                <w:szCs w:val="22"/>
              </w:rPr>
              <w:fldChar w:fldCharType="begin"/>
            </w:r>
            <w:r w:rsidR="00987282">
              <w:rPr>
                <w:b/>
                <w:bCs/>
                <w:sz w:val="22"/>
                <w:szCs w:val="22"/>
              </w:rPr>
              <w:instrText xml:space="preserve"> ADDIN ZOTERO_ITEM CSL_CITATION {"citationID":"uYfvQpif","properties":{"formattedCitation":"(14)","plainCitation":"(14)","noteIndex":0},"citationItems":[{"id":2566,"uris":["http://zotero.org/users/local/5K0ZcI7M/items/22FGH2GX"],"itemData":{"id":2566,"type":"article-journal","abstract":"BACKGROUND/AIM: The aim of the study was to investigate whether treating haematological malignancy (HM) patients in a separate intensive care unit (ICU) would reduce ICU mortality.\nMATERIALS AND METHODS: HM patients treated by the same ICU team in a general medical ICU (GM-ICU) and a separate haematology ICU (H-ICU) were included in this study. Patients’ demographic characteristics and ICU data were recorded retrospectively. Differences in the ICU course and prognosis between these two groups were determined.\nRESULTS: A total of 251 patients (102 from GM-ICU, 149 from H-ICU) were included in this study. The disease severity and organ failure scores at ICU admission and underlying HMs were not different between the two groups. Patients waited longer for admission to GM- ICU. Therapeutic procedures were performed significantly more frequently in GM-ICU. ICU complications were not different between the groups. ICU mortality rates were higher in GM-ICU (59.8% vs 37.6%, p = 0.006).\nCONCLUSION: A separate ICU allocated for haematology patients will allow timely and rapid admission of HM patients to ICU. Thus, mortality rates of HM patients needing ICU care will decline.","container-title":"Turkish Journal of Medical Sciences","DOI":"10.3906/sag-2012-107","ISSN":"1303-6165","issue":"4","journalAbbreviation":"Turk J Med Sci","language":"eng","note":"PMID: 33992040\nPMCID: PMC8569800","page":"2095-2100","source":"PubMed","title":"Can treating critically-ill haematological malignancy patients in a separate intensive care unit decrease intensive care unit mortality?","volume":"51","author":[{"family":"Aygencel","given":"Gülbin"},{"family":"Boyacı Dündar","given":"Nazlıhan"},{"family":"Türkoğlu","given":"Melda"},{"family":"Yegin","given":"Zeynep Arzu"},{"family":"Özkurt","given":"Zübeyde Nur"},{"family":"Yağcı","given":"Abdullah Münci"}],"issued":{"date-parts":[["2021",8,30]]}}}],"schema":"https://github.com/citation-style-language/schema/raw/master/csl-citation.json"} </w:instrText>
            </w:r>
            <w:r w:rsidR="00D21559">
              <w:rPr>
                <w:b/>
                <w:bCs/>
                <w:sz w:val="22"/>
                <w:szCs w:val="22"/>
              </w:rPr>
              <w:fldChar w:fldCharType="separate"/>
            </w:r>
            <w:r w:rsidR="00987282">
              <w:rPr>
                <w:b/>
                <w:bCs/>
                <w:noProof/>
                <w:sz w:val="22"/>
                <w:szCs w:val="22"/>
              </w:rPr>
              <w:t>(14)</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lastRenderedPageBreak/>
              <w:t xml:space="preserve">G. </w:t>
            </w:r>
            <w:proofErr w:type="spellStart"/>
            <w:r w:rsidRPr="00345641">
              <w:rPr>
                <w:sz w:val="22"/>
                <w:szCs w:val="22"/>
              </w:rPr>
              <w:t>Aygencel</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2021</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Ankara</w:t>
            </w:r>
          </w:p>
        </w:tc>
        <w:tc>
          <w:tcPr>
            <w:tcW w:w="1179"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123</w:t>
            </w:r>
          </w:p>
        </w:tc>
        <w:tc>
          <w:tcPr>
            <w:tcW w:w="1180" w:type="dxa"/>
          </w:tcPr>
          <w:p w:rsidR="00345641" w:rsidRPr="00345641" w:rsidRDefault="00345641" w:rsidP="006164BE">
            <w:pPr>
              <w:spacing w:line="278" w:lineRule="auto"/>
              <w:jc w:val="center"/>
              <w:rPr>
                <w:sz w:val="22"/>
                <w:szCs w:val="22"/>
              </w:rPr>
            </w:pPr>
            <w:r w:rsidRPr="00345641">
              <w:rPr>
                <w:sz w:val="22"/>
                <w:szCs w:val="22"/>
              </w:rPr>
              <w:t>76</w:t>
            </w:r>
          </w:p>
        </w:tc>
        <w:tc>
          <w:tcPr>
            <w:tcW w:w="1180" w:type="dxa"/>
          </w:tcPr>
          <w:p w:rsidR="00345641" w:rsidRPr="00345641" w:rsidRDefault="00345641" w:rsidP="006164BE">
            <w:pPr>
              <w:spacing w:line="278" w:lineRule="auto"/>
              <w:jc w:val="center"/>
              <w:rPr>
                <w:sz w:val="22"/>
                <w:szCs w:val="22"/>
              </w:rPr>
            </w:pPr>
            <w:r w:rsidRPr="00345641">
              <w:rPr>
                <w:sz w:val="22"/>
                <w:szCs w:val="22"/>
              </w:rPr>
              <w:t>62</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Comparison of 1,3-β-D-glucan with galactomannan in serum and bronchoalveolar fluid for the detection of Aspergillus species in immunosuppressed mechanical ventilated critically ill patients</w:t>
            </w:r>
            <w:r w:rsidR="00D21559">
              <w:rPr>
                <w:b/>
                <w:bCs/>
                <w:sz w:val="22"/>
                <w:szCs w:val="22"/>
              </w:rPr>
              <w:fldChar w:fldCharType="begin"/>
            </w:r>
            <w:r w:rsidR="00987282">
              <w:rPr>
                <w:b/>
                <w:bCs/>
                <w:sz w:val="22"/>
                <w:szCs w:val="22"/>
              </w:rPr>
              <w:instrText xml:space="preserve"> ADDIN ZOTERO_ITEM CSL_CITATION {"citationID":"et5Vhprf","properties":{"formattedCitation":"(15)","plainCitation":"(15)","noteIndex":0},"citationItems":[{"id":3050,"uris":["http://zotero.org/users/local/5K0ZcI7M/items/MRTAYCIW"],"itemData":{"id":3050,"type":"article-journal","abstract":"PURPOSE: Invasive pulmonary aspergillosis (IPA) is an important cause of morbidity/mortality in immunocompromised critically ill patients. New diagnostic strategies for early detection of IPA include the noninvasive biomarkers 1,3-β-d-glucan (BDG), serum, and bronchoalveolar (BAL) fluid galactomannan (GM). The aim of this study was to compare these markers for early detection of IPA in immunosuppressed critically ill patients.\nMETHODS: Between December 2014 and December 2015, 49 immunosuppressed patients with respiratory failure were treated at our intensive care unit (ICU). We compared the BDG Fungitell assay with GM Platelia assay in serum and BAL for early detection of IPA. All tests were performed initially after admission at the ICU.\nRESULTS: In our study with 49 patients, 13 (26%) had probable IPA. These patients had a higher Acute Physiology And Chronic Health Evaluation II score (28 vs 23, P&lt;.001), Sequential Organ Failure Assessment score (16 vs 14, P&lt;.001), more neutropenia (77% vs 30%, P&lt;.001), worse Horowitz Index (99 vs 73 P&lt;.020), a longer ICU stay (26 vs 17 days, P&lt;.044), and a higher mortality rate (77% vs 58%, P&lt;.001) as compared with patients without probable IPA. The used biomarker BDG presented in patients with probable IPA showed significantly higher levels as compared with patients without probable IPA (375 [103-1000 pg/mL; P&lt;.001] vs 64 [30-105 pg/mL; P &lt; .001]). Comparison of BDG with GM showed that positive serum GM could be detected in only 4 (30%), whereas positive BAL GM could be detected in 12 (92%; mean optical density index, 3.7) of 13 probable IPA cases. These results can be expressed as an overall sensitivity of 88% and a specificity of 82% for probable IPA using the BDG Fungitell assay, a sensitivity of 35% and a specificity of 70% using the serum GM Platelia assay, and a sensitivity of 70% and a specificity of 94% using the BAL GM Platelia assay. The negative predictive values of the used tests were 94% for the BDG Fungitell assay, 94% for the serum GM Platelia assay, and 90% for the BAL GM Platelia assay.\nCONCLUSION: 1,3-β-d-Glucan may be a useful marker for patients under surveillance at risk for IPA. In critically ill patients with immunosuppression, early diagnosis of IPA may be improved by BDG as compared with serum GM. However, diagnostic performance and accuracy increase when BDG is run in parallel with GM from BAL; moreover, the association of the 2 parameters has also the advantage of detecting early and reliable IPA.","container-title":"Journal of Critical Care","DOI":"10.1016/j.jcrc.2016.06.026","ISSN":"1557-8615","journalAbbreviation":"J Crit Care","language":"eng","note":"PMID: 27475024","page":"259-264","source":"PubMed","title":"Comparison of 1,3-β-d-glucan with galactomannan in serum and bronchoalveolar fluid for the detection of Aspergillus species in immunosuppressed mechanical ventilated critically ill patients","volume":"36","author":[{"family":"Lahmer","given":"Tobias"},{"family":"Neuenhahn","given":"Michael"},{"family":"Held","given":"Jürgen"},{"family":"Rasch","given":"Sebastian"},{"family":"Schmid","given":"Roland M."},{"family":"Huber","given":"Wolfgang"}],"issued":{"date-parts":[["2016",12]]}}}],"schema":"https://github.com/citation-style-language/schema/raw/master/csl-citation.json"} </w:instrText>
            </w:r>
            <w:r w:rsidR="00D21559">
              <w:rPr>
                <w:b/>
                <w:bCs/>
                <w:sz w:val="22"/>
                <w:szCs w:val="22"/>
              </w:rPr>
              <w:fldChar w:fldCharType="separate"/>
            </w:r>
            <w:r w:rsidR="00987282">
              <w:rPr>
                <w:b/>
                <w:bCs/>
                <w:noProof/>
                <w:sz w:val="22"/>
                <w:szCs w:val="22"/>
              </w:rPr>
              <w:t>(15)</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 xml:space="preserve">T. </w:t>
            </w:r>
            <w:proofErr w:type="spellStart"/>
            <w:r w:rsidRPr="00345641">
              <w:rPr>
                <w:sz w:val="22"/>
                <w:szCs w:val="22"/>
              </w:rPr>
              <w:t>Lahmer</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2016</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Munich</w:t>
            </w:r>
          </w:p>
        </w:tc>
        <w:tc>
          <w:tcPr>
            <w:tcW w:w="1179" w:type="dxa"/>
          </w:tcPr>
          <w:p w:rsidR="00345641" w:rsidRPr="00345641" w:rsidRDefault="00345641" w:rsidP="006164BE">
            <w:pPr>
              <w:spacing w:line="278" w:lineRule="auto"/>
              <w:jc w:val="center"/>
              <w:rPr>
                <w:sz w:val="22"/>
                <w:szCs w:val="22"/>
              </w:rPr>
            </w:pPr>
            <w:r w:rsidRPr="00345641">
              <w:rPr>
                <w:sz w:val="22"/>
                <w:szCs w:val="22"/>
              </w:rPr>
              <w:t>2014</w:t>
            </w:r>
          </w:p>
        </w:tc>
        <w:tc>
          <w:tcPr>
            <w:tcW w:w="1180" w:type="dxa"/>
          </w:tcPr>
          <w:p w:rsidR="00345641" w:rsidRPr="00345641" w:rsidRDefault="00345641" w:rsidP="006164BE">
            <w:pPr>
              <w:spacing w:line="278" w:lineRule="auto"/>
              <w:jc w:val="center"/>
              <w:rPr>
                <w:sz w:val="22"/>
                <w:szCs w:val="22"/>
              </w:rPr>
            </w:pPr>
            <w:r w:rsidRPr="00345641">
              <w:rPr>
                <w:sz w:val="22"/>
                <w:szCs w:val="22"/>
              </w:rPr>
              <w:t>2015</w:t>
            </w:r>
          </w:p>
        </w:tc>
        <w:tc>
          <w:tcPr>
            <w:tcW w:w="1180" w:type="dxa"/>
          </w:tcPr>
          <w:p w:rsidR="00345641" w:rsidRPr="00345641" w:rsidRDefault="00345641" w:rsidP="006164BE">
            <w:pPr>
              <w:spacing w:line="278" w:lineRule="auto"/>
              <w:jc w:val="center"/>
              <w:rPr>
                <w:sz w:val="22"/>
                <w:szCs w:val="22"/>
              </w:rPr>
            </w:pPr>
            <w:r w:rsidRPr="00345641">
              <w:rPr>
                <w:sz w:val="22"/>
                <w:szCs w:val="22"/>
              </w:rPr>
              <w:t>2</w:t>
            </w:r>
          </w:p>
        </w:tc>
        <w:tc>
          <w:tcPr>
            <w:tcW w:w="1180" w:type="dxa"/>
          </w:tcPr>
          <w:p w:rsidR="00345641" w:rsidRPr="00345641" w:rsidRDefault="00345641" w:rsidP="006164BE">
            <w:pPr>
              <w:spacing w:line="278" w:lineRule="auto"/>
              <w:jc w:val="center"/>
              <w:rPr>
                <w:sz w:val="22"/>
                <w:szCs w:val="22"/>
              </w:rPr>
            </w:pPr>
            <w:r w:rsidRPr="00345641">
              <w:rPr>
                <w:sz w:val="22"/>
                <w:szCs w:val="22"/>
              </w:rPr>
              <w:t>2</w:t>
            </w:r>
          </w:p>
        </w:tc>
        <w:tc>
          <w:tcPr>
            <w:tcW w:w="1180" w:type="dxa"/>
          </w:tcPr>
          <w:p w:rsidR="00345641" w:rsidRPr="00345641" w:rsidRDefault="00345641" w:rsidP="006164BE">
            <w:pPr>
              <w:spacing w:line="278" w:lineRule="auto"/>
              <w:jc w:val="center"/>
              <w:rPr>
                <w:sz w:val="22"/>
                <w:szCs w:val="22"/>
              </w:rPr>
            </w:pPr>
            <w:r w:rsidRPr="00345641">
              <w:rPr>
                <w:sz w:val="22"/>
                <w:szCs w:val="22"/>
              </w:rPr>
              <w:t>2</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Survival in neutropenic patients with severe sepsis or septic shock</w:t>
            </w:r>
            <w:r w:rsidR="00D21559">
              <w:rPr>
                <w:b/>
                <w:bCs/>
                <w:sz w:val="22"/>
                <w:szCs w:val="22"/>
              </w:rPr>
              <w:fldChar w:fldCharType="begin"/>
            </w:r>
            <w:r w:rsidR="00987282">
              <w:rPr>
                <w:b/>
                <w:bCs/>
                <w:sz w:val="22"/>
                <w:szCs w:val="22"/>
              </w:rPr>
              <w:instrText xml:space="preserve"> ADDIN ZOTERO_ITEM CSL_CITATION {"citationID":"D816qeh9","properties":{"formattedCitation":"(16)","plainCitation":"(16)","noteIndex":0},"citationItems":[{"id":1165,"uris":["http://zotero.org/users/local/5K0ZcI7M/items/MX326K5P"],"itemData":{"id":1165,"type":"article-journal","abstract":"OBJECTIVE: To determine whether the survival gains achieved in critically ill cancer patients in recent years exist in the subset with neutropenia and severe sepsis or septic shock.\nDESIGN: Retrospective 11-yr study (1998-2008).\nSETTING: Medical intensive care unit in a teaching hospital.\nPATIENTS: Four hundred twenty-eight intensive care unit patients with cancer, neutropenia, and severe sepsis or septic shock. The primary outcome was hospital mortality.\nRESULTS: The main underlying diseases were acute leukemia (35.7%), lymphoma (31.7%), and solid tumors (16.5%). Two hundred thirty-seven (55.5%) patients had microbiologically documented infections, 141 (32.9%) clinically documented infections, and 50 (11.9%) fever of unknown origin. Acute noninfectious conditions were diagnosed in 175 of 428 (41%) patients, including 26 of 50 (52%) patients with fever of unknown origin, 66 of 141 (47%) patients with clinically documented infections, and 83 of 237 (35%) patients with microbiologically documented infections. Early indwelling catheter removal was performed routinely in the 107 (25%) patients without clinical evidence of a septic focus at intensive care unit admission. Early beta-lactam plus aminoglycoside therapy was used in 391 (91.3%) patients. Hospital mortality was 49.8%. Hospital mortality decreased from 58.7% (108 of 184) in 1998-2003 to 43% in 2004-2008 (105 of 244, p = .006). Multivariate analysis identified nine independent predictors of hospital mortality, of which six were associated with higher mortality (older age; need for vasopressors; neurologic, respiratory, or hepatic dysfunction; and acute noninfectious condition) and three with lower mortality (intensive care unit admission after 2003, combination antibiotic therapy including an aminoglycoside, and early indwelling catheter removal).\nCONCLUSION: In neutropenic patients with severe sepsis or septic shock, survival improved over time. Aminoglycoside use and early catheter removal in patients with undocumented sepsis may improve survival. Acute noninfectious conditions are associated with increased mortality, underlining the need for thorough and repeated clinical assessments.","container-title":"Critical Care Medicine","DOI":"10.1097/CCM.0b013e31822b50c2","ISSN":"1530-0293","issue":"1","journalAbbreviation":"Crit Care Med","language":"eng","note":"number: 1\nPMID: 21926615","page":"43-49","source":"PubMed","title":"Survival in neutropenic patients with severe sepsis or septic shock","volume":"40","author":[{"family":"Legrand","given":"Matthieu"},{"family":"Max","given":"Adeline"},{"family":"Peigne","given":"Vincent"},{"family":"Mariotte","given":"Eric"},{"family":"Canet","given":"Emmanuel"},{"family":"Debrumetz","given":"Alexandre"},{"family":"Lemiale","given":"Virginie"},{"family":"Seguin","given":"Amélie"},{"family":"Darmon","given":"Michael"},{"family":"Schlemmer","given":"Benoît"},{"family":"Azoulay","given":"Elie"}],"issued":{"date-parts":[["2012",1]]}}}],"schema":"https://github.com/citation-style-language/schema/raw/master/csl-citation.json"} </w:instrText>
            </w:r>
            <w:r w:rsidR="00D21559">
              <w:rPr>
                <w:b/>
                <w:bCs/>
                <w:sz w:val="22"/>
                <w:szCs w:val="22"/>
              </w:rPr>
              <w:fldChar w:fldCharType="separate"/>
            </w:r>
            <w:r w:rsidR="00987282">
              <w:rPr>
                <w:b/>
                <w:bCs/>
                <w:noProof/>
                <w:sz w:val="22"/>
                <w:szCs w:val="22"/>
              </w:rPr>
              <w:t>(16)</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Legrand</w:t>
            </w:r>
          </w:p>
        </w:tc>
        <w:tc>
          <w:tcPr>
            <w:tcW w:w="1134" w:type="dxa"/>
          </w:tcPr>
          <w:p w:rsidR="00345641" w:rsidRPr="00345641" w:rsidRDefault="00345641" w:rsidP="006164BE">
            <w:pPr>
              <w:spacing w:line="278" w:lineRule="auto"/>
              <w:jc w:val="center"/>
              <w:rPr>
                <w:sz w:val="22"/>
                <w:szCs w:val="22"/>
              </w:rPr>
            </w:pPr>
            <w:r w:rsidRPr="00345641">
              <w:rPr>
                <w:sz w:val="22"/>
                <w:szCs w:val="22"/>
              </w:rPr>
              <w:t>2012</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1998</w:t>
            </w:r>
          </w:p>
        </w:tc>
        <w:tc>
          <w:tcPr>
            <w:tcW w:w="1180" w:type="dxa"/>
          </w:tcPr>
          <w:p w:rsidR="00345641" w:rsidRPr="00345641" w:rsidRDefault="00345641" w:rsidP="006164BE">
            <w:pPr>
              <w:spacing w:line="278" w:lineRule="auto"/>
              <w:jc w:val="center"/>
              <w:rPr>
                <w:sz w:val="22"/>
                <w:szCs w:val="22"/>
              </w:rPr>
            </w:pPr>
            <w:r w:rsidRPr="00345641">
              <w:rPr>
                <w:sz w:val="22"/>
                <w:szCs w:val="22"/>
              </w:rPr>
              <w:t>2009</w:t>
            </w:r>
          </w:p>
        </w:tc>
        <w:tc>
          <w:tcPr>
            <w:tcW w:w="1180" w:type="dxa"/>
          </w:tcPr>
          <w:p w:rsidR="00345641" w:rsidRPr="00345641" w:rsidRDefault="00345641" w:rsidP="006164BE">
            <w:pPr>
              <w:spacing w:line="278" w:lineRule="auto"/>
              <w:jc w:val="center"/>
              <w:rPr>
                <w:sz w:val="22"/>
                <w:szCs w:val="22"/>
              </w:rPr>
            </w:pPr>
            <w:r w:rsidRPr="00345641">
              <w:rPr>
                <w:sz w:val="22"/>
                <w:szCs w:val="22"/>
              </w:rPr>
              <w:t>152</w:t>
            </w:r>
          </w:p>
        </w:tc>
        <w:tc>
          <w:tcPr>
            <w:tcW w:w="1180" w:type="dxa"/>
          </w:tcPr>
          <w:p w:rsidR="00345641" w:rsidRPr="00345641" w:rsidRDefault="00345641" w:rsidP="006164BE">
            <w:pPr>
              <w:spacing w:line="278" w:lineRule="auto"/>
              <w:jc w:val="center"/>
              <w:rPr>
                <w:sz w:val="22"/>
                <w:szCs w:val="22"/>
              </w:rPr>
            </w:pPr>
            <w:r w:rsidRPr="00345641">
              <w:rPr>
                <w:sz w:val="22"/>
                <w:szCs w:val="22"/>
              </w:rPr>
              <w:t>126</w:t>
            </w:r>
          </w:p>
        </w:tc>
        <w:tc>
          <w:tcPr>
            <w:tcW w:w="1180" w:type="dxa"/>
          </w:tcPr>
          <w:p w:rsidR="00345641" w:rsidRPr="00345641" w:rsidRDefault="00345641" w:rsidP="006164BE">
            <w:pPr>
              <w:spacing w:line="278" w:lineRule="auto"/>
              <w:jc w:val="center"/>
              <w:rPr>
                <w:sz w:val="22"/>
                <w:szCs w:val="22"/>
              </w:rPr>
            </w:pPr>
            <w:r w:rsidRPr="00345641">
              <w:rPr>
                <w:sz w:val="22"/>
                <w:szCs w:val="22"/>
              </w:rPr>
              <w:t>58</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Sepsis and Septic Shock in Patients With Malignancies: A Groupe de Recherche </w:t>
            </w:r>
            <w:proofErr w:type="spellStart"/>
            <w:r w:rsidRPr="00345641">
              <w:rPr>
                <w:b/>
                <w:bCs/>
                <w:sz w:val="22"/>
                <w:szCs w:val="22"/>
              </w:rPr>
              <w:t>Respiratoire</w:t>
            </w:r>
            <w:proofErr w:type="spellEnd"/>
            <w:r w:rsidRPr="00345641">
              <w:rPr>
                <w:b/>
                <w:bCs/>
                <w:sz w:val="22"/>
                <w:szCs w:val="22"/>
              </w:rPr>
              <w:t xml:space="preserve"> </w:t>
            </w:r>
            <w:proofErr w:type="spellStart"/>
            <w:r w:rsidRPr="00345641">
              <w:rPr>
                <w:b/>
                <w:bCs/>
                <w:sz w:val="22"/>
                <w:szCs w:val="22"/>
              </w:rPr>
              <w:t>en</w:t>
            </w:r>
            <w:proofErr w:type="spellEnd"/>
            <w:r w:rsidRPr="00345641">
              <w:rPr>
                <w:b/>
                <w:bCs/>
                <w:sz w:val="22"/>
                <w:szCs w:val="22"/>
              </w:rPr>
              <w:t xml:space="preserve"> </w:t>
            </w:r>
            <w:proofErr w:type="spellStart"/>
            <w:r w:rsidRPr="00345641">
              <w:rPr>
                <w:b/>
                <w:bCs/>
                <w:sz w:val="22"/>
                <w:szCs w:val="22"/>
              </w:rPr>
              <w:t>Réanimation</w:t>
            </w:r>
            <w:proofErr w:type="spellEnd"/>
            <w:r w:rsidRPr="00345641">
              <w:rPr>
                <w:b/>
                <w:bCs/>
                <w:sz w:val="22"/>
                <w:szCs w:val="22"/>
              </w:rPr>
              <w:t xml:space="preserve"> </w:t>
            </w:r>
            <w:proofErr w:type="spellStart"/>
            <w:r w:rsidRPr="00345641">
              <w:rPr>
                <w:b/>
                <w:bCs/>
                <w:sz w:val="22"/>
                <w:szCs w:val="22"/>
              </w:rPr>
              <w:t>Onco-Hématologique</w:t>
            </w:r>
            <w:proofErr w:type="spellEnd"/>
            <w:r w:rsidRPr="00345641">
              <w:rPr>
                <w:b/>
                <w:bCs/>
                <w:sz w:val="22"/>
                <w:szCs w:val="22"/>
              </w:rPr>
              <w:t xml:space="preserve"> Study</w:t>
            </w:r>
            <w:r w:rsidR="00D21559">
              <w:rPr>
                <w:b/>
                <w:bCs/>
                <w:sz w:val="22"/>
                <w:szCs w:val="22"/>
              </w:rPr>
              <w:fldChar w:fldCharType="begin"/>
            </w:r>
            <w:r w:rsidR="00987282">
              <w:rPr>
                <w:b/>
                <w:bCs/>
                <w:sz w:val="22"/>
                <w:szCs w:val="22"/>
              </w:rPr>
              <w:instrText xml:space="preserve"> ADDIN ZOTERO_ITEM CSL_CITATION {"citationID":"jtAa3RO6","properties":{"formattedCitation":"(17)","plainCitation":"(17)","noteIndex":0},"citationItems":[{"id":496,"uris":["http://zotero.org/users/local/5K0ZcI7M/items/V2TQQZWR"],"itemData":{"id":496,"type":"article-journal","abstract":"OBJECTIVES: Cancer affects up to 20% of critically ill patients, and sepsis is one of the leading reasons for ICU admission in this setting. Early signals suggested that survival might be increasing in this population. However, confirmation studies have been lacking. The goal of this study was to assess trends in survival rates over time in cancer patients admitted to the ICU for sepsis or septic shock over the last 2 decades.\nDATA SOURCE: Seven European ICUs.\nSTUDY SELECTION: A hierarchical model taking into account the year of admission and the source dataset as random variables was used to identify risk factors for day 30 mortality.\nDATA EXTRACTION: Data from cancer patients admitted to ICUs for sepsis or septic shock were extracted from the Groupe de Recherche Respiratoire en Réanimation Onco-Hématologique database (1994-2015).\nDATA SYNTHESIS: Overall, 2,062 patients (62% men, median [interquartile range] age 59 yr [48-67 yr]) were included in the study. Underlying malignancies were solid tumors (n = 362; 17.6%) or hematologic malignancies (n = 1,700; 82.4%), including acute leukemia (n = 591; 28.7%), non-Hodgkin lymphoma (n = 461; 22.3%), and myeloma (n = 244; 11.8%). Two-hundred fifty patients (12%) underwent allogeneic hematopoietic stem cell transplantation and 640 (31.0%) were neutropenic at ICU admission. Day 30 mortality was 39.9% (823 deaths). The year of ICU admission was associated with significant decrease in day 30 mortality over time (odds ratio, 0.96; 95% CI, 0.93-0.98; p = 0.001). Mechanical ventilation (odds ratio, 3.25; 95% CI, 2.52-4.19; p &lt; 0.01) and vasopressors use (odds ratio, 1.42; 95% CI, 1.10-1.83; p &lt; 0.01) were independently associated with day 30 mortality, whereas underlying malignancy, allogeneic hematopoietic stem cell transplantation, and neutropenia were not.\nCONCLUSIONS: Survival in critically ill oncology and hematology patients with sepsis improved significantly over time. As outcomes improve, clinicians should consider updating admission policies and goals of care in this population.","container-title":"Critical Care Medicine","DOI":"10.1097/CCM.0000000000004322","ISSN":"1530-0293","issue":"6","journalAbbreviation":"Crit Care Med","language":"eng","note":"number: 6\nPMID: 32317596","page":"822-829","source":"PubMed","title":"Sepsis and Septic Shock in Patients With Malignancies: A Groupe de Recherche Respiratoire en Réanimation Onco-Hématologique Study","title-short":"Sepsis and Septic Shock in Patients With Malignancies","volume":"48","author":[{"family":"Lemiale","given":"Virginie"},{"family":"Pons","given":"Stéphanie"},{"family":"Mirouse","given":"Adrien"},{"family":"Tudesq","given":"Jean-Jacques"},{"family":"Hourmant","given":"Yannick"},{"family":"Mokart","given":"Djamel"},{"family":"Pène","given":"Frédéric"},{"family":"Kouatchet","given":"Achille"},{"family":"Mayaux","given":"Julien"},{"family":"Nyunga","given":"Martine"},{"family":"Bruneel","given":"Fabrice"},{"family":"Meert","given":"Anne-Pascale"},{"family":"Borcoman","given":"Edith"},{"family":"Bisbal","given":"Magali"},{"family":"Legrand","given":"Matthieu"},{"family":"Benoit","given":"Dominique"},{"family":"Azoulay","given":"Elie"},{"family":"Darmon","given":"Michaël"},{"family":"Zafrani","given":"Lara"}],"issued":{"date-parts":[["2020",6]]}}}],"schema":"https://github.com/citation-style-language/schema/raw/master/csl-citation.json"} </w:instrText>
            </w:r>
            <w:r w:rsidR="00D21559">
              <w:rPr>
                <w:b/>
                <w:bCs/>
                <w:sz w:val="22"/>
                <w:szCs w:val="22"/>
              </w:rPr>
              <w:fldChar w:fldCharType="separate"/>
            </w:r>
            <w:r w:rsidR="00987282">
              <w:rPr>
                <w:b/>
                <w:bCs/>
                <w:noProof/>
                <w:sz w:val="22"/>
                <w:szCs w:val="22"/>
              </w:rPr>
              <w:t>(17)</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 xml:space="preserve">V. </w:t>
            </w:r>
            <w:proofErr w:type="spellStart"/>
            <w:r w:rsidRPr="00345641">
              <w:rPr>
                <w:sz w:val="22"/>
                <w:szCs w:val="22"/>
              </w:rPr>
              <w:t>Lemiale</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2020</w:t>
            </w:r>
          </w:p>
        </w:tc>
        <w:tc>
          <w:tcPr>
            <w:tcW w:w="992" w:type="dxa"/>
          </w:tcPr>
          <w:p w:rsidR="00345641" w:rsidRPr="00345641" w:rsidRDefault="00345641" w:rsidP="006164BE">
            <w:pPr>
              <w:spacing w:line="278" w:lineRule="auto"/>
              <w:jc w:val="center"/>
              <w:rPr>
                <w:sz w:val="22"/>
                <w:szCs w:val="22"/>
              </w:rPr>
            </w:pPr>
            <w:r w:rsidRPr="00345641">
              <w:rPr>
                <w:sz w:val="22"/>
                <w:szCs w:val="22"/>
              </w:rPr>
              <w:t>20</w:t>
            </w:r>
          </w:p>
        </w:tc>
        <w:tc>
          <w:tcPr>
            <w:tcW w:w="2410" w:type="dxa"/>
          </w:tcPr>
          <w:p w:rsidR="00345641" w:rsidRPr="00345641" w:rsidRDefault="00345641" w:rsidP="006164BE">
            <w:pPr>
              <w:spacing w:line="278" w:lineRule="auto"/>
              <w:rPr>
                <w:sz w:val="22"/>
                <w:szCs w:val="22"/>
              </w:rPr>
            </w:pPr>
            <w:r w:rsidRPr="00345641">
              <w:rPr>
                <w:sz w:val="22"/>
                <w:szCs w:val="22"/>
              </w:rPr>
              <w:t xml:space="preserve">SaintLouis, Marseille, </w:t>
            </w:r>
            <w:proofErr w:type="spellStart"/>
            <w:r w:rsidRPr="00345641">
              <w:rPr>
                <w:sz w:val="22"/>
                <w:szCs w:val="22"/>
              </w:rPr>
              <w:t>Avicennes</w:t>
            </w:r>
            <w:proofErr w:type="spellEnd"/>
            <w:r w:rsidRPr="00345641">
              <w:rPr>
                <w:sz w:val="22"/>
                <w:szCs w:val="22"/>
              </w:rPr>
              <w:t xml:space="preserve">, IGR, Nantes, Cochin, Brest, Grenoble, Rouen, </w:t>
            </w:r>
            <w:proofErr w:type="spellStart"/>
            <w:r w:rsidRPr="00345641">
              <w:rPr>
                <w:sz w:val="22"/>
                <w:szCs w:val="22"/>
              </w:rPr>
              <w:t>Bruxelles</w:t>
            </w:r>
            <w:proofErr w:type="spellEnd"/>
            <w:r w:rsidRPr="00345641">
              <w:rPr>
                <w:sz w:val="22"/>
                <w:szCs w:val="22"/>
              </w:rPr>
              <w:t xml:space="preserve">, Versailles, Amiens, Caen, </w:t>
            </w:r>
            <w:proofErr w:type="spellStart"/>
            <w:r w:rsidRPr="00345641">
              <w:rPr>
                <w:sz w:val="22"/>
                <w:szCs w:val="22"/>
              </w:rPr>
              <w:t>LaRocheSurYon</w:t>
            </w:r>
            <w:proofErr w:type="spellEnd"/>
            <w:r w:rsidRPr="00345641">
              <w:rPr>
                <w:sz w:val="22"/>
                <w:szCs w:val="22"/>
              </w:rPr>
              <w:t xml:space="preserve">, Orleans, Gand, Lyon, Roubaix, </w:t>
            </w:r>
            <w:proofErr w:type="spellStart"/>
            <w:r w:rsidRPr="00345641">
              <w:rPr>
                <w:sz w:val="22"/>
                <w:szCs w:val="22"/>
              </w:rPr>
              <w:t>PitieSalpetriere</w:t>
            </w:r>
            <w:proofErr w:type="spellEnd"/>
            <w:r w:rsidRPr="00345641">
              <w:rPr>
                <w:sz w:val="22"/>
                <w:szCs w:val="22"/>
              </w:rPr>
              <w:t>, Angers</w:t>
            </w:r>
          </w:p>
        </w:tc>
        <w:tc>
          <w:tcPr>
            <w:tcW w:w="1179" w:type="dxa"/>
          </w:tcPr>
          <w:p w:rsidR="00345641" w:rsidRPr="00345641" w:rsidRDefault="00345641" w:rsidP="006164BE">
            <w:pPr>
              <w:spacing w:line="278" w:lineRule="auto"/>
              <w:jc w:val="center"/>
              <w:rPr>
                <w:sz w:val="22"/>
                <w:szCs w:val="22"/>
              </w:rPr>
            </w:pPr>
            <w:r w:rsidRPr="00345641">
              <w:rPr>
                <w:sz w:val="22"/>
                <w:szCs w:val="22"/>
              </w:rPr>
              <w:t>2005</w:t>
            </w:r>
          </w:p>
        </w:tc>
        <w:tc>
          <w:tcPr>
            <w:tcW w:w="1180" w:type="dxa"/>
          </w:tcPr>
          <w:p w:rsidR="00345641" w:rsidRPr="00345641" w:rsidRDefault="00345641" w:rsidP="006164BE">
            <w:pPr>
              <w:spacing w:line="278" w:lineRule="auto"/>
              <w:jc w:val="center"/>
              <w:rPr>
                <w:sz w:val="22"/>
                <w:szCs w:val="22"/>
              </w:rPr>
            </w:pPr>
            <w:r w:rsidRPr="00345641">
              <w:rPr>
                <w:sz w:val="22"/>
                <w:szCs w:val="22"/>
              </w:rPr>
              <w:t>2015</w:t>
            </w:r>
          </w:p>
        </w:tc>
        <w:tc>
          <w:tcPr>
            <w:tcW w:w="1180" w:type="dxa"/>
          </w:tcPr>
          <w:p w:rsidR="00345641" w:rsidRPr="00345641" w:rsidRDefault="00345641" w:rsidP="006164BE">
            <w:pPr>
              <w:spacing w:line="278" w:lineRule="auto"/>
              <w:jc w:val="center"/>
              <w:rPr>
                <w:sz w:val="22"/>
                <w:szCs w:val="22"/>
              </w:rPr>
            </w:pPr>
            <w:r w:rsidRPr="00345641">
              <w:rPr>
                <w:sz w:val="22"/>
                <w:szCs w:val="22"/>
              </w:rPr>
              <w:t>250</w:t>
            </w:r>
          </w:p>
        </w:tc>
        <w:tc>
          <w:tcPr>
            <w:tcW w:w="1180" w:type="dxa"/>
          </w:tcPr>
          <w:p w:rsidR="00345641" w:rsidRPr="00345641" w:rsidRDefault="00345641" w:rsidP="006164BE">
            <w:pPr>
              <w:spacing w:line="278" w:lineRule="auto"/>
              <w:jc w:val="center"/>
              <w:rPr>
                <w:sz w:val="22"/>
                <w:szCs w:val="22"/>
              </w:rPr>
            </w:pPr>
            <w:r w:rsidRPr="00345641">
              <w:rPr>
                <w:sz w:val="22"/>
                <w:szCs w:val="22"/>
              </w:rPr>
              <w:t>190</w:t>
            </w:r>
          </w:p>
        </w:tc>
        <w:tc>
          <w:tcPr>
            <w:tcW w:w="1180" w:type="dxa"/>
          </w:tcPr>
          <w:p w:rsidR="00345641" w:rsidRPr="00345641" w:rsidRDefault="00345641" w:rsidP="006164BE">
            <w:pPr>
              <w:spacing w:line="278" w:lineRule="auto"/>
              <w:jc w:val="center"/>
              <w:rPr>
                <w:sz w:val="22"/>
                <w:szCs w:val="22"/>
              </w:rPr>
            </w:pPr>
            <w:r w:rsidRPr="00345641">
              <w:rPr>
                <w:sz w:val="22"/>
                <w:szCs w:val="22"/>
              </w:rPr>
              <w:t>76</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Intensive care unit management of patients with newly diagnosed acute myeloid leukemia </w:t>
            </w:r>
            <w:r w:rsidRPr="00345641">
              <w:rPr>
                <w:b/>
                <w:bCs/>
                <w:sz w:val="22"/>
                <w:szCs w:val="22"/>
              </w:rPr>
              <w:lastRenderedPageBreak/>
              <w:t>with no organ failure</w:t>
            </w:r>
            <w:r w:rsidR="00D21559">
              <w:rPr>
                <w:b/>
                <w:bCs/>
                <w:sz w:val="22"/>
                <w:szCs w:val="22"/>
              </w:rPr>
              <w:fldChar w:fldCharType="begin"/>
            </w:r>
            <w:r w:rsidR="00987282">
              <w:rPr>
                <w:b/>
                <w:bCs/>
                <w:sz w:val="22"/>
                <w:szCs w:val="22"/>
              </w:rPr>
              <w:instrText xml:space="preserve"> ADDIN ZOTERO_ITEM CSL_CITATION {"citationID":"jI8fYnsL","properties":{"formattedCitation":"(18)","plainCitation":"(18)","noteIndex":0},"citationItems":[{"id":345,"uris":["http://zotero.org/users/local/5K0ZcI7M/items/T7L43CHT"],"itemData":{"id":345,"type":"article-journal","abstract":"Patients with acute myeloid leukemia (AML) may present with early complications from sepsis or leukemic infiltration. Benefits from early in-intensive care unit (ICU) hematological management was evaluated in 42 adults with newly diagnosed AML with hematological risk of early death (age 46 years, French-American-British [FAB] M4/5 58%, leukocytes 103 × 10(9)/L) first admitted to the ICU without immediate life support (early-ICU). Controls were 42 patients primarily admitted to hematology wards, matched for age, leukocytes and FAB subtype. Twenty (47.6%) control patients were subsequently admitted to the ICU (late-ICU). Late-ICU patients presented with increased respiratory and cardiac rates, decreased oxygen saturation (SpO(2)) and blood pressure, at hospital admission. Late-ICU admission resulted in increased use of mechanical ventilation (60% vs. 33%) and vasopressors (60% vs. 16%), longer ICU stay (9 [6-25] vs. 5 [2-9] days) and decreased ICU survival (65% vs. 79%). Direct admission to the ICU of patients with high-risk AML with physiological disturbances but no organ dysfunction is associated with improved outcomes.","container-title":"Leukemia &amp; Lymphoma","DOI":"10.3109/10428194.2011.649752","ISSN":"1029-2403","issue":"7","journalAbbreviation":"Leuk. Lymphoma","language":"eng","note":"number: 7\nPMID: 22233111","page":"1352-1359","source":"PubMed","title":"Intensive care unit management of patients with newly diagnosed acute myeloid leukemia with no organ failure","volume":"53","author":[{"family":"Lengliné","given":"Etienne"},{"family":"Raffoux","given":"Emmanuel"},{"family":"Lemiale","given":"Virginie"},{"family":"Darmon","given":"Michael"},{"family":"Canet","given":"Emmanuel"},{"family":"Boissel","given":"Nicolas"},{"family":"Schlemmer","given":"Benoît"},{"family":"Dombret","given":"Hervé"},{"family":"Azoulay","given":"Elie"}],"issued":{"date-parts":[["2012",7]]}}}],"schema":"https://github.com/citation-style-language/schema/raw/master/csl-citation.json"} </w:instrText>
            </w:r>
            <w:r w:rsidR="00D21559">
              <w:rPr>
                <w:b/>
                <w:bCs/>
                <w:sz w:val="22"/>
                <w:szCs w:val="22"/>
              </w:rPr>
              <w:fldChar w:fldCharType="separate"/>
            </w:r>
            <w:r w:rsidR="00987282">
              <w:rPr>
                <w:b/>
                <w:bCs/>
                <w:noProof/>
                <w:sz w:val="22"/>
                <w:szCs w:val="22"/>
              </w:rPr>
              <w:t>(18)</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lastRenderedPageBreak/>
              <w:t xml:space="preserve">E. </w:t>
            </w:r>
            <w:proofErr w:type="spellStart"/>
            <w:r w:rsidRPr="00345641">
              <w:rPr>
                <w:sz w:val="22"/>
                <w:szCs w:val="22"/>
              </w:rPr>
              <w:t>Lengliné</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2012</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SaintLouis</w:t>
            </w:r>
          </w:p>
        </w:tc>
        <w:tc>
          <w:tcPr>
            <w:tcW w:w="1179" w:type="dxa"/>
          </w:tcPr>
          <w:p w:rsidR="00345641" w:rsidRPr="00345641" w:rsidRDefault="00345641" w:rsidP="006164BE">
            <w:pPr>
              <w:spacing w:line="278" w:lineRule="auto"/>
              <w:jc w:val="center"/>
              <w:rPr>
                <w:sz w:val="22"/>
                <w:szCs w:val="22"/>
              </w:rPr>
            </w:pPr>
            <w:r w:rsidRPr="00345641">
              <w:rPr>
                <w:sz w:val="22"/>
                <w:szCs w:val="22"/>
              </w:rPr>
              <w:t>1998</w:t>
            </w:r>
          </w:p>
        </w:tc>
        <w:tc>
          <w:tcPr>
            <w:tcW w:w="1180" w:type="dxa"/>
          </w:tcPr>
          <w:p w:rsidR="00345641" w:rsidRPr="00345641" w:rsidRDefault="00345641" w:rsidP="006164BE">
            <w:pPr>
              <w:spacing w:line="278" w:lineRule="auto"/>
              <w:jc w:val="center"/>
              <w:rPr>
                <w:sz w:val="22"/>
                <w:szCs w:val="22"/>
              </w:rPr>
            </w:pPr>
            <w:r w:rsidRPr="00345641">
              <w:rPr>
                <w:sz w:val="22"/>
                <w:szCs w:val="22"/>
              </w:rPr>
              <w:t>2009</w:t>
            </w:r>
          </w:p>
        </w:tc>
        <w:tc>
          <w:tcPr>
            <w:tcW w:w="1180" w:type="dxa"/>
          </w:tcPr>
          <w:p w:rsidR="00345641" w:rsidRPr="00345641" w:rsidRDefault="00345641" w:rsidP="006164BE">
            <w:pPr>
              <w:spacing w:line="278" w:lineRule="auto"/>
              <w:jc w:val="center"/>
              <w:rPr>
                <w:sz w:val="22"/>
                <w:szCs w:val="22"/>
              </w:rPr>
            </w:pPr>
            <w:r w:rsidRPr="00345641">
              <w:rPr>
                <w:sz w:val="22"/>
                <w:szCs w:val="22"/>
              </w:rPr>
              <w:t>62</w:t>
            </w:r>
          </w:p>
        </w:tc>
        <w:tc>
          <w:tcPr>
            <w:tcW w:w="1180" w:type="dxa"/>
          </w:tcPr>
          <w:p w:rsidR="00345641" w:rsidRPr="00345641" w:rsidRDefault="00345641" w:rsidP="006164BE">
            <w:pPr>
              <w:spacing w:line="278" w:lineRule="auto"/>
              <w:jc w:val="center"/>
              <w:rPr>
                <w:sz w:val="22"/>
                <w:szCs w:val="22"/>
              </w:rPr>
            </w:pPr>
            <w:r w:rsidRPr="00345641">
              <w:rPr>
                <w:sz w:val="22"/>
                <w:szCs w:val="22"/>
              </w:rPr>
              <w:t>62</w:t>
            </w:r>
          </w:p>
        </w:tc>
        <w:tc>
          <w:tcPr>
            <w:tcW w:w="1180" w:type="dxa"/>
          </w:tcPr>
          <w:p w:rsidR="00345641" w:rsidRPr="00345641" w:rsidRDefault="00345641" w:rsidP="006164BE">
            <w:pPr>
              <w:spacing w:line="278" w:lineRule="auto"/>
              <w:jc w:val="center"/>
              <w:rPr>
                <w:sz w:val="22"/>
                <w:szCs w:val="22"/>
              </w:rPr>
            </w:pPr>
            <w:r w:rsidRPr="00345641">
              <w:rPr>
                <w:sz w:val="22"/>
                <w:szCs w:val="22"/>
              </w:rPr>
              <w:t>30</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Characteristics and outcomes of patients with cancer requiring admission to intensive care units: A prospective multicenter study</w:t>
            </w:r>
            <w:r w:rsidR="00D21559">
              <w:rPr>
                <w:b/>
                <w:bCs/>
                <w:sz w:val="22"/>
                <w:szCs w:val="22"/>
              </w:rPr>
              <w:fldChar w:fldCharType="begin"/>
            </w:r>
            <w:r w:rsidR="00987282">
              <w:rPr>
                <w:b/>
                <w:bCs/>
                <w:sz w:val="22"/>
                <w:szCs w:val="22"/>
              </w:rPr>
              <w:instrText xml:space="preserve"> ADDIN ZOTERO_ITEM CSL_CITATION {"citationID":"1Rmk3u37","properties":{"formattedCitation":"(19)","plainCitation":"(19)","noteIndex":0},"citationItems":[{"id":412,"uris":["http://zotero.org/users/local/5K0ZcI7M/items/XFITLTIR"],"itemData":{"id":412,"type":"article-journal","abstract":"OBJECTIVE: To evaluate the characteristics and outcomes of patients with cancer admitted to several intensive care units. Knowledge on patients with cancer requiring intensive care is mostly restricted to single-center studies.\nDESIGN: : Prospective, multicenter, cohort study.\nSETTING: Intensive care units from 28 hospitals in Brazil.\nPATIENTS: A total of 717 consecutive patients included over a 2-mo period.\nINTERVENTIONS: None.\nMEASUREMENTS AND MAIN RESULTS: There were 667 (93%) patients with solid tumors and 50 (7%) patients had hematologic malignancies. The main reasons for intensive care unit admission were postoperative care (57%), sepsis (15%), and respiratory failure (10%). Overall hospital mortality rate was 30% and was higher in patients admitted because of medical complications (58%) than in emergency (37%) and scheduled (11%) surgical patients (p &lt; .001). Adjusting for covariates other than the type of admission, the number of hospital days before intensive care unit admission (odds ratio [OR], 1.18; 95% confidence interval [CI], 1.01-1.37), higher Sequential Organ Failure Assessment scores (OR, 1.25; 95% CI, 1.17-1.34), poor performance status (OR, 3.40; 95% CI, 2.19 -5.26), the need for mechanical ventilation (OR, 2.42; 95% CI, 1.51-3.87), and active underlying malignancy in recurrence or progression (OR, 2.42; 95% CI, 1.51-3.87) were associated with increased hospital mortality in multivariate analysis.\nCONCLUSIONS: This large multicenter study reports encouraging survival rates for patients with cancer requiring intensive care. In these patients, mortality was mostly dependent on the severity of organ failures, performance status, and need for mechanical ventilation rather than cancer-related characteristics, such as the type of malignancy or the presence of neutropenia.","container-title":"Critical Care Medicine","DOI":"10.1097/CCM.0b013e3181c0349e","ISSN":"1530-0293","issue":"1","language":"eng","note":"number: 1\nPMID: 19829101","page":"9-15","source":"PubMed","title":"Characteristics and outcomes of patients with cancer requiring admission to intensive care units: a prospective multicenter study","title-short":"Characteristics and outcomes of patients with cancer requiring admission to intensive care units","volume":"38","author":[{"family":"Soares","given":"Márcio"},{"family":"Caruso","given":"Pedro"},{"family":"Silva","given":"Eliézer"},{"family":"Teles","given":"José M. M."},{"family":"Lobo","given":"Suzana M. A."},{"family":"Friedman","given":"Gilberto"},{"family":"Dal Pizzol","given":"Felipe"},{"family":"Mello","given":"Patricia V. C."},{"family":"Bozza","given":"Fernando A."},{"family":"Silva","given":"Ulisses V. A."},{"family":"Torelly","given":"André P."},{"family":"Knibel","given":"Marcos F."},{"family":"Rezende","given":"Ederlon"},{"family":"Netto","given":"José J."},{"family":"Piras","given":"Claudio"},{"family":"Castro","given":"Aline"},{"family":"Ferreira","given":"Bruno S."},{"family":"Réa-Neto","given":"Alvaro"},{"family":"Olmedo","given":"Patrícia B."},{"family":"Salluh","given":"Jorge I. F."},{"literal":"Brazilian Research in Intensive Care Network (BRICNet)"}],"issued":{"date-parts":[["2010",1]]}}}],"schema":"https://github.com/citation-style-language/schema/raw/master/csl-citation.json"} </w:instrText>
            </w:r>
            <w:r w:rsidR="00D21559">
              <w:rPr>
                <w:b/>
                <w:bCs/>
                <w:sz w:val="22"/>
                <w:szCs w:val="22"/>
              </w:rPr>
              <w:fldChar w:fldCharType="separate"/>
            </w:r>
            <w:r w:rsidR="00987282">
              <w:rPr>
                <w:b/>
                <w:bCs/>
                <w:noProof/>
                <w:sz w:val="22"/>
                <w:szCs w:val="22"/>
              </w:rPr>
              <w:t>(19)</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Soares</w:t>
            </w:r>
          </w:p>
        </w:tc>
        <w:tc>
          <w:tcPr>
            <w:tcW w:w="1134" w:type="dxa"/>
          </w:tcPr>
          <w:p w:rsidR="00345641" w:rsidRPr="00345641" w:rsidRDefault="00345641" w:rsidP="006164BE">
            <w:pPr>
              <w:spacing w:line="278" w:lineRule="auto"/>
              <w:jc w:val="center"/>
              <w:rPr>
                <w:sz w:val="22"/>
                <w:szCs w:val="22"/>
              </w:rPr>
            </w:pPr>
            <w:r w:rsidRPr="00345641">
              <w:rPr>
                <w:sz w:val="22"/>
                <w:szCs w:val="22"/>
              </w:rPr>
              <w:t>2010</w:t>
            </w:r>
          </w:p>
        </w:tc>
        <w:tc>
          <w:tcPr>
            <w:tcW w:w="992" w:type="dxa"/>
          </w:tcPr>
          <w:p w:rsidR="00345641" w:rsidRPr="00345641" w:rsidRDefault="00345641" w:rsidP="006164BE">
            <w:pPr>
              <w:spacing w:line="278" w:lineRule="auto"/>
              <w:jc w:val="center"/>
              <w:rPr>
                <w:sz w:val="22"/>
                <w:szCs w:val="22"/>
              </w:rPr>
            </w:pPr>
            <w:r w:rsidRPr="00345641">
              <w:rPr>
                <w:sz w:val="22"/>
                <w:szCs w:val="22"/>
              </w:rPr>
              <w:t>NA</w:t>
            </w:r>
          </w:p>
        </w:tc>
        <w:tc>
          <w:tcPr>
            <w:tcW w:w="2410" w:type="dxa"/>
          </w:tcPr>
          <w:p w:rsidR="00345641" w:rsidRPr="00345641" w:rsidRDefault="00345641" w:rsidP="006164BE">
            <w:pPr>
              <w:spacing w:line="278" w:lineRule="auto"/>
              <w:rPr>
                <w:sz w:val="22"/>
                <w:szCs w:val="22"/>
              </w:rPr>
            </w:pPr>
            <w:r w:rsidRPr="00345641">
              <w:rPr>
                <w:sz w:val="22"/>
                <w:szCs w:val="22"/>
              </w:rPr>
              <w:t>NA</w:t>
            </w:r>
          </w:p>
        </w:tc>
        <w:tc>
          <w:tcPr>
            <w:tcW w:w="1179" w:type="dxa"/>
          </w:tcPr>
          <w:p w:rsidR="00345641" w:rsidRPr="00345641" w:rsidRDefault="00345641" w:rsidP="006164BE">
            <w:pPr>
              <w:spacing w:line="278" w:lineRule="auto"/>
              <w:jc w:val="center"/>
              <w:rPr>
                <w:sz w:val="22"/>
                <w:szCs w:val="22"/>
              </w:rPr>
            </w:pPr>
            <w:r w:rsidRPr="00345641">
              <w:rPr>
                <w:sz w:val="22"/>
                <w:szCs w:val="22"/>
              </w:rPr>
              <w:t>2007</w:t>
            </w:r>
          </w:p>
        </w:tc>
        <w:tc>
          <w:tcPr>
            <w:tcW w:w="1180" w:type="dxa"/>
          </w:tcPr>
          <w:p w:rsidR="00345641" w:rsidRPr="00345641" w:rsidRDefault="00345641" w:rsidP="006164BE">
            <w:pPr>
              <w:spacing w:line="278" w:lineRule="auto"/>
              <w:jc w:val="center"/>
              <w:rPr>
                <w:sz w:val="22"/>
                <w:szCs w:val="22"/>
              </w:rPr>
            </w:pPr>
            <w:r w:rsidRPr="00345641">
              <w:rPr>
                <w:sz w:val="22"/>
                <w:szCs w:val="22"/>
              </w:rPr>
              <w:t>2007</w:t>
            </w:r>
          </w:p>
        </w:tc>
        <w:tc>
          <w:tcPr>
            <w:tcW w:w="1180" w:type="dxa"/>
          </w:tcPr>
          <w:p w:rsidR="00345641" w:rsidRPr="00345641" w:rsidRDefault="00345641" w:rsidP="006164BE">
            <w:pPr>
              <w:spacing w:line="278" w:lineRule="auto"/>
              <w:jc w:val="center"/>
              <w:rPr>
                <w:sz w:val="22"/>
                <w:szCs w:val="22"/>
              </w:rPr>
            </w:pPr>
            <w:r w:rsidRPr="00345641">
              <w:rPr>
                <w:sz w:val="22"/>
                <w:szCs w:val="22"/>
              </w:rPr>
              <w:t>13</w:t>
            </w:r>
          </w:p>
        </w:tc>
        <w:tc>
          <w:tcPr>
            <w:tcW w:w="1180" w:type="dxa"/>
          </w:tcPr>
          <w:p w:rsidR="00345641" w:rsidRPr="00345641" w:rsidRDefault="00345641" w:rsidP="006164BE">
            <w:pPr>
              <w:spacing w:line="278" w:lineRule="auto"/>
              <w:jc w:val="center"/>
              <w:rPr>
                <w:sz w:val="22"/>
                <w:szCs w:val="22"/>
              </w:rPr>
            </w:pPr>
            <w:r w:rsidRPr="00345641">
              <w:rPr>
                <w:sz w:val="22"/>
                <w:szCs w:val="22"/>
              </w:rPr>
              <w:t>10</w:t>
            </w:r>
          </w:p>
        </w:tc>
        <w:tc>
          <w:tcPr>
            <w:tcW w:w="1180" w:type="dxa"/>
          </w:tcPr>
          <w:p w:rsidR="00345641" w:rsidRPr="00345641" w:rsidRDefault="00345641" w:rsidP="006164BE">
            <w:pPr>
              <w:spacing w:line="278" w:lineRule="auto"/>
              <w:jc w:val="center"/>
              <w:rPr>
                <w:sz w:val="22"/>
                <w:szCs w:val="22"/>
              </w:rPr>
            </w:pPr>
            <w:r w:rsidRPr="00345641">
              <w:rPr>
                <w:sz w:val="22"/>
                <w:szCs w:val="22"/>
              </w:rPr>
              <w:t>8</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Outcomes in Critically Ill Patients with Cancer-Related Complications</w:t>
            </w:r>
            <w:r w:rsidR="00D21559">
              <w:rPr>
                <w:b/>
                <w:bCs/>
                <w:sz w:val="22"/>
                <w:szCs w:val="22"/>
              </w:rPr>
              <w:fldChar w:fldCharType="begin"/>
            </w:r>
            <w:r w:rsidR="00987282">
              <w:rPr>
                <w:b/>
                <w:bCs/>
                <w:sz w:val="22"/>
                <w:szCs w:val="22"/>
              </w:rPr>
              <w:instrText xml:space="preserve"> ADDIN ZOTERO_ITEM CSL_CITATION {"citationID":"pXU4g8LW","properties":{"formattedCitation":"(20)","plainCitation":"(20)","noteIndex":0},"citationItems":[{"id":414,"uris":["http://zotero.org/users/local/5K0ZcI7M/items/8T5RW5YC"],"itemData":{"id":414,"type":"article-journal","abstract":"INTRODUCTION: Cancer patients are at risk for severe complications related to the underlying malignancy or its treatment and, therefore, usually require admission to intensive care units (ICU). Here, we evaluated the clinical characteristics and outcomes in this subgroup of patients.\nMATERIALS AND METHODS: Secondary analysis of two prospective cohorts of cancer patients admitted to ICUs. We used multivariable logistic regression to identify variables associated with hospital mortality.\nRESULTS: Out of 2,028 patients, 456 (23%) had cancer-related complications. Compared to those without cancer-related complications, they more frequently had worse performance status (PS) (57% vs 36% with PS≥2), active malignancy (95% vs 58%), need for vasopressors (45% vs 34%), mechanical ventilation (70% vs 51%) and dialysis (12% vs 8%) (P&lt;0.001 for all analyses). ICU (47% vs. 27%) and hospital (63% vs. 38%) mortality rates were also higher in patients with cancer-related complications (P&lt;0.001). Chemo/radiation therapy-induced toxicity (6%), venous thromboembolism (5%), respiratory failure (4%), gastrointestinal involvement (3%) and vena cava syndrome (VCS) (2%) were the most frequent cancer-related complications. In multivariable analysis, the presence of cancer-related complications per se was not associated with mortality [odds ratio (OR) = 1.25 (95% confidence interval, 0.94-1.66), P = 0.131]. However, among the individual cancer-related complications, VCS [OR = 3.79 (1.11-12.92), P = 0.033], gastrointestinal involvement [OR = 3.05 (1.57-5.91), P = &lt;0.001] and respiratory failure [OR = 1.96(1.04-3.71), P = 0.038] were independently associated with in-hospital mortality.\nCONCLUSIONS: The prognostic impact of cancer-related complications was variable. Although some complications were associated with worse outcomes, the presence of an acute cancer-related complication per se should not guide decisions to admit a patient to ICU.","container-title":"PloS One","DOI":"10.1371/journal.pone.0164537","ISSN":"1932-6203","issue":"10","language":"eng","note":"number: 10\nPMID: 27764143\nPMCID: PMC5072702","page":"e0164537","source":"PubMed","title":"Outcomes in Critically Ill Patients with Cancer-Related Complications","volume":"11","author":[{"family":"Torres","given":"Viviane B. L."},{"family":"Vassalo","given":"Juliana"},{"family":"Silva","given":"Ulysses V. A."},{"family":"Caruso","given":"Pedro"},{"family":"Torelly","given":"André P."},{"family":"Silva","given":"Eliezer"},{"family":"Teles","given":"José M. M."},{"family":"Knibel","given":"Marcos"},{"family":"Rezende","given":"Ederlon"},{"family":"Netto","given":"José J. S."},{"family":"Piras","given":"Claudio"},{"family":"Azevedo","given":"Luciano C. P."},{"family":"Bozza","given":"Fernando A."},{"family":"Spector","given":"Nelson"},{"family":"Salluh","given":"Jorge I. F."},{"family":"Soares","given":"Marcio"}],"issued":{"date-parts":[["2016"]]}}}],"schema":"https://github.com/citation-style-language/schema/raw/master/csl-citation.json"} </w:instrText>
            </w:r>
            <w:r w:rsidR="00D21559">
              <w:rPr>
                <w:b/>
                <w:bCs/>
                <w:sz w:val="22"/>
                <w:szCs w:val="22"/>
              </w:rPr>
              <w:fldChar w:fldCharType="separate"/>
            </w:r>
            <w:r w:rsidR="00987282">
              <w:rPr>
                <w:b/>
                <w:bCs/>
                <w:noProof/>
                <w:sz w:val="22"/>
                <w:szCs w:val="22"/>
              </w:rPr>
              <w:t>(20)</w:t>
            </w:r>
            <w:r w:rsidR="00D21559">
              <w:rPr>
                <w:b/>
                <w:bCs/>
                <w:sz w:val="22"/>
                <w:szCs w:val="22"/>
              </w:rPr>
              <w:fldChar w:fldCharType="end"/>
            </w:r>
          </w:p>
        </w:tc>
        <w:tc>
          <w:tcPr>
            <w:tcW w:w="1601" w:type="dxa"/>
          </w:tcPr>
          <w:p w:rsidR="00345641" w:rsidRPr="00345641" w:rsidRDefault="00345641" w:rsidP="006164BE">
            <w:pPr>
              <w:spacing w:line="278" w:lineRule="auto"/>
              <w:jc w:val="left"/>
              <w:rPr>
                <w:sz w:val="22"/>
                <w:szCs w:val="22"/>
              </w:rPr>
            </w:pPr>
            <w:r w:rsidRPr="00345641">
              <w:rPr>
                <w:sz w:val="22"/>
                <w:szCs w:val="22"/>
              </w:rPr>
              <w:t>V. Torres</w:t>
            </w:r>
          </w:p>
        </w:tc>
        <w:tc>
          <w:tcPr>
            <w:tcW w:w="1134" w:type="dxa"/>
          </w:tcPr>
          <w:p w:rsidR="00345641" w:rsidRPr="00345641" w:rsidRDefault="00345641" w:rsidP="006164BE">
            <w:pPr>
              <w:spacing w:line="278" w:lineRule="auto"/>
              <w:jc w:val="center"/>
              <w:rPr>
                <w:sz w:val="22"/>
                <w:szCs w:val="22"/>
              </w:rPr>
            </w:pPr>
            <w:r w:rsidRPr="00345641">
              <w:rPr>
                <w:sz w:val="22"/>
                <w:szCs w:val="22"/>
              </w:rPr>
              <w:t>2016</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Rio</w:t>
            </w:r>
          </w:p>
        </w:tc>
        <w:tc>
          <w:tcPr>
            <w:tcW w:w="1179" w:type="dxa"/>
          </w:tcPr>
          <w:p w:rsidR="00345641" w:rsidRPr="00345641" w:rsidRDefault="00345641" w:rsidP="006164BE">
            <w:pPr>
              <w:spacing w:line="278" w:lineRule="auto"/>
              <w:jc w:val="center"/>
              <w:rPr>
                <w:sz w:val="22"/>
                <w:szCs w:val="22"/>
              </w:rPr>
            </w:pPr>
            <w:r w:rsidRPr="00345641">
              <w:rPr>
                <w:sz w:val="22"/>
                <w:szCs w:val="22"/>
              </w:rPr>
              <w:t>1999</w:t>
            </w:r>
          </w:p>
        </w:tc>
        <w:tc>
          <w:tcPr>
            <w:tcW w:w="1180" w:type="dxa"/>
          </w:tcPr>
          <w:p w:rsidR="00345641" w:rsidRPr="00345641" w:rsidRDefault="00345641" w:rsidP="006164BE">
            <w:pPr>
              <w:spacing w:line="278" w:lineRule="auto"/>
              <w:jc w:val="center"/>
              <w:rPr>
                <w:sz w:val="22"/>
                <w:szCs w:val="22"/>
              </w:rPr>
            </w:pPr>
            <w:r w:rsidRPr="00345641">
              <w:rPr>
                <w:sz w:val="22"/>
                <w:szCs w:val="22"/>
              </w:rPr>
              <w:t>2007</w:t>
            </w:r>
          </w:p>
        </w:tc>
        <w:tc>
          <w:tcPr>
            <w:tcW w:w="1180" w:type="dxa"/>
          </w:tcPr>
          <w:p w:rsidR="00345641" w:rsidRPr="00345641" w:rsidRDefault="00345641" w:rsidP="006164BE">
            <w:pPr>
              <w:spacing w:line="278" w:lineRule="auto"/>
              <w:jc w:val="center"/>
              <w:rPr>
                <w:sz w:val="22"/>
                <w:szCs w:val="22"/>
              </w:rPr>
            </w:pPr>
            <w:r w:rsidRPr="00345641">
              <w:rPr>
                <w:sz w:val="22"/>
                <w:szCs w:val="22"/>
              </w:rPr>
              <w:t>42</w:t>
            </w:r>
          </w:p>
        </w:tc>
        <w:tc>
          <w:tcPr>
            <w:tcW w:w="1180" w:type="dxa"/>
          </w:tcPr>
          <w:p w:rsidR="00345641" w:rsidRPr="00345641" w:rsidRDefault="00345641" w:rsidP="006164BE">
            <w:pPr>
              <w:spacing w:line="278" w:lineRule="auto"/>
              <w:jc w:val="center"/>
              <w:rPr>
                <w:sz w:val="22"/>
                <w:szCs w:val="22"/>
              </w:rPr>
            </w:pPr>
            <w:r w:rsidRPr="00345641">
              <w:rPr>
                <w:sz w:val="22"/>
                <w:szCs w:val="22"/>
              </w:rPr>
              <w:t>41</w:t>
            </w:r>
          </w:p>
        </w:tc>
        <w:tc>
          <w:tcPr>
            <w:tcW w:w="1180" w:type="dxa"/>
          </w:tcPr>
          <w:p w:rsidR="00345641" w:rsidRPr="00345641" w:rsidRDefault="00345641" w:rsidP="006164BE">
            <w:pPr>
              <w:spacing w:line="278" w:lineRule="auto"/>
              <w:jc w:val="center"/>
              <w:rPr>
                <w:sz w:val="22"/>
                <w:szCs w:val="22"/>
              </w:rPr>
            </w:pPr>
            <w:r w:rsidRPr="00345641">
              <w:rPr>
                <w:sz w:val="22"/>
                <w:szCs w:val="22"/>
              </w:rPr>
              <w:t>28</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Hematologic malignancies in the medical intensive care unit – Outcomes and prognostic factors</w:t>
            </w:r>
            <w:r w:rsidR="00D21559">
              <w:rPr>
                <w:b/>
                <w:bCs/>
                <w:sz w:val="22"/>
                <w:szCs w:val="22"/>
              </w:rPr>
              <w:fldChar w:fldCharType="begin"/>
            </w:r>
            <w:r w:rsidR="00987282">
              <w:rPr>
                <w:b/>
                <w:bCs/>
                <w:sz w:val="22"/>
                <w:szCs w:val="22"/>
              </w:rPr>
              <w:instrText xml:space="preserve"> ADDIN ZOTERO_ITEM CSL_CITATION {"citationID":"z1ndKSI8","properties":{"formattedCitation":"(21)","plainCitation":"(21)","noteIndex":0},"citationItems":[{"id":2507,"uris":["http://zotero.org/users/local/5K0ZcI7M/items/PFG63L99"],"itemData":{"id":2507,"type":"article-journal","abstract":"Objectives To analyze clinical characteristics, treatment, outcomes of critically ill patients with hematologic malignancies (HM) admitted to the medical intensive care unit (ICU) and to identify predictors of adverse outcome. Methods We analyzed prospectively 170 patients. Data included: demographic characteristics, hematologic diagnosis, reasons for ICU admission, transplant status, the presence of neutropenia, acute physiology and chronic health evaluation-II and sequential organ failure assessment scores, and level of organ support. Predictors of ICU mortality were evaluated using univariate and multivariate analysis. Results In total, 73% of patients had high-grade malignancy, 47.6% received intensive chemotherapy before admission, and 30% underwent hematologic stem cell transplantation procedure. In total, 116 (68.2%) of patients were mechanically ventilated; 88 (51.8%) required invasive mechanical ventilation (MV). Non-invasive ventilation started in 28 (16.5%) patients and was successful in 11 (6.5%). The ICU mortality rate was 53.5%, and the mortality of MV patients was 75.9%. Need for vasopressors at admission and MV were identified as independent predictors of fatal outcome. Conclusion The ICU mortality of critically ill patients with HM is high, particularly in the group of MV. Need for vasopressors at admission and MV were independent predictors of ICU mortality. Majority of patients required invasive MV due to severe respiratory failure and non-invasive MV was sufficient only in small number of cases with favorable outcome.","container-title":"Hematology (Amsterdam, Netherlands)","DOI":"10.1179/1607845414Y.0000000206","ISSN":"1607-8454","issue":"5","journalAbbreviation":"Hematology","language":"eng","note":"PMID: 25310461","page":"247-253","source":"PubMed","title":"Hematologic malignancies in the medical intensive care unit--Outcomes and prognostic factors","volume":"20","author":[{"family":"Grgić Medić","given":"Marijana"},{"family":"Gornik","given":"Ivan"},{"family":"Gašparović","given":"Vladimir"}],"issued":{"date-parts":[["2015",6]]}}}],"schema":"https://github.com/citation-style-language/schema/raw/master/csl-citation.json"} </w:instrText>
            </w:r>
            <w:r w:rsidR="00D21559">
              <w:rPr>
                <w:b/>
                <w:bCs/>
                <w:sz w:val="22"/>
                <w:szCs w:val="22"/>
              </w:rPr>
              <w:fldChar w:fldCharType="separate"/>
            </w:r>
            <w:r w:rsidR="00987282">
              <w:rPr>
                <w:b/>
                <w:bCs/>
                <w:noProof/>
                <w:sz w:val="22"/>
                <w:szCs w:val="22"/>
              </w:rPr>
              <w:t>(21)</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Grgic Medic</w:t>
            </w:r>
          </w:p>
        </w:tc>
        <w:tc>
          <w:tcPr>
            <w:tcW w:w="1134" w:type="dxa"/>
          </w:tcPr>
          <w:p w:rsidR="00345641" w:rsidRPr="00345641" w:rsidRDefault="00345641" w:rsidP="006164BE">
            <w:pPr>
              <w:spacing w:line="278" w:lineRule="auto"/>
              <w:jc w:val="center"/>
              <w:rPr>
                <w:sz w:val="22"/>
                <w:szCs w:val="22"/>
              </w:rPr>
            </w:pPr>
            <w:r w:rsidRPr="00345641">
              <w:rPr>
                <w:sz w:val="22"/>
                <w:szCs w:val="22"/>
              </w:rPr>
              <w:t>2015</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Zagreb</w:t>
            </w:r>
          </w:p>
        </w:tc>
        <w:tc>
          <w:tcPr>
            <w:tcW w:w="1179" w:type="dxa"/>
          </w:tcPr>
          <w:p w:rsidR="00345641" w:rsidRPr="00345641" w:rsidRDefault="00345641" w:rsidP="006164BE">
            <w:pPr>
              <w:spacing w:line="278" w:lineRule="auto"/>
              <w:jc w:val="center"/>
              <w:rPr>
                <w:sz w:val="22"/>
                <w:szCs w:val="22"/>
              </w:rPr>
            </w:pPr>
            <w:r w:rsidRPr="00345641">
              <w:rPr>
                <w:sz w:val="22"/>
                <w:szCs w:val="22"/>
              </w:rPr>
              <w:t>2011</w:t>
            </w:r>
          </w:p>
        </w:tc>
        <w:tc>
          <w:tcPr>
            <w:tcW w:w="1180" w:type="dxa"/>
          </w:tcPr>
          <w:p w:rsidR="00345641" w:rsidRPr="00345641" w:rsidRDefault="00345641" w:rsidP="006164BE">
            <w:pPr>
              <w:spacing w:line="278" w:lineRule="auto"/>
              <w:jc w:val="center"/>
              <w:rPr>
                <w:sz w:val="22"/>
                <w:szCs w:val="22"/>
              </w:rPr>
            </w:pPr>
            <w:r w:rsidRPr="00345641">
              <w:rPr>
                <w:sz w:val="22"/>
                <w:szCs w:val="22"/>
              </w:rPr>
              <w:t>2013</w:t>
            </w:r>
          </w:p>
        </w:tc>
        <w:tc>
          <w:tcPr>
            <w:tcW w:w="1180" w:type="dxa"/>
          </w:tcPr>
          <w:p w:rsidR="00345641" w:rsidRPr="00345641" w:rsidRDefault="00345641" w:rsidP="006164BE">
            <w:pPr>
              <w:spacing w:line="278" w:lineRule="auto"/>
              <w:jc w:val="center"/>
              <w:rPr>
                <w:sz w:val="22"/>
                <w:szCs w:val="22"/>
              </w:rPr>
            </w:pPr>
            <w:r w:rsidRPr="00345641">
              <w:rPr>
                <w:sz w:val="22"/>
                <w:szCs w:val="22"/>
              </w:rPr>
              <w:t>165</w:t>
            </w:r>
          </w:p>
        </w:tc>
        <w:tc>
          <w:tcPr>
            <w:tcW w:w="1180" w:type="dxa"/>
          </w:tcPr>
          <w:p w:rsidR="00345641" w:rsidRPr="00345641" w:rsidRDefault="00345641" w:rsidP="006164BE">
            <w:pPr>
              <w:spacing w:line="278" w:lineRule="auto"/>
              <w:jc w:val="center"/>
              <w:rPr>
                <w:sz w:val="22"/>
                <w:szCs w:val="22"/>
              </w:rPr>
            </w:pPr>
            <w:r w:rsidRPr="00345641">
              <w:rPr>
                <w:sz w:val="22"/>
                <w:szCs w:val="22"/>
              </w:rPr>
              <w:t>130</w:t>
            </w:r>
          </w:p>
        </w:tc>
        <w:tc>
          <w:tcPr>
            <w:tcW w:w="1180" w:type="dxa"/>
          </w:tcPr>
          <w:p w:rsidR="00345641" w:rsidRPr="00345641" w:rsidRDefault="00345641" w:rsidP="006164BE">
            <w:pPr>
              <w:spacing w:line="278" w:lineRule="auto"/>
              <w:jc w:val="center"/>
              <w:rPr>
                <w:sz w:val="22"/>
                <w:szCs w:val="22"/>
              </w:rPr>
            </w:pPr>
            <w:r w:rsidRPr="00345641">
              <w:rPr>
                <w:sz w:val="22"/>
                <w:szCs w:val="22"/>
              </w:rPr>
              <w:t>91</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ICU and 6-month outcome of oncology patients in the intensive care unit</w:t>
            </w:r>
            <w:r w:rsidR="00D21559">
              <w:rPr>
                <w:b/>
                <w:bCs/>
                <w:sz w:val="22"/>
                <w:szCs w:val="22"/>
              </w:rPr>
              <w:fldChar w:fldCharType="begin"/>
            </w:r>
            <w:r w:rsidR="00987282">
              <w:rPr>
                <w:b/>
                <w:bCs/>
                <w:sz w:val="22"/>
                <w:szCs w:val="22"/>
              </w:rPr>
              <w:instrText xml:space="preserve"> ADDIN ZOTERO_ITEM CSL_CITATION {"citationID":"3RAH917V","properties":{"formattedCitation":"(22)","plainCitation":"(22)","noteIndex":0},"citationItems":[{"id":2463,"uris":["http://zotero.org/users/local/5K0ZcI7M/items/UCS5AQTR"],"itemData":{"id":2463,"type":"article-journal","abstract":"BACKGROUND: Advances in oncological care have led to improved short- and long-term prognosis of cancer patients but admission to the intensive care unit (ICU) remains controversial.\nAIM: The objective was to assess the outcome of patients with haematological malignancies and solid tumours admitted to the ICU as emergencies, and to identify risk factors for mortality.\nDESIGN AND METHODS: Retrospective and prospective analysis of 185 cancer patients admitted to the ICU at Guy's Hospital (259 admissions), a large tertiary referral oncology centre between February 2004 and July 2008.\nRESULTS: One hundred and fifteen patients had haematological malignancies of whom 30.4% died in ICU. Seventy patients had solid tumours. ICU mortality was 27.1%. Fifty-four patients had &gt;1 admission to ICU. ICU survivors had significantly lower acute physiology and chronic health evaluation II scores and less failed organ systems on admission to ICU and less organ failure during stay in the ICU. Neutropenia, sepsis and re-admission were not associated with an increased mortality. Six-month mortality rates for patients with haematological malignancies and solid tumours were 73 and 78.6%, respectively.\nCONCLUSION: Short-term outcome of critically ill cancer patients in ICU is better than previously reported. The decision to admit cancer patients to ICU should depend on the severity of the acute illness rather than factors related to the malignancy. In appropriate patients, invasive organ support and re-admission should not be withheld.","container-title":"QJM: monthly journal of the Association of Physicians","DOI":"10.1093/qjmed/hcq032","ISSN":"1460-2393","issue":"6","journalAbbreviation":"QJM","language":"eng","note":"PMID: 20231238","page":"397-403","source":"PubMed","title":"ICU and 6-month outcome of oncology patients in the intensive care unit","volume":"103","author":[{"family":"McGrath","given":"S."},{"family":"Chatterjee","given":"F."},{"family":"Whiteley","given":"C."},{"family":"Ostermann","given":"M."}],"issued":{"date-parts":[["2010",6]]}}}],"schema":"https://github.com/citation-style-language/schema/raw/master/csl-citation.json"} </w:instrText>
            </w:r>
            <w:r w:rsidR="00D21559">
              <w:rPr>
                <w:b/>
                <w:bCs/>
                <w:sz w:val="22"/>
                <w:szCs w:val="22"/>
              </w:rPr>
              <w:fldChar w:fldCharType="separate"/>
            </w:r>
            <w:r w:rsidR="00987282">
              <w:rPr>
                <w:b/>
                <w:bCs/>
                <w:noProof/>
                <w:sz w:val="22"/>
                <w:szCs w:val="22"/>
              </w:rPr>
              <w:t>(22)</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S. McGrath</w:t>
            </w:r>
          </w:p>
        </w:tc>
        <w:tc>
          <w:tcPr>
            <w:tcW w:w="1134" w:type="dxa"/>
          </w:tcPr>
          <w:p w:rsidR="00345641" w:rsidRPr="00345641" w:rsidRDefault="00345641" w:rsidP="006164BE">
            <w:pPr>
              <w:spacing w:line="278" w:lineRule="auto"/>
              <w:jc w:val="center"/>
              <w:rPr>
                <w:sz w:val="22"/>
                <w:szCs w:val="22"/>
              </w:rPr>
            </w:pPr>
            <w:r w:rsidRPr="00345641">
              <w:rPr>
                <w:sz w:val="22"/>
                <w:szCs w:val="22"/>
              </w:rPr>
              <w:t>2010</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proofErr w:type="spellStart"/>
            <w:r w:rsidRPr="00345641">
              <w:rPr>
                <w:sz w:val="22"/>
                <w:szCs w:val="22"/>
              </w:rPr>
              <w:t>GuysStThomas</w:t>
            </w:r>
            <w:proofErr w:type="spellEnd"/>
          </w:p>
        </w:tc>
        <w:tc>
          <w:tcPr>
            <w:tcW w:w="1179" w:type="dxa"/>
          </w:tcPr>
          <w:p w:rsidR="00345641" w:rsidRPr="00345641" w:rsidRDefault="00345641" w:rsidP="006164BE">
            <w:pPr>
              <w:spacing w:line="278" w:lineRule="auto"/>
              <w:jc w:val="center"/>
              <w:rPr>
                <w:sz w:val="22"/>
                <w:szCs w:val="22"/>
              </w:rPr>
            </w:pPr>
            <w:r w:rsidRPr="00345641">
              <w:rPr>
                <w:sz w:val="22"/>
                <w:szCs w:val="22"/>
              </w:rPr>
              <w:t>2004</w:t>
            </w:r>
          </w:p>
        </w:tc>
        <w:tc>
          <w:tcPr>
            <w:tcW w:w="1180" w:type="dxa"/>
          </w:tcPr>
          <w:p w:rsidR="00345641" w:rsidRPr="00345641" w:rsidRDefault="00345641" w:rsidP="006164BE">
            <w:pPr>
              <w:spacing w:line="278" w:lineRule="auto"/>
              <w:jc w:val="center"/>
              <w:rPr>
                <w:sz w:val="22"/>
                <w:szCs w:val="22"/>
              </w:rPr>
            </w:pPr>
            <w:r w:rsidRPr="00345641">
              <w:rPr>
                <w:sz w:val="22"/>
                <w:szCs w:val="22"/>
              </w:rPr>
              <w:t>2008</w:t>
            </w:r>
          </w:p>
        </w:tc>
        <w:tc>
          <w:tcPr>
            <w:tcW w:w="1180" w:type="dxa"/>
          </w:tcPr>
          <w:p w:rsidR="00345641" w:rsidRPr="00345641" w:rsidRDefault="00345641" w:rsidP="006164BE">
            <w:pPr>
              <w:spacing w:line="278" w:lineRule="auto"/>
              <w:jc w:val="center"/>
              <w:rPr>
                <w:sz w:val="22"/>
                <w:szCs w:val="22"/>
              </w:rPr>
            </w:pPr>
            <w:r w:rsidRPr="00345641">
              <w:rPr>
                <w:sz w:val="22"/>
                <w:szCs w:val="22"/>
              </w:rPr>
              <w:t>56</w:t>
            </w:r>
          </w:p>
        </w:tc>
        <w:tc>
          <w:tcPr>
            <w:tcW w:w="1180" w:type="dxa"/>
          </w:tcPr>
          <w:p w:rsidR="00345641" w:rsidRPr="00345641" w:rsidRDefault="00345641" w:rsidP="006164BE">
            <w:pPr>
              <w:spacing w:line="278" w:lineRule="auto"/>
              <w:jc w:val="center"/>
              <w:rPr>
                <w:sz w:val="22"/>
                <w:szCs w:val="22"/>
              </w:rPr>
            </w:pPr>
            <w:r w:rsidRPr="00345641">
              <w:rPr>
                <w:sz w:val="22"/>
                <w:szCs w:val="22"/>
              </w:rPr>
              <w:t>44</w:t>
            </w:r>
          </w:p>
        </w:tc>
        <w:tc>
          <w:tcPr>
            <w:tcW w:w="1180" w:type="dxa"/>
          </w:tcPr>
          <w:p w:rsidR="00345641" w:rsidRPr="00345641" w:rsidRDefault="00345641" w:rsidP="006164BE">
            <w:pPr>
              <w:spacing w:line="278" w:lineRule="auto"/>
              <w:jc w:val="center"/>
              <w:rPr>
                <w:sz w:val="22"/>
                <w:szCs w:val="22"/>
              </w:rPr>
            </w:pPr>
            <w:r w:rsidRPr="00345641">
              <w:rPr>
                <w:sz w:val="22"/>
                <w:szCs w:val="22"/>
              </w:rPr>
              <w:t>17</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Outcomes and Predictors of 28-Day Mortality in Patients With Hematologic Malignancies and Septic Shock Defined by Sepsis-3 Criteria</w:t>
            </w:r>
            <w:r w:rsidR="00D21559">
              <w:rPr>
                <w:b/>
                <w:bCs/>
                <w:sz w:val="22"/>
                <w:szCs w:val="22"/>
              </w:rPr>
              <w:fldChar w:fldCharType="begin"/>
            </w:r>
            <w:r w:rsidR="00987282">
              <w:rPr>
                <w:b/>
                <w:bCs/>
                <w:sz w:val="22"/>
                <w:szCs w:val="22"/>
              </w:rPr>
              <w:instrText xml:space="preserve"> ADDIN ZOTERO_ITEM CSL_CITATION {"citationID":"XUJCzgDb","properties":{"formattedCitation":"(23)","plainCitation":"(23)","noteIndex":0},"citationItems":[{"id":2575,"uris":["http://zotero.org/users/local/5K0ZcI7M/items/7SLGW2Y4"],"itemData":{"id":2575,"type":"article-journal","abstract":"BACKGROUND: To describe short-term outcomes and independent predictors of 28-dayx mortality in adult patients with hematologic malignancies and septic shock defined by the new Third International Consensus Definitions (Sepsis-3) criteria.\nMETHODS: We performed a retrospective cohort study of patients admitted to the medical ICU with septic shock from April 2016 to March 2019. Demographic and clinical features and short-term outcomes were collected. We used descriptive statistics to summarize patient characteristics, logistic regression to identify predictors of 28-day mortality, and Kaplan-Meier plots to assess survival.\nRESULTS: Among the 459 hematologic patients with septic shock admitted to the ICU, 109 (23.7%) had received hematopoietic stem cell transplant. The median age was 63 years (range, 18-89 years), and 179 (39%) were women. Nonsurvivors had a higher Charlson comorbidity index (P=.007), longer length of stay before ICU admission (P=.01), and greater illness severity at diagnosis and throughout the hospital course (P&lt;.001). The mortality rate at 28 days was 67.8% and increased with increasing sequential organ failure assessment score on admission (odds ratio [OR], 1.11; 95% CI, 1.03-1.20), respiratory failure (OR, 3.12; 95% CI, 1.49-6.51), and maximum lactate level (OR, 1.16; 95% CI, 1.10-1.22). Aminoglycosides administration (OR, 0.42; 95% CI, 0.26-0.69), serum albumin (OR, 0.51; 95% CI, 0.31-0.86), and granulocyte colony-stimulating factor (G-CSF) (OR, 0.40; 95% CI, 0.24-0.65) were associated with lower 28-day mortality. Life support limitations were present in 81.6% of patients at death. At 90 days, 19.4% of the patients were alive.\nCONCLUSIONS: Despite efforts to enhance survival, septic shock in patients with hematologic malignancies is still associated with high mortality rates and poor 90-day survival. These results demonstrate the need for an urgent call to action with higher awareness, including the further evaluation of interventions such as earlier ICU admission, aminoglycosides administration, and G-CSF treatment.","container-title":"Journal of the National Comprehensive Cancer Network: JNCCN","DOI":"10.6004/jnccn.2021.7046","ISSN":"1540-1413","issue":"1","journalAbbreviation":"J Natl Compr Canc Netw","language":"eng","note":"PMID: 34991066","page":"45-53","source":"PubMed","title":"Outcomes and Predictors of 28-Day Mortality in Patients With Hematologic Malignancies and Septic Shock Defined by Sepsis-3 Criteria","volume":"20","author":[{"family":"Manjappachar","given":"Nirmala K."},{"family":"Cuenca","given":"John A."},{"family":"Ramírez","given":"Claudia M."},{"family":"Hernandez","given":"Mike"},{"family":"Martin","given":"Peyton"},{"family":"Reyes","given":"Maria P."},{"family":"Heatter","given":"Alba J."},{"family":"Gutierrez","given":"Cristina"},{"family":"Rathi","given":"Nisha"},{"family":"Sprung","given":"Charles L."},{"family":"Price","given":"Kristen J."},{"family":"Nates","given":"Joseph L."}],"issued":{"date-parts":[["2022",1]]}}}],"schema":"https://github.com/citation-style-language/schema/raw/master/csl-citation.json"} </w:instrText>
            </w:r>
            <w:r w:rsidR="00D21559">
              <w:rPr>
                <w:b/>
                <w:bCs/>
                <w:sz w:val="22"/>
                <w:szCs w:val="22"/>
              </w:rPr>
              <w:fldChar w:fldCharType="separate"/>
            </w:r>
            <w:r w:rsidR="00987282">
              <w:rPr>
                <w:b/>
                <w:bCs/>
                <w:noProof/>
                <w:sz w:val="22"/>
                <w:szCs w:val="22"/>
              </w:rPr>
              <w:t>(23)</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 xml:space="preserve">N. </w:t>
            </w:r>
            <w:proofErr w:type="spellStart"/>
            <w:r w:rsidRPr="00345641">
              <w:rPr>
                <w:sz w:val="22"/>
                <w:szCs w:val="22"/>
              </w:rPr>
              <w:t>Manjappachar</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2022</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Bordeaux</w:t>
            </w:r>
          </w:p>
        </w:tc>
        <w:tc>
          <w:tcPr>
            <w:tcW w:w="1179" w:type="dxa"/>
          </w:tcPr>
          <w:p w:rsidR="00345641" w:rsidRPr="00345641" w:rsidRDefault="00345641" w:rsidP="006164BE">
            <w:pPr>
              <w:spacing w:line="278" w:lineRule="auto"/>
              <w:jc w:val="center"/>
              <w:rPr>
                <w:sz w:val="22"/>
                <w:szCs w:val="22"/>
              </w:rPr>
            </w:pPr>
            <w:r w:rsidRPr="00345641">
              <w:rPr>
                <w:sz w:val="22"/>
                <w:szCs w:val="22"/>
              </w:rPr>
              <w:t>2012</w:t>
            </w:r>
          </w:p>
        </w:tc>
        <w:tc>
          <w:tcPr>
            <w:tcW w:w="1180" w:type="dxa"/>
          </w:tcPr>
          <w:p w:rsidR="00345641" w:rsidRPr="00345641" w:rsidRDefault="00345641" w:rsidP="006164BE">
            <w:pPr>
              <w:spacing w:line="278" w:lineRule="auto"/>
              <w:jc w:val="center"/>
              <w:rPr>
                <w:sz w:val="22"/>
                <w:szCs w:val="22"/>
              </w:rPr>
            </w:pPr>
            <w:r w:rsidRPr="00345641">
              <w:rPr>
                <w:sz w:val="22"/>
                <w:szCs w:val="22"/>
              </w:rPr>
              <w:t>2016</w:t>
            </w:r>
          </w:p>
        </w:tc>
        <w:tc>
          <w:tcPr>
            <w:tcW w:w="1180" w:type="dxa"/>
          </w:tcPr>
          <w:p w:rsidR="00345641" w:rsidRPr="00345641" w:rsidRDefault="00345641" w:rsidP="006164BE">
            <w:pPr>
              <w:spacing w:line="278" w:lineRule="auto"/>
              <w:jc w:val="center"/>
              <w:rPr>
                <w:sz w:val="22"/>
                <w:szCs w:val="22"/>
              </w:rPr>
            </w:pPr>
            <w:r w:rsidRPr="00345641">
              <w:rPr>
                <w:sz w:val="22"/>
                <w:szCs w:val="22"/>
              </w:rPr>
              <w:t>256</w:t>
            </w:r>
          </w:p>
        </w:tc>
        <w:tc>
          <w:tcPr>
            <w:tcW w:w="1180" w:type="dxa"/>
          </w:tcPr>
          <w:p w:rsidR="00345641" w:rsidRPr="00345641" w:rsidRDefault="00345641" w:rsidP="006164BE">
            <w:pPr>
              <w:spacing w:line="278" w:lineRule="auto"/>
              <w:jc w:val="center"/>
              <w:rPr>
                <w:sz w:val="22"/>
                <w:szCs w:val="22"/>
              </w:rPr>
            </w:pPr>
            <w:r w:rsidRPr="00345641">
              <w:rPr>
                <w:sz w:val="22"/>
                <w:szCs w:val="22"/>
              </w:rPr>
              <w:t>190</w:t>
            </w:r>
          </w:p>
        </w:tc>
        <w:tc>
          <w:tcPr>
            <w:tcW w:w="1180" w:type="dxa"/>
          </w:tcPr>
          <w:p w:rsidR="00345641" w:rsidRPr="00345641" w:rsidRDefault="00345641" w:rsidP="006164BE">
            <w:pPr>
              <w:spacing w:line="278" w:lineRule="auto"/>
              <w:jc w:val="center"/>
              <w:rPr>
                <w:sz w:val="22"/>
                <w:szCs w:val="22"/>
              </w:rPr>
            </w:pPr>
            <w:r w:rsidRPr="00345641">
              <w:rPr>
                <w:sz w:val="22"/>
                <w:szCs w:val="22"/>
              </w:rPr>
              <w:t>14</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lastRenderedPageBreak/>
              <w:t>Long-term prognosis of septic shock in cancer patients</w:t>
            </w:r>
            <w:r w:rsidR="00D21559">
              <w:rPr>
                <w:b/>
                <w:bCs/>
                <w:sz w:val="22"/>
                <w:szCs w:val="22"/>
              </w:rPr>
              <w:fldChar w:fldCharType="begin"/>
            </w:r>
            <w:r w:rsidR="00987282">
              <w:rPr>
                <w:b/>
                <w:bCs/>
                <w:sz w:val="22"/>
                <w:szCs w:val="22"/>
              </w:rPr>
              <w:instrText xml:space="preserve"> ADDIN ZOTERO_ITEM CSL_CITATION {"citationID":"nvzgEev1","properties":{"formattedCitation":"(24)","plainCitation":"(24)","noteIndex":0},"citationItems":[{"id":2543,"uris":["http://zotero.org/users/local/5K0ZcI7M/items/JMPL95WH"],"itemData":{"id":2543,"type":"article-journal","abstract":"OBJECTIVES: In the last decades, the number of cancer patients admitted in intensive care units (ICUs) for septic shock has dramatically increased. However, prognosis data remain scarce.\nMETHODS: To assess the 180-day mortality rate in cancer patients admitted to the ICU for septic shock, a 5-year prospective study was performed. All adult patients admitted for septic shock were included and categorized into the following two groups and four subgroups: cancer patients (solid tumor or hematological malignancy) and non-cancer patients (immunocompromised or not). Data were collected and compared between the groups. Upon early ICU admission, the decision to forgo life-sustaining therapy (DFLST) or not was made by consultation among hematologists, oncologists, and the patients or their relatives.\nRESULTS: During the study period, 496 patients were admitted for septic shock: 252 cancer patients (119 hematological malignancies and 133 solid tumors) and 244 non-cancer patients. A DFLST was made for 39% of the non-cancer patients and 52% of the cancer patients. The 180-day mortality rate among the cancer patients was 51% and 68% for those with hematological malignancies and solid cancers, respectively. The mortality rate among the non-cancer patients was 44%. In a multivariate analysis, the performance status, Charlson comorbidity index, simplified acute physiology score 2, sequential organ failure assessment score, and DFLST were independent predictors of 180-day mortality.\nCONCLUSIONS: Despite early admission to the ICU, the 180-day mortality rate due to septic shock was higher in cancer patients compared with non-cancer patients, due to excess mortality in the patients with solid tumors. The long-term prognosis of cancer patients with septic shock is modulated by their general state, severity of organ failure, and DFLST.","container-title":"Supportive Care in Cancer: Official Journal of the Multinational Association of Supportive Care in Cancer","DOI":"10.1007/s00520-019-04937-4","ISSN":"1433-7339","issue":"3","journalAbbreviation":"Support Care Cancer","language":"eng","note":"PMID: 31243586","page":"1325-1333","source":"PubMed","title":"Long-term prognosis of septic shock in cancer patients","volume":"28","author":[{"family":"Camou","given":"Fabrice"},{"family":"Didier","given":"Marion"},{"family":"Leguay","given":"Thibaut"},{"family":"Milpied","given":"Noël"},{"family":"Daste","given":"Amaury"},{"family":"Ravaud","given":"Alain"},{"family":"Mourissoux","given":"Gaëlle"},{"family":"Guisset","given":"Olivier"},{"family":"Issa","given":"Nahéma"}],"issued":{"date-parts":[["2020",3]]}}}],"schema":"https://github.com/citation-style-language/schema/raw/master/csl-citation.json"} </w:instrText>
            </w:r>
            <w:r w:rsidR="00D21559">
              <w:rPr>
                <w:b/>
                <w:bCs/>
                <w:sz w:val="22"/>
                <w:szCs w:val="22"/>
              </w:rPr>
              <w:fldChar w:fldCharType="separate"/>
            </w:r>
            <w:r w:rsidR="00987282">
              <w:rPr>
                <w:b/>
                <w:bCs/>
                <w:noProof/>
                <w:sz w:val="22"/>
                <w:szCs w:val="22"/>
              </w:rPr>
              <w:t>(24)</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F. Camou</w:t>
            </w:r>
          </w:p>
        </w:tc>
        <w:tc>
          <w:tcPr>
            <w:tcW w:w="1134" w:type="dxa"/>
          </w:tcPr>
          <w:p w:rsidR="00345641" w:rsidRPr="00345641" w:rsidRDefault="00345641" w:rsidP="006164BE">
            <w:pPr>
              <w:spacing w:line="278" w:lineRule="auto"/>
              <w:jc w:val="center"/>
              <w:rPr>
                <w:sz w:val="22"/>
                <w:szCs w:val="22"/>
              </w:rPr>
            </w:pPr>
            <w:r w:rsidRPr="00345641">
              <w:rPr>
                <w:sz w:val="22"/>
                <w:szCs w:val="22"/>
              </w:rPr>
              <w:t>2020</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Houston</w:t>
            </w:r>
          </w:p>
        </w:tc>
        <w:tc>
          <w:tcPr>
            <w:tcW w:w="1179" w:type="dxa"/>
          </w:tcPr>
          <w:p w:rsidR="00345641" w:rsidRPr="00345641" w:rsidRDefault="00345641" w:rsidP="006164BE">
            <w:pPr>
              <w:spacing w:line="278" w:lineRule="auto"/>
              <w:jc w:val="center"/>
              <w:rPr>
                <w:sz w:val="22"/>
                <w:szCs w:val="22"/>
              </w:rPr>
            </w:pPr>
            <w:r w:rsidRPr="00345641">
              <w:rPr>
                <w:sz w:val="22"/>
                <w:szCs w:val="22"/>
              </w:rPr>
              <w:t>2016</w:t>
            </w:r>
          </w:p>
        </w:tc>
        <w:tc>
          <w:tcPr>
            <w:tcW w:w="1180" w:type="dxa"/>
          </w:tcPr>
          <w:p w:rsidR="00345641" w:rsidRPr="00345641" w:rsidRDefault="00345641" w:rsidP="006164BE">
            <w:pPr>
              <w:spacing w:line="278" w:lineRule="auto"/>
              <w:jc w:val="center"/>
              <w:rPr>
                <w:sz w:val="22"/>
                <w:szCs w:val="22"/>
              </w:rPr>
            </w:pPr>
            <w:r w:rsidRPr="00345641">
              <w:rPr>
                <w:sz w:val="22"/>
                <w:szCs w:val="22"/>
              </w:rPr>
              <w:t>2019</w:t>
            </w:r>
          </w:p>
        </w:tc>
        <w:tc>
          <w:tcPr>
            <w:tcW w:w="1180" w:type="dxa"/>
          </w:tcPr>
          <w:p w:rsidR="00345641" w:rsidRPr="00345641" w:rsidRDefault="00345641" w:rsidP="006164BE">
            <w:pPr>
              <w:spacing w:line="278" w:lineRule="auto"/>
              <w:jc w:val="center"/>
              <w:rPr>
                <w:sz w:val="22"/>
                <w:szCs w:val="22"/>
              </w:rPr>
            </w:pPr>
            <w:r w:rsidRPr="00345641">
              <w:rPr>
                <w:sz w:val="22"/>
                <w:szCs w:val="22"/>
              </w:rPr>
              <w:t>31</w:t>
            </w:r>
          </w:p>
        </w:tc>
        <w:tc>
          <w:tcPr>
            <w:tcW w:w="1180" w:type="dxa"/>
          </w:tcPr>
          <w:p w:rsidR="00345641" w:rsidRPr="00345641" w:rsidRDefault="00345641" w:rsidP="006164BE">
            <w:pPr>
              <w:spacing w:line="278" w:lineRule="auto"/>
              <w:jc w:val="center"/>
              <w:rPr>
                <w:sz w:val="22"/>
                <w:szCs w:val="22"/>
              </w:rPr>
            </w:pPr>
            <w:r w:rsidRPr="00345641">
              <w:rPr>
                <w:sz w:val="22"/>
                <w:szCs w:val="22"/>
              </w:rPr>
              <w:t>22</w:t>
            </w:r>
          </w:p>
        </w:tc>
        <w:tc>
          <w:tcPr>
            <w:tcW w:w="1180" w:type="dxa"/>
          </w:tcPr>
          <w:p w:rsidR="00345641" w:rsidRPr="00345641" w:rsidRDefault="00345641" w:rsidP="006164BE">
            <w:pPr>
              <w:spacing w:line="278" w:lineRule="auto"/>
              <w:jc w:val="center"/>
              <w:rPr>
                <w:sz w:val="22"/>
                <w:szCs w:val="22"/>
              </w:rPr>
            </w:pPr>
            <w:r w:rsidRPr="00345641">
              <w:rPr>
                <w:sz w:val="22"/>
                <w:szCs w:val="22"/>
              </w:rPr>
              <w:t>176</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Outcome of patients with newly diagnosed AML admitted to the ICU, including preemptive admission – a multi‐center study</w:t>
            </w:r>
            <w:r w:rsidR="00D21559">
              <w:rPr>
                <w:b/>
                <w:bCs/>
                <w:sz w:val="22"/>
                <w:szCs w:val="22"/>
              </w:rPr>
              <w:fldChar w:fldCharType="begin"/>
            </w:r>
            <w:r w:rsidR="00987282">
              <w:rPr>
                <w:b/>
                <w:bCs/>
                <w:sz w:val="22"/>
                <w:szCs w:val="22"/>
              </w:rPr>
              <w:instrText xml:space="preserve"> ADDIN ZOTERO_ITEM CSL_CITATION {"citationID":"rpVSQJoR","properties":{"formattedCitation":"(25)","plainCitation":"(25)","noteIndex":0},"citationItems":[{"id":2584,"uris":["http://zotero.org/users/local/5K0ZcI7M/items/DZCBQTNM"],"itemData":{"id":2584,"type":"article-journal","abstract":"Acute myeloid leukemia (AML) can lead to life-threatening complications that may require intensive care unit (ICU) management. It has been advocated that early preemptive (ePE) ICU admission, before the onset of organ failure, could benefit some high-risk patients such as those with hyperleukocytosis. The aim of this study was to retrospectively analyze the outcome of newly diagnosed AML patients who required ICU admission in five academic centers with a special focus on patients with an ePE admission strategy, i.e., those transferred to the ICU without any organ failure (modified SOFA score ≤ 2 [omitting thrombocytopenia] and no life-sustaining intervention in the first 24 h following ICU admission) before the start of induction therapy. Between January 2017 and December 2019, 428 patients were included among which 101 were admitted to the ICU. Among patients requiring life-sustaining interventions (n = 83), 18 (22%) died while in the ICU but ICU survivors had the same survival as those not admitted to the ICU. Patients with an ePE admission (n = 18) had more comorbidities and high-risk disease features such as hyperleukocytosis but required no life-sustaining interventions while in the ICU. In a subgroup analysis of patients with hyperleukocytosis ≥ 50 G/l at diagnosis (n = 85), patients not admitted to the ICU and those admitted with an ePE strategy had similar outcomes. This study provides encouraging results about ICU outcome in AML patients during induction therapy but the potential benefit of an ePE strategy must be confirmed prospectively.","container-title":"Annals of Hematology","DOI":"10.1007/s00277-023-05205-6","ISSN":"1432-0584","issue":"6","journalAbbreviation":"Ann Hematol","language":"eng","note":"PMID: 37039874","page":"1383-1393","source":"PubMed","title":"Outcome of patients with newly diagnosed AML admitted to the ICU, including preemptive admission - a multi-center study","volume":"102","author":[{"family":"Desprez","given":"Christophe"},{"family":"Kouatchet","given":"Achille"},{"family":"Marchand","given":"Tony"},{"family":"Mear","given":"Jean Baptiste"},{"family":"Tadié","given":"Jean Marc"},{"family":"Peterlin","given":"Pierre"},{"family":"Chevalier","given":"Patrice"},{"family":"Canet","given":"Emmanuel"},{"family":"Couturier","given":"Marie-Anne"},{"family":"Guillerm","given":"Gaelle"},{"family":"Bodenes","given":"Laetitia"},{"family":"Gyan","given":"Emmanuel"},{"family":"Villate","given":"Alban"},{"family":"Ehrmann","given":"Stephan"},{"family":"Lebreton","given":"Anne"},{"family":"Lester","given":"Marie-Antoinette"},{"family":"Fronteau","given":"Clémentine"},{"family":"Larhantec","given":"Gaelle"},{"family":"André","given":"Virginie"},{"family":"Riou","given":"Jérémie"},{"family":"Hunault-Berger","given":"Mathilde"},{"family":"Schmidt-Tanguy","given":"Aline"},{"family":"Orvain","given":"Corentin"}],"issued":{"date-parts":[["2023",6]]}}}],"schema":"https://github.com/citation-style-language/schema/raw/master/csl-citation.json"} </w:instrText>
            </w:r>
            <w:r w:rsidR="00D21559">
              <w:rPr>
                <w:b/>
                <w:bCs/>
                <w:sz w:val="22"/>
                <w:szCs w:val="22"/>
              </w:rPr>
              <w:fldChar w:fldCharType="separate"/>
            </w:r>
            <w:r w:rsidR="00987282">
              <w:rPr>
                <w:b/>
                <w:bCs/>
                <w:noProof/>
                <w:sz w:val="22"/>
                <w:szCs w:val="22"/>
              </w:rPr>
              <w:t>(25)</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C. Desprez</w:t>
            </w:r>
          </w:p>
        </w:tc>
        <w:tc>
          <w:tcPr>
            <w:tcW w:w="1134" w:type="dxa"/>
          </w:tcPr>
          <w:p w:rsidR="00345641" w:rsidRPr="00345641" w:rsidRDefault="00345641" w:rsidP="006164BE">
            <w:pPr>
              <w:spacing w:line="278" w:lineRule="auto"/>
              <w:jc w:val="center"/>
              <w:rPr>
                <w:sz w:val="22"/>
                <w:szCs w:val="22"/>
              </w:rPr>
            </w:pPr>
            <w:r w:rsidRPr="00345641">
              <w:rPr>
                <w:sz w:val="22"/>
                <w:szCs w:val="22"/>
              </w:rPr>
              <w:t>2023</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Angers</w:t>
            </w:r>
          </w:p>
        </w:tc>
        <w:tc>
          <w:tcPr>
            <w:tcW w:w="1179" w:type="dxa"/>
          </w:tcPr>
          <w:p w:rsidR="00345641" w:rsidRPr="00345641" w:rsidRDefault="00345641" w:rsidP="006164BE">
            <w:pPr>
              <w:spacing w:line="278" w:lineRule="auto"/>
              <w:jc w:val="center"/>
              <w:rPr>
                <w:sz w:val="22"/>
                <w:szCs w:val="22"/>
              </w:rPr>
            </w:pPr>
            <w:r w:rsidRPr="00345641">
              <w:rPr>
                <w:sz w:val="22"/>
                <w:szCs w:val="22"/>
              </w:rPr>
              <w:t>2017</w:t>
            </w:r>
          </w:p>
        </w:tc>
        <w:tc>
          <w:tcPr>
            <w:tcW w:w="1180" w:type="dxa"/>
          </w:tcPr>
          <w:p w:rsidR="00345641" w:rsidRPr="00345641" w:rsidRDefault="00345641" w:rsidP="006164BE">
            <w:pPr>
              <w:spacing w:line="278" w:lineRule="auto"/>
              <w:jc w:val="center"/>
              <w:rPr>
                <w:sz w:val="22"/>
                <w:szCs w:val="22"/>
              </w:rPr>
            </w:pPr>
            <w:r w:rsidRPr="00345641">
              <w:rPr>
                <w:sz w:val="22"/>
                <w:szCs w:val="22"/>
              </w:rPr>
              <w:t>2020</w:t>
            </w:r>
          </w:p>
        </w:tc>
        <w:tc>
          <w:tcPr>
            <w:tcW w:w="1180" w:type="dxa"/>
          </w:tcPr>
          <w:p w:rsidR="00345641" w:rsidRPr="00345641" w:rsidRDefault="00345641" w:rsidP="006164BE">
            <w:pPr>
              <w:spacing w:line="278" w:lineRule="auto"/>
              <w:jc w:val="center"/>
              <w:rPr>
                <w:sz w:val="22"/>
                <w:szCs w:val="22"/>
              </w:rPr>
            </w:pPr>
            <w:r w:rsidRPr="00345641">
              <w:rPr>
                <w:sz w:val="22"/>
                <w:szCs w:val="22"/>
              </w:rPr>
              <w:t>101</w:t>
            </w:r>
          </w:p>
        </w:tc>
        <w:tc>
          <w:tcPr>
            <w:tcW w:w="1180" w:type="dxa"/>
          </w:tcPr>
          <w:p w:rsidR="00345641" w:rsidRPr="00345641" w:rsidRDefault="00345641" w:rsidP="006164BE">
            <w:pPr>
              <w:spacing w:line="278" w:lineRule="auto"/>
              <w:jc w:val="center"/>
              <w:rPr>
                <w:sz w:val="22"/>
                <w:szCs w:val="22"/>
              </w:rPr>
            </w:pPr>
            <w:r w:rsidRPr="00345641">
              <w:rPr>
                <w:sz w:val="22"/>
                <w:szCs w:val="22"/>
              </w:rPr>
              <w:t>101</w:t>
            </w:r>
          </w:p>
        </w:tc>
        <w:tc>
          <w:tcPr>
            <w:tcW w:w="1180" w:type="dxa"/>
          </w:tcPr>
          <w:p w:rsidR="00345641" w:rsidRPr="00345641" w:rsidRDefault="00345641" w:rsidP="006164BE">
            <w:pPr>
              <w:spacing w:line="278" w:lineRule="auto"/>
              <w:jc w:val="center"/>
              <w:rPr>
                <w:sz w:val="22"/>
                <w:szCs w:val="22"/>
              </w:rPr>
            </w:pPr>
            <w:r w:rsidRPr="00345641">
              <w:rPr>
                <w:sz w:val="22"/>
                <w:szCs w:val="22"/>
              </w:rPr>
              <w:t>18</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Impact of Urgent Chemotherapy in Critically Ill Patients</w:t>
            </w:r>
            <w:r w:rsidR="00D21559">
              <w:rPr>
                <w:b/>
                <w:bCs/>
                <w:sz w:val="22"/>
                <w:szCs w:val="22"/>
              </w:rPr>
              <w:fldChar w:fldCharType="begin"/>
            </w:r>
            <w:r w:rsidR="00987282">
              <w:rPr>
                <w:b/>
                <w:bCs/>
                <w:sz w:val="22"/>
                <w:szCs w:val="22"/>
              </w:rPr>
              <w:instrText xml:space="preserve"> ADDIN ZOTERO_ITEM CSL_CITATION {"citationID":"8G3ByS3S","properties":{"formattedCitation":"(26)","plainCitation":"(26)","noteIndex":0},"citationItems":[{"id":2541,"uris":["http://zotero.org/users/local/5K0ZcI7M/items/3YKV38P4"],"itemData":{"id":2541,"type":"article-journal","abstract":"OBJECTIVE: Compare the mortality between critically ill patients who received urgent chemotherapy for a cancer-related life-threatening complication with matched patients (controls) who did not received it.\nDESIGN: Propensity score-matched retrospective study.\nSETTING: Adult intensive care unit in an oncological hospital.\nPARTICIPANTS: All adults with solid tumor or hematological malignancies who received at least 1 day of urgent intravenous chemotherapy for a cancer-related life-threatening complication. Using the propensity score method adjusted for 10 variables, patients who received urgent chemotherapy were matched to patients who did not.\nINTERVENTIONS: None.\nMAIN OUTCOMES MEASURES: Intensive care unit and hospital mortality.\nRESULTS: Forty-seven patients (57% with solid tumors and 43% with hematological malignancies) who received urgent chemotherapy were matched to 94 controls. At intensive care unit admission, patients were similar except that those who received urgent chemotherapy were less likely to have received chemotherapy previously (36% vs 85%; P &lt; .01). The intensive care unit (48.9% vs 23.4%; P &lt; .01) and hospital (76.6% vs 46.8%; P &lt; .01) mortality of the patients who received urgent chemotherapy was higher than the controls. The subgroup analysis showed that the higher mortality was limited to patients with solid tumor.\nCONCLUSION: The use of urgent chemotherapy is associated with an increase in the intensive care unit and hospital mortality of unselected critically ill patients with solid tumors but not in patients with hematological malignancies.","container-title":"Journal of Intensive Care Medicine","DOI":"10.1177/0885066617748602","ISSN":"1525-1489","issue":"4","journalAbbreviation":"J Intensive Care Med","language":"eng","note":"PMID: 29258386","page":"347-353","source":"PubMed","title":"Impact of Urgent Chemotherapy in Critically Ill Patients","volume":"35","author":[{"family":"Oliveira","given":"Maria Cristina Franca","non-dropping-particle":"de"},{"family":"Ferreira","given":"Juliana Carvalho"},{"family":"Nassar Junior","given":"Antonio Paulo"},{"family":"Dettino","given":"Aldo Lourenço Abbade"},{"family":"Caruso","given":"Pedro"}],"issued":{"date-parts":[["2020",4]]}}}],"schema":"https://github.com/citation-style-language/schema/raw/master/csl-citation.json"} </w:instrText>
            </w:r>
            <w:r w:rsidR="00D21559">
              <w:rPr>
                <w:b/>
                <w:bCs/>
                <w:sz w:val="22"/>
                <w:szCs w:val="22"/>
              </w:rPr>
              <w:fldChar w:fldCharType="separate"/>
            </w:r>
            <w:r w:rsidR="00987282">
              <w:rPr>
                <w:b/>
                <w:bCs/>
                <w:noProof/>
                <w:sz w:val="22"/>
                <w:szCs w:val="22"/>
              </w:rPr>
              <w:t>(26)</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de Oliveira</w:t>
            </w:r>
          </w:p>
        </w:tc>
        <w:tc>
          <w:tcPr>
            <w:tcW w:w="1134" w:type="dxa"/>
          </w:tcPr>
          <w:p w:rsidR="00345641" w:rsidRPr="00345641" w:rsidRDefault="00345641" w:rsidP="006164BE">
            <w:pPr>
              <w:spacing w:line="278" w:lineRule="auto"/>
              <w:jc w:val="center"/>
              <w:rPr>
                <w:sz w:val="22"/>
                <w:szCs w:val="22"/>
              </w:rPr>
            </w:pPr>
            <w:r w:rsidRPr="00345641">
              <w:rPr>
                <w:sz w:val="22"/>
                <w:szCs w:val="22"/>
              </w:rPr>
              <w:t>2020</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proofErr w:type="spellStart"/>
            <w:r w:rsidRPr="00345641">
              <w:rPr>
                <w:sz w:val="22"/>
                <w:szCs w:val="22"/>
              </w:rPr>
              <w:t>SaoPaulo</w:t>
            </w:r>
            <w:proofErr w:type="spellEnd"/>
          </w:p>
        </w:tc>
        <w:tc>
          <w:tcPr>
            <w:tcW w:w="1179" w:type="dxa"/>
          </w:tcPr>
          <w:p w:rsidR="00345641" w:rsidRPr="00345641" w:rsidRDefault="00345641" w:rsidP="006164BE">
            <w:pPr>
              <w:spacing w:line="278" w:lineRule="auto"/>
              <w:jc w:val="center"/>
              <w:rPr>
                <w:sz w:val="22"/>
                <w:szCs w:val="22"/>
              </w:rPr>
            </w:pPr>
            <w:r w:rsidRPr="00345641">
              <w:rPr>
                <w:sz w:val="22"/>
                <w:szCs w:val="22"/>
              </w:rPr>
              <w:t>2010</w:t>
            </w:r>
          </w:p>
        </w:tc>
        <w:tc>
          <w:tcPr>
            <w:tcW w:w="1180" w:type="dxa"/>
          </w:tcPr>
          <w:p w:rsidR="00345641" w:rsidRPr="00345641" w:rsidRDefault="00345641" w:rsidP="006164BE">
            <w:pPr>
              <w:spacing w:line="278" w:lineRule="auto"/>
              <w:jc w:val="center"/>
              <w:rPr>
                <w:sz w:val="22"/>
                <w:szCs w:val="22"/>
              </w:rPr>
            </w:pPr>
            <w:r w:rsidRPr="00345641">
              <w:rPr>
                <w:sz w:val="22"/>
                <w:szCs w:val="22"/>
              </w:rPr>
              <w:t>2019</w:t>
            </w:r>
          </w:p>
        </w:tc>
        <w:tc>
          <w:tcPr>
            <w:tcW w:w="1180" w:type="dxa"/>
          </w:tcPr>
          <w:p w:rsidR="00345641" w:rsidRPr="00345641" w:rsidRDefault="00345641" w:rsidP="006164BE">
            <w:pPr>
              <w:spacing w:line="278" w:lineRule="auto"/>
              <w:jc w:val="center"/>
              <w:rPr>
                <w:sz w:val="22"/>
                <w:szCs w:val="22"/>
              </w:rPr>
            </w:pPr>
            <w:r w:rsidRPr="00345641">
              <w:rPr>
                <w:sz w:val="22"/>
                <w:szCs w:val="22"/>
              </w:rPr>
              <w:t>24</w:t>
            </w:r>
          </w:p>
        </w:tc>
        <w:tc>
          <w:tcPr>
            <w:tcW w:w="1180" w:type="dxa"/>
          </w:tcPr>
          <w:p w:rsidR="00345641" w:rsidRPr="00345641" w:rsidRDefault="00345641" w:rsidP="006164BE">
            <w:pPr>
              <w:spacing w:line="278" w:lineRule="auto"/>
              <w:jc w:val="center"/>
              <w:rPr>
                <w:sz w:val="22"/>
                <w:szCs w:val="22"/>
              </w:rPr>
            </w:pPr>
            <w:r w:rsidRPr="00345641">
              <w:rPr>
                <w:sz w:val="22"/>
                <w:szCs w:val="22"/>
              </w:rPr>
              <w:t>15</w:t>
            </w:r>
          </w:p>
        </w:tc>
        <w:tc>
          <w:tcPr>
            <w:tcW w:w="1180" w:type="dxa"/>
          </w:tcPr>
          <w:p w:rsidR="00345641" w:rsidRPr="00345641" w:rsidRDefault="00345641" w:rsidP="006164BE">
            <w:pPr>
              <w:spacing w:line="278" w:lineRule="auto"/>
              <w:jc w:val="center"/>
              <w:rPr>
                <w:sz w:val="22"/>
                <w:szCs w:val="22"/>
              </w:rPr>
            </w:pPr>
            <w:r w:rsidRPr="00345641">
              <w:rPr>
                <w:sz w:val="22"/>
                <w:szCs w:val="22"/>
              </w:rPr>
              <w:t>10</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Prediction of bleeding and thrombosis by standard biochemical coagulation variables in </w:t>
            </w:r>
            <w:proofErr w:type="spellStart"/>
            <w:r w:rsidRPr="00345641">
              <w:rPr>
                <w:b/>
                <w:bCs/>
                <w:sz w:val="22"/>
                <w:szCs w:val="22"/>
              </w:rPr>
              <w:t>haematological</w:t>
            </w:r>
            <w:proofErr w:type="spellEnd"/>
            <w:r w:rsidRPr="00345641">
              <w:rPr>
                <w:b/>
                <w:bCs/>
                <w:sz w:val="22"/>
                <w:szCs w:val="22"/>
              </w:rPr>
              <w:t xml:space="preserve"> intensive care patients</w:t>
            </w:r>
            <w:r w:rsidR="00D21559">
              <w:rPr>
                <w:b/>
                <w:bCs/>
                <w:sz w:val="22"/>
                <w:szCs w:val="22"/>
              </w:rPr>
              <w:fldChar w:fldCharType="begin"/>
            </w:r>
            <w:r w:rsidR="00987282">
              <w:rPr>
                <w:b/>
                <w:bCs/>
                <w:sz w:val="22"/>
                <w:szCs w:val="22"/>
              </w:rPr>
              <w:instrText xml:space="preserve"> ADDIN ZOTERO_ITEM CSL_CITATION {"citationID":"f2DslsSJ","properties":{"formattedCitation":"(27)","plainCitation":"(27)","noteIndex":0},"citationItems":[{"id":2530,"uris":["http://zotero.org/users/local/5K0ZcI7M/items/JKQ7FBM9"],"itemData":{"id":2530,"type":"article-journal","abstract":"PURPOSE: We assessed the value of standard biochemical coagulation parameters in predicting bleeding, thrombosis and mortality in adult Intensive Care Unit (ICU) patients with haematological malignancies.\nMETHODS: We screened all patients with acute leukaemia and myelodysplastic syndrome admitted to a university hospital ICU during 2008-2012. Data were obtained from the clinical chemistry laboratory database and patient files. We graded bleeding according to the World Health Organisation (WHO)-system within 24-h, within 5-days and during the whole ICU stay. We analysed the predictive values of laboratory parameters using multiple logistic regression and receiver operator characteristics (ROC) curves. As we previously have established that platelet count at admission was associated with bleeding, we focused on International Normalised Ratio (INR), activated pro-thrombin time (APTT), anti-thrombin, D-dimer and fibrinogen, and markers of infection (C-reactive protein, pro-calcitonin), kidney function (creatinine) and tissue damage (lactate dehydrogenase (LDH)).\nRESULTS: We included 116 patients; 66 (57%) had at least one bleeding episode and 11 (9%) patients had at least one thrombotic event. The differences in coagulation values when bleeding compared to baseline values were minor. INR was the only variable we found associated with subsequent bleeding within 24 h from admission to ICU (odds ratio 2.91, 95% CI: 1.01-8.43, P = 0.048). ROC analyses did not show predictive value of any of the other variables with regards to bleeding and none of the variables were associated with thrombosis in adjusted analyses. Increased levels of LDH at admission were associated with increased 7-day and 30-day mortality.\nCONCLUSIONS: Increased INR at admission was associated with a higher rate of bleeding in ICU patients with haematological malignancies. No other biochemical coagulation or other parameter had any association with bleeding, thrombosis or mortality except increased LDH, which at ICU admission was associated with increased 30-day mortality.","container-title":"Acta Anaesthesiologica Scandinavica","DOI":"10.1111/aas.13036","ISSN":"1399-6576","issue":"2","journalAbbreviation":"Acta Anaesthesiol Scand","language":"eng","note":"PMID: 29124749","page":"196-206","source":"PubMed","title":"Prediction of bleeding and thrombosis by standard biochemical coagulation variables in haematological intensive care patients","volume":"62","author":[{"family":"Russell","given":"L."},{"family":"Madsen","given":"M. B."},{"family":"Dahl","given":"M."},{"family":"Kampmann","given":"P."},{"family":"Perner","given":"A."}],"issued":{"date-parts":[["2018",2]]}}}],"schema":"https://github.com/citation-style-language/schema/raw/master/csl-citation.json"} </w:instrText>
            </w:r>
            <w:r w:rsidR="00D21559">
              <w:rPr>
                <w:b/>
                <w:bCs/>
                <w:sz w:val="22"/>
                <w:szCs w:val="22"/>
              </w:rPr>
              <w:fldChar w:fldCharType="separate"/>
            </w:r>
            <w:r w:rsidR="00987282">
              <w:rPr>
                <w:b/>
                <w:bCs/>
                <w:noProof/>
                <w:sz w:val="22"/>
                <w:szCs w:val="22"/>
              </w:rPr>
              <w:t>(27)</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L. Russell</w:t>
            </w:r>
          </w:p>
        </w:tc>
        <w:tc>
          <w:tcPr>
            <w:tcW w:w="1134" w:type="dxa"/>
          </w:tcPr>
          <w:p w:rsidR="00345641" w:rsidRPr="00345641" w:rsidRDefault="00345641" w:rsidP="006164BE">
            <w:pPr>
              <w:spacing w:line="278" w:lineRule="auto"/>
              <w:jc w:val="center"/>
              <w:rPr>
                <w:sz w:val="22"/>
                <w:szCs w:val="22"/>
              </w:rPr>
            </w:pPr>
            <w:r w:rsidRPr="00345641">
              <w:rPr>
                <w:sz w:val="22"/>
                <w:szCs w:val="22"/>
              </w:rPr>
              <w:t>2017</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proofErr w:type="spellStart"/>
            <w:r w:rsidRPr="00345641">
              <w:rPr>
                <w:sz w:val="22"/>
                <w:szCs w:val="22"/>
              </w:rPr>
              <w:t>Copenhague</w:t>
            </w:r>
            <w:proofErr w:type="spellEnd"/>
          </w:p>
        </w:tc>
        <w:tc>
          <w:tcPr>
            <w:tcW w:w="1179" w:type="dxa"/>
          </w:tcPr>
          <w:p w:rsidR="00345641" w:rsidRPr="00345641" w:rsidRDefault="00345641" w:rsidP="006164BE">
            <w:pPr>
              <w:spacing w:line="278" w:lineRule="auto"/>
              <w:jc w:val="center"/>
              <w:rPr>
                <w:sz w:val="22"/>
                <w:szCs w:val="22"/>
              </w:rPr>
            </w:pPr>
            <w:r w:rsidRPr="00345641">
              <w:rPr>
                <w:sz w:val="22"/>
                <w:szCs w:val="22"/>
              </w:rPr>
              <w:t>2008</w:t>
            </w:r>
          </w:p>
        </w:tc>
        <w:tc>
          <w:tcPr>
            <w:tcW w:w="1180" w:type="dxa"/>
          </w:tcPr>
          <w:p w:rsidR="00345641" w:rsidRPr="00345641" w:rsidRDefault="00345641" w:rsidP="006164BE">
            <w:pPr>
              <w:spacing w:line="278" w:lineRule="auto"/>
              <w:jc w:val="center"/>
              <w:rPr>
                <w:sz w:val="22"/>
                <w:szCs w:val="22"/>
              </w:rPr>
            </w:pPr>
            <w:r w:rsidRPr="00345641">
              <w:rPr>
                <w:sz w:val="22"/>
                <w:szCs w:val="22"/>
              </w:rPr>
              <w:t>2012</w:t>
            </w:r>
          </w:p>
        </w:tc>
        <w:tc>
          <w:tcPr>
            <w:tcW w:w="1180" w:type="dxa"/>
          </w:tcPr>
          <w:p w:rsidR="00345641" w:rsidRPr="00345641" w:rsidRDefault="00345641" w:rsidP="006164BE">
            <w:pPr>
              <w:spacing w:line="278" w:lineRule="auto"/>
              <w:jc w:val="center"/>
              <w:rPr>
                <w:sz w:val="22"/>
                <w:szCs w:val="22"/>
              </w:rPr>
            </w:pPr>
            <w:r w:rsidRPr="00345641">
              <w:rPr>
                <w:sz w:val="22"/>
                <w:szCs w:val="22"/>
              </w:rPr>
              <w:t>89</w:t>
            </w:r>
          </w:p>
        </w:tc>
        <w:tc>
          <w:tcPr>
            <w:tcW w:w="1180" w:type="dxa"/>
          </w:tcPr>
          <w:p w:rsidR="00345641" w:rsidRPr="00345641" w:rsidRDefault="00345641" w:rsidP="006164BE">
            <w:pPr>
              <w:spacing w:line="278" w:lineRule="auto"/>
              <w:jc w:val="center"/>
              <w:rPr>
                <w:sz w:val="22"/>
                <w:szCs w:val="22"/>
              </w:rPr>
            </w:pPr>
            <w:r w:rsidRPr="00345641">
              <w:rPr>
                <w:sz w:val="22"/>
                <w:szCs w:val="22"/>
              </w:rPr>
              <w:t>58</w:t>
            </w:r>
          </w:p>
        </w:tc>
        <w:tc>
          <w:tcPr>
            <w:tcW w:w="1180" w:type="dxa"/>
          </w:tcPr>
          <w:p w:rsidR="00345641" w:rsidRPr="00345641" w:rsidRDefault="00345641" w:rsidP="006164BE">
            <w:pPr>
              <w:spacing w:line="278" w:lineRule="auto"/>
              <w:jc w:val="center"/>
              <w:rPr>
                <w:sz w:val="22"/>
                <w:szCs w:val="22"/>
              </w:rPr>
            </w:pPr>
            <w:r w:rsidRPr="00345641">
              <w:rPr>
                <w:sz w:val="22"/>
                <w:szCs w:val="22"/>
              </w:rPr>
              <w:t>52</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Progression of the Radiologic Severity Index is associated with increased mortality and healthcare resource </w:t>
            </w:r>
            <w:proofErr w:type="spellStart"/>
            <w:r w:rsidRPr="00345641">
              <w:rPr>
                <w:b/>
                <w:bCs/>
                <w:sz w:val="22"/>
                <w:szCs w:val="22"/>
              </w:rPr>
              <w:t>utilisation</w:t>
            </w:r>
            <w:proofErr w:type="spellEnd"/>
            <w:r w:rsidRPr="00345641">
              <w:rPr>
                <w:b/>
                <w:bCs/>
                <w:sz w:val="22"/>
                <w:szCs w:val="22"/>
              </w:rPr>
              <w:t xml:space="preserve"> in acute </w:t>
            </w:r>
            <w:proofErr w:type="spellStart"/>
            <w:r w:rsidRPr="00345641">
              <w:rPr>
                <w:b/>
                <w:bCs/>
                <w:sz w:val="22"/>
                <w:szCs w:val="22"/>
              </w:rPr>
              <w:t>leukaemia</w:t>
            </w:r>
            <w:proofErr w:type="spellEnd"/>
            <w:r w:rsidRPr="00345641">
              <w:rPr>
                <w:b/>
                <w:bCs/>
                <w:sz w:val="22"/>
                <w:szCs w:val="22"/>
              </w:rPr>
              <w:t xml:space="preserve"> patients with pneumonia</w:t>
            </w:r>
            <w:r w:rsidR="00D21559">
              <w:rPr>
                <w:b/>
                <w:bCs/>
                <w:sz w:val="22"/>
                <w:szCs w:val="22"/>
              </w:rPr>
              <w:fldChar w:fldCharType="begin"/>
            </w:r>
            <w:r w:rsidR="00987282">
              <w:rPr>
                <w:b/>
                <w:bCs/>
                <w:sz w:val="22"/>
                <w:szCs w:val="22"/>
              </w:rPr>
              <w:instrText xml:space="preserve"> ADDIN ZOTERO_ITEM CSL_CITATION {"citationID":"ss7AK3Ip","properties":{"formattedCitation":"(28)","plainCitation":"(28)","noteIndex":0},"citationItems":[{"id":3055,"uris":["http://zotero.org/users/local/5K0ZcI7M/items/4B497ICB"],"itemData":{"id":3055,"type":"article-journal","abstract":"BACKGROUND: Pneumonia is a major cause of mortality and morbidity, but the development of new antimicrobials is lacking. Radiological assessment of pneumonia severity may serve as an effective intermediate endpoint to reduce barriers to successful completion of antimicrobial trials. We sought to determine whether the Radiologic Severity Index (RSI) correlated with mortality and healthcare resource utilisation in patients with acute leukaemia undergoing induction chemotherapy.\nMETHODS: We measured RSI (range 0-72) on all chest radiographs performed within 33 days of induction chemotherapy in 165 haematological malignancy patients with pneumonia. Peak RSI was defined as the highest RSI score within 33 days of induction. We used extended Cox proportional hazards models to measure the association of time-varying RSI with all-cause mortality within the first 33 days after induction chemotherapy, and logistic regression or generalised models to measure the association of RSI with total daily cost and healthcare resource utilisation.\nRESULTS: After adjustment for clinical variables, each one-point increase in RSI was associated with a 7% increase in all-cause 33-day mortality (HR 1.07, 95% CI 1.05 to 1.09, p&lt;0.0001). Peak RSI values of 37.5 or higher were associated with 86% higher daily direct costs (p&lt;0.0001), more days in intensive care unit (9.9 vs 4.8 days, p=0.001) and higher odds for mechanical ventilation (OR 12.1, p&lt;0.0001).\nCONCLUSIONS: Greater radiological severity as measured by RSI was associated with increased mortality and morbidity in acute leukaemia patients with pneumonia. RSI is a promising intermediate marker of pneumonia severity and is well suited for use in antimicrobial trials.","container-title":"BMJ open respiratory research","DOI":"10.1136/bmjresp-2019-000471","ISSN":"2052-4439","issue":"1","journalAbbreviation":"BMJ Open Respir Res","language":"eng","note":"PMID: 31921429\nPMCID: PMC6937103","page":"e000471","source":"PubMed","title":"Progression of the Radiologic Severity Index is associated with increased mortality and healthcare resource utilisation in acute leukaemia patients with pneumonia","volume":"6","author":[{"family":"Sheshadri","given":"Ajay"},{"family":"Godoy","given":"Myrna"},{"family":"Erasmus","given":"Jeremy J."},{"family":"Gruschkus","given":"Stephen"},{"family":"Hasan","given":"Arain"},{"family":"Evans","given":"Scott E."},{"family":"Barreda-Garcia","given":"Javier"},{"family":"Chemaly","given":"Roy F."},{"family":"Dickey","given":"Burton"},{"family":"Ost","given":"David"}],"issued":{"date-parts":[["2019"]]}}}],"schema":"https://github.com/citation-style-language/schema/raw/master/csl-citation.json"} </w:instrText>
            </w:r>
            <w:r w:rsidR="00D21559">
              <w:rPr>
                <w:b/>
                <w:bCs/>
                <w:sz w:val="22"/>
                <w:szCs w:val="22"/>
              </w:rPr>
              <w:fldChar w:fldCharType="separate"/>
            </w:r>
            <w:r w:rsidR="00987282">
              <w:rPr>
                <w:b/>
                <w:bCs/>
                <w:noProof/>
                <w:sz w:val="22"/>
                <w:szCs w:val="22"/>
              </w:rPr>
              <w:t>(28)</w:t>
            </w:r>
            <w:r w:rsidR="00D21559">
              <w:rPr>
                <w:b/>
                <w:bCs/>
                <w:sz w:val="22"/>
                <w:szCs w:val="22"/>
              </w:rPr>
              <w:fldChar w:fldCharType="end"/>
            </w:r>
          </w:p>
        </w:tc>
        <w:tc>
          <w:tcPr>
            <w:tcW w:w="1601" w:type="dxa"/>
          </w:tcPr>
          <w:p w:rsidR="00345641" w:rsidRPr="00345641" w:rsidRDefault="00345641" w:rsidP="006164BE">
            <w:pPr>
              <w:spacing w:line="278" w:lineRule="auto"/>
              <w:jc w:val="left"/>
              <w:rPr>
                <w:sz w:val="22"/>
                <w:szCs w:val="22"/>
              </w:rPr>
            </w:pPr>
            <w:r w:rsidRPr="00345641">
              <w:rPr>
                <w:sz w:val="22"/>
                <w:szCs w:val="22"/>
              </w:rPr>
              <w:t>A. Sheshadri</w:t>
            </w:r>
          </w:p>
        </w:tc>
        <w:tc>
          <w:tcPr>
            <w:tcW w:w="1134" w:type="dxa"/>
          </w:tcPr>
          <w:p w:rsidR="00345641" w:rsidRPr="00345641" w:rsidRDefault="00345641" w:rsidP="006164BE">
            <w:pPr>
              <w:spacing w:line="278" w:lineRule="auto"/>
              <w:jc w:val="center"/>
              <w:rPr>
                <w:sz w:val="22"/>
                <w:szCs w:val="22"/>
              </w:rPr>
            </w:pPr>
            <w:r w:rsidRPr="00345641">
              <w:rPr>
                <w:sz w:val="22"/>
                <w:szCs w:val="22"/>
              </w:rPr>
              <w:t>2019</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Houston</w:t>
            </w:r>
          </w:p>
        </w:tc>
        <w:tc>
          <w:tcPr>
            <w:tcW w:w="1179"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NA</w:t>
            </w:r>
          </w:p>
        </w:tc>
        <w:tc>
          <w:tcPr>
            <w:tcW w:w="1180" w:type="dxa"/>
          </w:tcPr>
          <w:p w:rsidR="00345641" w:rsidRPr="00345641" w:rsidRDefault="00345641" w:rsidP="006164BE">
            <w:pPr>
              <w:spacing w:line="278" w:lineRule="auto"/>
              <w:jc w:val="center"/>
              <w:rPr>
                <w:sz w:val="22"/>
                <w:szCs w:val="22"/>
              </w:rPr>
            </w:pPr>
            <w:r w:rsidRPr="00345641">
              <w:rPr>
                <w:sz w:val="22"/>
                <w:szCs w:val="22"/>
              </w:rPr>
              <w:t>97</w:t>
            </w:r>
          </w:p>
        </w:tc>
        <w:tc>
          <w:tcPr>
            <w:tcW w:w="1180" w:type="dxa"/>
          </w:tcPr>
          <w:p w:rsidR="00345641" w:rsidRPr="00345641" w:rsidRDefault="00345641" w:rsidP="006164BE">
            <w:pPr>
              <w:spacing w:line="278" w:lineRule="auto"/>
              <w:jc w:val="center"/>
              <w:rPr>
                <w:sz w:val="22"/>
                <w:szCs w:val="22"/>
              </w:rPr>
            </w:pPr>
            <w:r w:rsidRPr="00345641">
              <w:rPr>
                <w:sz w:val="22"/>
                <w:szCs w:val="22"/>
              </w:rPr>
              <w:t>75</w:t>
            </w:r>
          </w:p>
        </w:tc>
        <w:tc>
          <w:tcPr>
            <w:tcW w:w="1180" w:type="dxa"/>
          </w:tcPr>
          <w:p w:rsidR="00345641" w:rsidRPr="00345641" w:rsidRDefault="00345641" w:rsidP="006164BE">
            <w:pPr>
              <w:spacing w:line="278" w:lineRule="auto"/>
              <w:jc w:val="center"/>
              <w:rPr>
                <w:sz w:val="22"/>
                <w:szCs w:val="22"/>
              </w:rPr>
            </w:pPr>
            <w:r w:rsidRPr="00345641">
              <w:rPr>
                <w:sz w:val="22"/>
                <w:szCs w:val="22"/>
              </w:rPr>
              <w:t>33</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 xml:space="preserve">Determination of the relationship between </w:t>
            </w:r>
            <w:r w:rsidRPr="00345641">
              <w:rPr>
                <w:b/>
                <w:bCs/>
                <w:sz w:val="22"/>
                <w:szCs w:val="22"/>
              </w:rPr>
              <w:lastRenderedPageBreak/>
              <w:t xml:space="preserve">mortality and SOFA, </w:t>
            </w:r>
            <w:proofErr w:type="spellStart"/>
            <w:r w:rsidRPr="00345641">
              <w:rPr>
                <w:b/>
                <w:bCs/>
                <w:sz w:val="22"/>
                <w:szCs w:val="22"/>
              </w:rPr>
              <w:t>qSOFA</w:t>
            </w:r>
            <w:proofErr w:type="spellEnd"/>
            <w:r w:rsidRPr="00345641">
              <w:rPr>
                <w:b/>
                <w:bCs/>
                <w:sz w:val="22"/>
                <w:szCs w:val="22"/>
              </w:rPr>
              <w:t>, MASCC scores in febrile neutropenic patients monitored in the intensive care unit</w:t>
            </w:r>
            <w:r w:rsidR="00D21559">
              <w:rPr>
                <w:b/>
                <w:bCs/>
                <w:sz w:val="22"/>
                <w:szCs w:val="22"/>
              </w:rPr>
              <w:fldChar w:fldCharType="begin"/>
            </w:r>
            <w:r w:rsidR="00987282">
              <w:rPr>
                <w:b/>
                <w:bCs/>
                <w:sz w:val="22"/>
                <w:szCs w:val="22"/>
              </w:rPr>
              <w:instrText xml:space="preserve"> ADDIN ZOTERO_ITEM CSL_CITATION {"citationID":"XkzHiejm","properties":{"formattedCitation":"(29)","plainCitation":"(29)","noteIndex":0},"citationItems":[{"id":2561,"uris":["http://zotero.org/users/local/5K0ZcI7M/items/MHUW4S9X"],"itemData":{"id":2561,"type":"article-journal","abstract":"PURPOSE: Febrile neutropenia (FN) is a hematological emergency. It is challenging and confusing for the clinicians to make the decision of the febrile neutropenic patients under chemotherapy to be monitored at intensive care unit (ICU). The aim of this study was to define the factors supporting decision-making for the critical patients with febrile neutropenia.\nMETHODS: The data of 60 patients, who were taken to the ICU while they were under treatment in the Hematology Clinic with a diagnosis of febrile neutropenia, were analyzed retrospectively, in order to identify clinically useful prognostic parameters.\nRESULTS: The ICU mortality rate was 80%. Mortality was significantly associated with higher sequential organ failure assessment score (SOFA), quick sequential organ failure assessment score (qSOFA), and hematological SOFA (SOFAhem) scores on admission. All cases having SOFA score 10 and above and qSOFA score 2 and above died. In multivariate analysis, qSOFA score was found to be statistically significant in predicting mortality in regard to ICU admission (p = 0.004).\nCONCLUSION: Mortality of febrile neutropenic patients admitted to ICU is high. It would be appropriate to determine the extent of organ dysfunction instead of underlying disease, for making the decision of ICU admission. It should be noticed that the risk mortality is high for the FN cases with SOFA score 10 or above, qSOFA score 2 or above, and in need of mechanical ventilation and positive inotropic support; hence, early intervention is recommended. In our study, the most significant parameter in predicting ICU mortality was found to be qSOFA.","container-title":"Supportive Care in Cancer: Official Journal of the Multinational Association of Supportive Care in Cancer","DOI":"10.1007/s00520-020-05924-w","ISSN":"1433-7339","issue":"7","journalAbbreviation":"Support Care Cancer","language":"eng","note":"PMID: 33404806\nPMCID: PMC7785917","page":"4089-4094","source":"PubMed","title":"Determination of the relationship between mortality and SOFA, qSOFA, MASCC scores in febrile neutropenic patients monitored in the intensive care unit","volume":"29","author":[{"family":"Cetintepe","given":"Tugba"},{"family":"Cetintepe","given":"Lutfi"},{"family":"Solmaz","given":"Serife"},{"family":"Calık","given":"Sebnem"},{"family":"Ugur","given":"Mehmet Can"},{"family":"Gediz","given":"Fusun"},{"family":"Bilgir","given":"Oktay"}],"issued":{"date-parts":[["2021",7]]}}}],"schema":"https://github.com/citation-style-language/schema/raw/master/csl-citation.json"} </w:instrText>
            </w:r>
            <w:r w:rsidR="00D21559">
              <w:rPr>
                <w:b/>
                <w:bCs/>
                <w:sz w:val="22"/>
                <w:szCs w:val="22"/>
              </w:rPr>
              <w:fldChar w:fldCharType="separate"/>
            </w:r>
            <w:r w:rsidR="00987282">
              <w:rPr>
                <w:b/>
                <w:bCs/>
                <w:noProof/>
                <w:sz w:val="22"/>
                <w:szCs w:val="22"/>
              </w:rPr>
              <w:t>(29)</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lastRenderedPageBreak/>
              <w:t xml:space="preserve">T. </w:t>
            </w:r>
            <w:proofErr w:type="spellStart"/>
            <w:r w:rsidRPr="00345641">
              <w:rPr>
                <w:sz w:val="22"/>
                <w:szCs w:val="22"/>
              </w:rPr>
              <w:t>Cetintepe</w:t>
            </w:r>
            <w:proofErr w:type="spellEnd"/>
          </w:p>
        </w:tc>
        <w:tc>
          <w:tcPr>
            <w:tcW w:w="1134" w:type="dxa"/>
          </w:tcPr>
          <w:p w:rsidR="00345641" w:rsidRPr="00345641" w:rsidRDefault="00345641" w:rsidP="006164BE">
            <w:pPr>
              <w:spacing w:line="278" w:lineRule="auto"/>
              <w:jc w:val="center"/>
              <w:rPr>
                <w:sz w:val="22"/>
                <w:szCs w:val="22"/>
              </w:rPr>
            </w:pPr>
            <w:r w:rsidRPr="00345641">
              <w:rPr>
                <w:sz w:val="22"/>
                <w:szCs w:val="22"/>
              </w:rPr>
              <w:t>2021</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Izmir</w:t>
            </w:r>
          </w:p>
        </w:tc>
        <w:tc>
          <w:tcPr>
            <w:tcW w:w="1179" w:type="dxa"/>
          </w:tcPr>
          <w:p w:rsidR="00345641" w:rsidRPr="00345641" w:rsidRDefault="00345641" w:rsidP="006164BE">
            <w:pPr>
              <w:spacing w:line="278" w:lineRule="auto"/>
              <w:jc w:val="center"/>
              <w:rPr>
                <w:sz w:val="22"/>
                <w:szCs w:val="22"/>
              </w:rPr>
            </w:pPr>
            <w:r w:rsidRPr="00345641">
              <w:rPr>
                <w:sz w:val="22"/>
                <w:szCs w:val="22"/>
              </w:rPr>
              <w:t>2015</w:t>
            </w:r>
          </w:p>
        </w:tc>
        <w:tc>
          <w:tcPr>
            <w:tcW w:w="1180" w:type="dxa"/>
          </w:tcPr>
          <w:p w:rsidR="00345641" w:rsidRPr="00345641" w:rsidRDefault="00345641" w:rsidP="006164BE">
            <w:pPr>
              <w:spacing w:line="278" w:lineRule="auto"/>
              <w:jc w:val="center"/>
              <w:rPr>
                <w:sz w:val="22"/>
                <w:szCs w:val="22"/>
              </w:rPr>
            </w:pPr>
            <w:r w:rsidRPr="00345641">
              <w:rPr>
                <w:sz w:val="22"/>
                <w:szCs w:val="22"/>
              </w:rPr>
              <w:t>2018</w:t>
            </w:r>
          </w:p>
        </w:tc>
        <w:tc>
          <w:tcPr>
            <w:tcW w:w="1180" w:type="dxa"/>
          </w:tcPr>
          <w:p w:rsidR="00345641" w:rsidRPr="00345641" w:rsidRDefault="00345641" w:rsidP="006164BE">
            <w:pPr>
              <w:spacing w:line="278" w:lineRule="auto"/>
              <w:jc w:val="center"/>
              <w:rPr>
                <w:sz w:val="22"/>
                <w:szCs w:val="22"/>
              </w:rPr>
            </w:pPr>
            <w:r w:rsidRPr="00345641">
              <w:rPr>
                <w:sz w:val="22"/>
                <w:szCs w:val="22"/>
              </w:rPr>
              <w:t>45</w:t>
            </w:r>
          </w:p>
        </w:tc>
        <w:tc>
          <w:tcPr>
            <w:tcW w:w="1180" w:type="dxa"/>
          </w:tcPr>
          <w:p w:rsidR="00345641" w:rsidRPr="00345641" w:rsidRDefault="00345641" w:rsidP="006164BE">
            <w:pPr>
              <w:spacing w:line="278" w:lineRule="auto"/>
              <w:jc w:val="center"/>
              <w:rPr>
                <w:sz w:val="22"/>
                <w:szCs w:val="22"/>
              </w:rPr>
            </w:pPr>
            <w:r w:rsidRPr="00345641">
              <w:rPr>
                <w:sz w:val="22"/>
                <w:szCs w:val="22"/>
              </w:rPr>
              <w:t>43</w:t>
            </w:r>
          </w:p>
        </w:tc>
        <w:tc>
          <w:tcPr>
            <w:tcW w:w="1180" w:type="dxa"/>
          </w:tcPr>
          <w:p w:rsidR="00345641" w:rsidRPr="00345641" w:rsidRDefault="00345641" w:rsidP="006164BE">
            <w:pPr>
              <w:spacing w:line="278" w:lineRule="auto"/>
              <w:jc w:val="center"/>
              <w:rPr>
                <w:sz w:val="22"/>
                <w:szCs w:val="22"/>
              </w:rPr>
            </w:pPr>
            <w:r w:rsidRPr="00345641">
              <w:rPr>
                <w:sz w:val="22"/>
                <w:szCs w:val="22"/>
              </w:rPr>
              <w:t>45</w:t>
            </w:r>
          </w:p>
        </w:tc>
      </w:tr>
      <w:tr w:rsidR="00345641" w:rsidRPr="00345641" w:rsidTr="00345641">
        <w:trPr>
          <w:trHeight w:val="300"/>
        </w:trPr>
        <w:tc>
          <w:tcPr>
            <w:tcW w:w="2505" w:type="dxa"/>
          </w:tcPr>
          <w:p w:rsidR="00345641" w:rsidRPr="00345641" w:rsidRDefault="00345641" w:rsidP="006164BE">
            <w:pPr>
              <w:spacing w:line="278" w:lineRule="auto"/>
              <w:jc w:val="left"/>
              <w:rPr>
                <w:b/>
                <w:bCs/>
                <w:sz w:val="22"/>
                <w:szCs w:val="22"/>
              </w:rPr>
            </w:pPr>
            <w:r w:rsidRPr="00345641">
              <w:rPr>
                <w:b/>
                <w:bCs/>
                <w:sz w:val="22"/>
                <w:szCs w:val="22"/>
              </w:rPr>
              <w:t>Acute respiratory distress syndrome in patients with hematological malignancies</w:t>
            </w:r>
            <w:r w:rsidR="00D21559">
              <w:rPr>
                <w:b/>
                <w:bCs/>
                <w:sz w:val="22"/>
                <w:szCs w:val="22"/>
              </w:rPr>
              <w:fldChar w:fldCharType="begin"/>
            </w:r>
            <w:r w:rsidR="00987282">
              <w:rPr>
                <w:b/>
                <w:bCs/>
                <w:sz w:val="22"/>
                <w:szCs w:val="22"/>
              </w:rPr>
              <w:instrText xml:space="preserve"> ADDIN ZOTERO_ITEM CSL_CITATION {"citationID":"2UB9ehf8","properties":{"formattedCitation":"(30)","plainCitation":"(30)","noteIndex":0},"citationItems":[{"id":1962,"uris":["http://zotero.org/users/local/5K0ZcI7M/items/5S9SERXG"],"itemData":{"id":1962,"type":"article-journal","abstract":"BACKGROUND: We investigated the clinical course and mortality of acute respiratory distress syndrome (ARDS) in patients with hematological malignancies.\nMETHODS: Sixty-eight patients with hematological malignancies and ARDS admitted to medical intensive care unit (ICU) of a university hospital were analyzed semi-prospectively in the study.\nRESULTS: The most common etiology of ARDS was pneumonia. The ratio of partial pressure of oxygen in arterial blood to fractional concentration of inspired oxygen (PO2/FiO2) was 104 (74-165). Ten patients (15%) received non-invasive mechanical ventilation (NIV), 21 (31%) received invasive mechanical ventilation (MV), and 36 (53%) received both NIV and invasive MV. ICU mortality was 77% in the cohort. None of the variables with relevance to the underlying hematological disease was associated with mortality. The presence of two or more organ failures was the only independent risk factor for mortality (P = 0.045), whereas NIV was associated with low mortality (P = 0.001). The Kaplan-Meier curve of mortality, with respect to the type of MV support, demonstrated that NIV was associated with the lowest mortality (P &lt; 0.001).\nCONCLUSION: The mortality of ARDS in critically ill patients with hematological malignancies is quite high. The presence of multi-organ failure is independently associated with high mortality whereas the use of NIV is independently associated with low mortality.","container-title":"Hematology (Amsterdam, Netherlands)","DOI":"10.1179/1607845412Y.0000000038","ISSN":"1607-8454","issue":"3","journalAbbreviation":"Hematology","language":"eng","note":"number: 3\nPMID: 23321772","page":"123-130","source":"PubMed","title":"Acute respiratory distress syndrome in patients with hematological malignancies","volume":"18","author":[{"family":"Türkoğlu","given":"Melda"},{"family":"Erdem","given":"Gökmen Umut"},{"family":"Suyanı","given":"Elif"},{"family":"Sancar","given":"Muhammed Erkam"},{"family":"Yalçın","given":"Mehmet Muhittin"},{"family":"Aygencel","given":"Gülbin"},{"family":"Akı","given":"Zeynep"},{"family":"Sucak","given":"Gülsan"}],"issued":{"date-parts":[["2013",5]]}}}],"schema":"https://github.com/citation-style-language/schema/raw/master/csl-citation.json"} </w:instrText>
            </w:r>
            <w:r w:rsidR="00D21559">
              <w:rPr>
                <w:b/>
                <w:bCs/>
                <w:sz w:val="22"/>
                <w:szCs w:val="22"/>
              </w:rPr>
              <w:fldChar w:fldCharType="separate"/>
            </w:r>
            <w:r w:rsidR="00987282">
              <w:rPr>
                <w:b/>
                <w:bCs/>
                <w:noProof/>
                <w:sz w:val="22"/>
                <w:szCs w:val="22"/>
              </w:rPr>
              <w:t>(30)</w:t>
            </w:r>
            <w:r w:rsidR="00D21559">
              <w:rPr>
                <w:b/>
                <w:bCs/>
                <w:sz w:val="22"/>
                <w:szCs w:val="22"/>
              </w:rPr>
              <w:fldChar w:fldCharType="end"/>
            </w:r>
            <w:r w:rsidRPr="00345641">
              <w:rPr>
                <w:b/>
                <w:bCs/>
                <w:sz w:val="22"/>
                <w:szCs w:val="22"/>
              </w:rPr>
              <w:t xml:space="preserve"> </w:t>
            </w:r>
          </w:p>
        </w:tc>
        <w:tc>
          <w:tcPr>
            <w:tcW w:w="1601" w:type="dxa"/>
          </w:tcPr>
          <w:p w:rsidR="00345641" w:rsidRPr="00345641" w:rsidRDefault="00345641" w:rsidP="006164BE">
            <w:pPr>
              <w:spacing w:line="278" w:lineRule="auto"/>
              <w:jc w:val="left"/>
              <w:rPr>
                <w:sz w:val="22"/>
                <w:szCs w:val="22"/>
              </w:rPr>
            </w:pPr>
            <w:r w:rsidRPr="00345641">
              <w:rPr>
                <w:sz w:val="22"/>
                <w:szCs w:val="22"/>
              </w:rPr>
              <w:t>M. Turkoglu</w:t>
            </w:r>
          </w:p>
        </w:tc>
        <w:tc>
          <w:tcPr>
            <w:tcW w:w="1134" w:type="dxa"/>
          </w:tcPr>
          <w:p w:rsidR="00345641" w:rsidRPr="00345641" w:rsidRDefault="00345641" w:rsidP="006164BE">
            <w:pPr>
              <w:spacing w:line="278" w:lineRule="auto"/>
              <w:jc w:val="center"/>
              <w:rPr>
                <w:sz w:val="22"/>
                <w:szCs w:val="22"/>
              </w:rPr>
            </w:pPr>
            <w:r w:rsidRPr="00345641">
              <w:rPr>
                <w:sz w:val="22"/>
                <w:szCs w:val="22"/>
              </w:rPr>
              <w:t>2013</w:t>
            </w:r>
          </w:p>
        </w:tc>
        <w:tc>
          <w:tcPr>
            <w:tcW w:w="992" w:type="dxa"/>
          </w:tcPr>
          <w:p w:rsidR="00345641" w:rsidRPr="00345641" w:rsidRDefault="00345641" w:rsidP="006164BE">
            <w:pPr>
              <w:spacing w:line="278" w:lineRule="auto"/>
              <w:jc w:val="center"/>
              <w:rPr>
                <w:sz w:val="22"/>
                <w:szCs w:val="22"/>
              </w:rPr>
            </w:pPr>
            <w:r w:rsidRPr="00345641">
              <w:rPr>
                <w:sz w:val="22"/>
                <w:szCs w:val="22"/>
              </w:rPr>
              <w:t>1</w:t>
            </w:r>
          </w:p>
        </w:tc>
        <w:tc>
          <w:tcPr>
            <w:tcW w:w="2410" w:type="dxa"/>
          </w:tcPr>
          <w:p w:rsidR="00345641" w:rsidRPr="00345641" w:rsidRDefault="00345641" w:rsidP="006164BE">
            <w:pPr>
              <w:spacing w:line="278" w:lineRule="auto"/>
              <w:rPr>
                <w:sz w:val="22"/>
                <w:szCs w:val="22"/>
              </w:rPr>
            </w:pPr>
            <w:r w:rsidRPr="00345641">
              <w:rPr>
                <w:sz w:val="22"/>
                <w:szCs w:val="22"/>
              </w:rPr>
              <w:t>Ankara</w:t>
            </w:r>
          </w:p>
        </w:tc>
        <w:tc>
          <w:tcPr>
            <w:tcW w:w="1179" w:type="dxa"/>
          </w:tcPr>
          <w:p w:rsidR="00345641" w:rsidRPr="00345641" w:rsidRDefault="00345641" w:rsidP="006164BE">
            <w:pPr>
              <w:spacing w:line="278" w:lineRule="auto"/>
              <w:jc w:val="center"/>
              <w:rPr>
                <w:sz w:val="22"/>
                <w:szCs w:val="22"/>
              </w:rPr>
            </w:pPr>
            <w:r w:rsidRPr="00345641">
              <w:rPr>
                <w:sz w:val="22"/>
                <w:szCs w:val="22"/>
              </w:rPr>
              <w:t>2007</w:t>
            </w:r>
          </w:p>
        </w:tc>
        <w:tc>
          <w:tcPr>
            <w:tcW w:w="1180" w:type="dxa"/>
          </w:tcPr>
          <w:p w:rsidR="00345641" w:rsidRPr="00345641" w:rsidRDefault="00345641" w:rsidP="006164BE">
            <w:pPr>
              <w:spacing w:line="278" w:lineRule="auto"/>
              <w:jc w:val="center"/>
              <w:rPr>
                <w:sz w:val="22"/>
                <w:szCs w:val="22"/>
              </w:rPr>
            </w:pPr>
            <w:r w:rsidRPr="00345641">
              <w:rPr>
                <w:sz w:val="22"/>
                <w:szCs w:val="22"/>
              </w:rPr>
              <w:t>2011</w:t>
            </w:r>
          </w:p>
        </w:tc>
        <w:tc>
          <w:tcPr>
            <w:tcW w:w="1180" w:type="dxa"/>
          </w:tcPr>
          <w:p w:rsidR="00345641" w:rsidRPr="00345641" w:rsidRDefault="00345641" w:rsidP="006164BE">
            <w:pPr>
              <w:spacing w:line="278" w:lineRule="auto"/>
              <w:jc w:val="center"/>
              <w:rPr>
                <w:sz w:val="22"/>
                <w:szCs w:val="22"/>
              </w:rPr>
            </w:pPr>
            <w:r w:rsidRPr="00345641">
              <w:rPr>
                <w:sz w:val="22"/>
                <w:szCs w:val="22"/>
              </w:rPr>
              <w:t>71</w:t>
            </w:r>
          </w:p>
        </w:tc>
        <w:tc>
          <w:tcPr>
            <w:tcW w:w="1180" w:type="dxa"/>
          </w:tcPr>
          <w:p w:rsidR="00345641" w:rsidRPr="00345641" w:rsidRDefault="00345641" w:rsidP="006164BE">
            <w:pPr>
              <w:spacing w:line="278" w:lineRule="auto"/>
              <w:jc w:val="center"/>
              <w:rPr>
                <w:sz w:val="22"/>
                <w:szCs w:val="22"/>
              </w:rPr>
            </w:pPr>
            <w:r w:rsidRPr="00345641">
              <w:rPr>
                <w:sz w:val="22"/>
                <w:szCs w:val="22"/>
              </w:rPr>
              <w:t>45</w:t>
            </w:r>
          </w:p>
        </w:tc>
        <w:tc>
          <w:tcPr>
            <w:tcW w:w="1180" w:type="dxa"/>
          </w:tcPr>
          <w:p w:rsidR="00345641" w:rsidRPr="00345641" w:rsidRDefault="00345641" w:rsidP="006164BE">
            <w:pPr>
              <w:spacing w:line="278" w:lineRule="auto"/>
              <w:jc w:val="center"/>
              <w:rPr>
                <w:sz w:val="22"/>
                <w:szCs w:val="22"/>
              </w:rPr>
            </w:pPr>
            <w:r w:rsidRPr="00345641">
              <w:rPr>
                <w:sz w:val="22"/>
                <w:szCs w:val="22"/>
              </w:rPr>
              <w:t>51</w:t>
            </w:r>
          </w:p>
        </w:tc>
      </w:tr>
    </w:tbl>
    <w:p w:rsidR="00B924A0" w:rsidRDefault="00B924A0" w:rsidP="00395819">
      <w:pPr>
        <w:rPr>
          <w:b/>
          <w:bCs/>
        </w:rPr>
      </w:pPr>
    </w:p>
    <w:p w:rsidR="00B924A0" w:rsidRDefault="00B924A0">
      <w:pPr>
        <w:jc w:val="left"/>
        <w:rPr>
          <w:b/>
          <w:bCs/>
        </w:rPr>
      </w:pPr>
      <w:r>
        <w:rPr>
          <w:b/>
          <w:bCs/>
        </w:rPr>
        <w:br w:type="page"/>
      </w:r>
    </w:p>
    <w:p w:rsidR="001764B7" w:rsidRPr="00387C1B" w:rsidRDefault="001764B7" w:rsidP="00387C1B">
      <w:bookmarkStart w:id="3" w:name="_Toc212854889"/>
      <w:r w:rsidRPr="00387C1B">
        <w:rPr>
          <w:b/>
          <w:bCs/>
        </w:rPr>
        <w:lastRenderedPageBreak/>
        <w:t>Table S</w:t>
      </w:r>
      <w:r w:rsidRPr="00387C1B">
        <w:rPr>
          <w:b/>
          <w:bCs/>
        </w:rPr>
        <w:fldChar w:fldCharType="begin"/>
      </w:r>
      <w:r w:rsidRPr="00387C1B">
        <w:rPr>
          <w:b/>
          <w:bCs/>
        </w:rPr>
        <w:instrText xml:space="preserve"> SEQ Table \* ARABIC </w:instrText>
      </w:r>
      <w:r w:rsidRPr="00387C1B">
        <w:rPr>
          <w:b/>
          <w:bCs/>
        </w:rPr>
        <w:fldChar w:fldCharType="separate"/>
      </w:r>
      <w:r w:rsidRPr="00387C1B">
        <w:rPr>
          <w:b/>
          <w:bCs/>
          <w:noProof/>
        </w:rPr>
        <w:t>4</w:t>
      </w:r>
      <w:r w:rsidRPr="00387C1B">
        <w:rPr>
          <w:b/>
          <w:bCs/>
        </w:rPr>
        <w:fldChar w:fldCharType="end"/>
      </w:r>
      <w:r w:rsidR="00387C1B" w:rsidRPr="00387C1B">
        <w:rPr>
          <w:b/>
          <w:bCs/>
        </w:rPr>
        <w:t>. Quality assessment of the 29 studies that included patients in the individual participant data meta-analysis using the Newcastle-Ottawa Scale (NOS) for cohort studies.</w:t>
      </w:r>
      <w:r w:rsidR="00387C1B" w:rsidRPr="00387C1B">
        <w:rPr>
          <w:b/>
          <w:bCs/>
        </w:rPr>
        <w:fldChar w:fldCharType="begin"/>
      </w:r>
      <w:r w:rsidR="00987282">
        <w:rPr>
          <w:b/>
          <w:bCs/>
        </w:rPr>
        <w:instrText xml:space="preserve"> ADDIN ZOTERO_ITEM CSL_CITATION {"citationID":"u81i1ZED","properties":{"formattedCitation":"(31)","plainCitation":"(31)","noteIndex":0},"citationItems":[{"id":1939,"uris":["http://zotero.org/users/local/5K0ZcI7M/items/GL3ZJQS9"],"itemData":{"id":1939,"type":"article-journal","language":"en","source":"Zotero","title":"The Newcastle-Ottawa Scale (NOS) for Assessing the Quality of Nonrandomized Studies in Meta- Analysis","author":[{"family":"Wells","given":"G"},{"family":"Shea","given":"B"},{"family":"O’Connell","given":"D"},{"family":"Robertson","given":"J"},{"family":"Peterson","given":"J"},{"family":"Losos","given":"M"},{"family":"Tugwell","given":"P"}]}}],"schema":"https://github.com/citation-style-language/schema/raw/master/csl-citation.json"} </w:instrText>
      </w:r>
      <w:r w:rsidR="00387C1B" w:rsidRPr="00387C1B">
        <w:rPr>
          <w:b/>
          <w:bCs/>
        </w:rPr>
        <w:fldChar w:fldCharType="separate"/>
      </w:r>
      <w:r w:rsidR="00987282">
        <w:rPr>
          <w:b/>
          <w:bCs/>
          <w:noProof/>
        </w:rPr>
        <w:t>(31)</w:t>
      </w:r>
      <w:r w:rsidR="00387C1B" w:rsidRPr="00387C1B">
        <w:rPr>
          <w:b/>
          <w:bCs/>
        </w:rPr>
        <w:fldChar w:fldCharType="end"/>
      </w:r>
      <w:r w:rsidR="00387C1B" w:rsidRPr="00387C1B">
        <w:t xml:space="preserve"> </w:t>
      </w:r>
      <w:r w:rsidR="00387C1B" w:rsidRPr="00387C1B">
        <w:rPr>
          <w:lang w:val="en-GB"/>
        </w:rPr>
        <w:t xml:space="preserve">The thresholds provided by the NIH (National Institutes of Health, </w:t>
      </w:r>
      <w:hyperlink r:id="rId9" w:history="1">
        <w:r w:rsidR="00387C1B" w:rsidRPr="00387C1B">
          <w:rPr>
            <w:rStyle w:val="Lienhypertexte"/>
            <w:lang w:val="en-GB"/>
          </w:rPr>
          <w:t>https://www.ncbi.nlm.nih.gov/books/NBK115843/bin/appe-fm3.pdf</w:t>
        </w:r>
      </w:hyperlink>
      <w:r w:rsidR="00387C1B" w:rsidRPr="00387C1B">
        <w:rPr>
          <w:lang w:val="en-GB"/>
        </w:rPr>
        <w:t xml:space="preserve">) were used to convert the Newcastle-Ottawa scale to AHRQ (Agency for Healthcare Research and Quality). Of the 29 included studies, 11 studies </w:t>
      </w:r>
      <w:r w:rsidR="00387C1B" w:rsidRPr="00387C1B">
        <w:rPr>
          <w:color w:val="000000" w:themeColor="text1"/>
        </w:rPr>
        <w:t>were graded as “good quality” as they had 3 or 4 stars in selection domain AND 1 or 2 stars in comparability domain AND 2 or 3 stars in outcome domain. Other 18 studies were graded as “fair quality” as they had 2 stars in selection domain AND 1 or 2 stars in comparability domain AND 2 or 3 stars in outcome domain.</w:t>
      </w:r>
      <w:bookmarkEnd w:id="3"/>
    </w:p>
    <w:tbl>
      <w:tblPr>
        <w:tblStyle w:val="Grilledutableau"/>
        <w:tblW w:w="0" w:type="auto"/>
        <w:tblLook w:val="04A0" w:firstRow="1" w:lastRow="0" w:firstColumn="1" w:lastColumn="0" w:noHBand="0" w:noVBand="1"/>
      </w:tblPr>
      <w:tblGrid>
        <w:gridCol w:w="3665"/>
        <w:gridCol w:w="1597"/>
        <w:gridCol w:w="798"/>
        <w:gridCol w:w="975"/>
        <w:gridCol w:w="1319"/>
        <w:gridCol w:w="812"/>
        <w:gridCol w:w="1004"/>
        <w:gridCol w:w="1591"/>
        <w:gridCol w:w="493"/>
        <w:gridCol w:w="685"/>
        <w:gridCol w:w="1055"/>
      </w:tblGrid>
      <w:tr w:rsidR="00B924A0" w:rsidRPr="00B924A0" w:rsidTr="00B924A0">
        <w:trPr>
          <w:trHeight w:val="320"/>
        </w:trPr>
        <w:tc>
          <w:tcPr>
            <w:tcW w:w="3665" w:type="dxa"/>
            <w:noWrap/>
            <w:hideMark/>
          </w:tcPr>
          <w:p w:rsidR="00B924A0" w:rsidRPr="00B924A0" w:rsidRDefault="00B924A0">
            <w:pPr>
              <w:jc w:val="left"/>
              <w:rPr>
                <w:b/>
                <w:bCs/>
                <w:sz w:val="20"/>
                <w:szCs w:val="20"/>
                <w:lang w:val="fr-FR"/>
              </w:rPr>
            </w:pPr>
          </w:p>
        </w:tc>
        <w:tc>
          <w:tcPr>
            <w:tcW w:w="1597" w:type="dxa"/>
            <w:noWrap/>
            <w:hideMark/>
          </w:tcPr>
          <w:p w:rsidR="00B924A0" w:rsidRPr="00B924A0" w:rsidRDefault="00B924A0" w:rsidP="00B924A0">
            <w:pPr>
              <w:jc w:val="left"/>
              <w:rPr>
                <w:b/>
                <w:bCs/>
                <w:sz w:val="20"/>
                <w:szCs w:val="20"/>
              </w:rPr>
            </w:pPr>
          </w:p>
        </w:tc>
        <w:tc>
          <w:tcPr>
            <w:tcW w:w="798" w:type="dxa"/>
            <w:noWrap/>
            <w:hideMark/>
          </w:tcPr>
          <w:p w:rsidR="00B924A0" w:rsidRPr="00B924A0" w:rsidRDefault="00B924A0" w:rsidP="00B924A0">
            <w:pPr>
              <w:jc w:val="left"/>
              <w:rPr>
                <w:b/>
                <w:bCs/>
                <w:sz w:val="20"/>
                <w:szCs w:val="20"/>
              </w:rPr>
            </w:pPr>
          </w:p>
        </w:tc>
        <w:tc>
          <w:tcPr>
            <w:tcW w:w="4110" w:type="dxa"/>
            <w:gridSpan w:val="4"/>
            <w:noWrap/>
            <w:hideMark/>
          </w:tcPr>
          <w:p w:rsidR="00B924A0" w:rsidRPr="00B924A0" w:rsidRDefault="00B924A0" w:rsidP="00B924A0">
            <w:pPr>
              <w:jc w:val="center"/>
              <w:rPr>
                <w:b/>
                <w:bCs/>
                <w:sz w:val="20"/>
                <w:szCs w:val="20"/>
              </w:rPr>
            </w:pPr>
            <w:r w:rsidRPr="00B924A0">
              <w:rPr>
                <w:b/>
                <w:bCs/>
                <w:sz w:val="20"/>
                <w:szCs w:val="20"/>
              </w:rPr>
              <w:t>Selection</w:t>
            </w:r>
          </w:p>
        </w:tc>
        <w:tc>
          <w:tcPr>
            <w:tcW w:w="1591" w:type="dxa"/>
            <w:noWrap/>
            <w:hideMark/>
          </w:tcPr>
          <w:p w:rsidR="00B924A0" w:rsidRPr="00B924A0" w:rsidRDefault="00B924A0" w:rsidP="00B924A0">
            <w:pPr>
              <w:jc w:val="center"/>
              <w:rPr>
                <w:b/>
                <w:bCs/>
                <w:sz w:val="20"/>
                <w:szCs w:val="20"/>
              </w:rPr>
            </w:pPr>
            <w:r w:rsidRPr="00B924A0">
              <w:rPr>
                <w:b/>
                <w:bCs/>
                <w:sz w:val="20"/>
                <w:szCs w:val="20"/>
              </w:rPr>
              <w:t>Comparability</w:t>
            </w:r>
          </w:p>
        </w:tc>
        <w:tc>
          <w:tcPr>
            <w:tcW w:w="2233" w:type="dxa"/>
            <w:gridSpan w:val="3"/>
            <w:noWrap/>
            <w:hideMark/>
          </w:tcPr>
          <w:p w:rsidR="00B924A0" w:rsidRPr="00B924A0" w:rsidRDefault="00B924A0" w:rsidP="00B924A0">
            <w:pPr>
              <w:jc w:val="center"/>
              <w:rPr>
                <w:b/>
                <w:bCs/>
                <w:sz w:val="20"/>
                <w:szCs w:val="20"/>
              </w:rPr>
            </w:pPr>
            <w:r w:rsidRPr="00B924A0">
              <w:rPr>
                <w:b/>
                <w:bCs/>
                <w:sz w:val="20"/>
                <w:szCs w:val="20"/>
              </w:rPr>
              <w:t>Outcome</w:t>
            </w:r>
          </w:p>
        </w:tc>
      </w:tr>
      <w:tr w:rsidR="00B924A0" w:rsidRPr="00B924A0" w:rsidTr="00B924A0">
        <w:trPr>
          <w:cantSplit/>
          <w:trHeight w:val="1134"/>
        </w:trPr>
        <w:tc>
          <w:tcPr>
            <w:tcW w:w="3665" w:type="dxa"/>
            <w:noWrap/>
            <w:hideMark/>
          </w:tcPr>
          <w:p w:rsidR="00B924A0" w:rsidRPr="00B924A0" w:rsidRDefault="00B924A0">
            <w:pPr>
              <w:jc w:val="left"/>
              <w:rPr>
                <w:b/>
                <w:bCs/>
                <w:sz w:val="20"/>
                <w:szCs w:val="20"/>
              </w:rPr>
            </w:pPr>
            <w:r w:rsidRPr="00B924A0">
              <w:rPr>
                <w:b/>
                <w:bCs/>
                <w:sz w:val="20"/>
                <w:szCs w:val="20"/>
              </w:rPr>
              <w:t>Title</w:t>
            </w:r>
          </w:p>
        </w:tc>
        <w:tc>
          <w:tcPr>
            <w:tcW w:w="1597" w:type="dxa"/>
            <w:noWrap/>
            <w:hideMark/>
          </w:tcPr>
          <w:p w:rsidR="00B924A0" w:rsidRPr="00B924A0" w:rsidRDefault="00B924A0" w:rsidP="00B924A0">
            <w:pPr>
              <w:jc w:val="left"/>
              <w:rPr>
                <w:b/>
                <w:bCs/>
                <w:sz w:val="20"/>
                <w:szCs w:val="20"/>
              </w:rPr>
            </w:pPr>
            <w:r w:rsidRPr="00B924A0">
              <w:rPr>
                <w:b/>
                <w:bCs/>
                <w:sz w:val="20"/>
                <w:szCs w:val="20"/>
              </w:rPr>
              <w:t>First author</w:t>
            </w:r>
          </w:p>
        </w:tc>
        <w:tc>
          <w:tcPr>
            <w:tcW w:w="798" w:type="dxa"/>
            <w:noWrap/>
            <w:textDirection w:val="btLr"/>
            <w:hideMark/>
          </w:tcPr>
          <w:p w:rsidR="00B924A0" w:rsidRPr="00B924A0" w:rsidRDefault="00B924A0" w:rsidP="00B924A0">
            <w:pPr>
              <w:ind w:left="113" w:right="113"/>
              <w:jc w:val="left"/>
              <w:rPr>
                <w:b/>
                <w:bCs/>
                <w:sz w:val="20"/>
                <w:szCs w:val="20"/>
              </w:rPr>
            </w:pPr>
            <w:r w:rsidRPr="00B924A0">
              <w:rPr>
                <w:b/>
                <w:bCs/>
                <w:sz w:val="20"/>
                <w:szCs w:val="20"/>
              </w:rPr>
              <w:t>Publication year</w:t>
            </w:r>
          </w:p>
        </w:tc>
        <w:tc>
          <w:tcPr>
            <w:tcW w:w="975"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Representativeness</w:t>
            </w:r>
          </w:p>
        </w:tc>
        <w:tc>
          <w:tcPr>
            <w:tcW w:w="1319"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Selection of the non-exposed cohort</w:t>
            </w:r>
          </w:p>
        </w:tc>
        <w:tc>
          <w:tcPr>
            <w:tcW w:w="812"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Ascertainment</w:t>
            </w:r>
          </w:p>
        </w:tc>
        <w:tc>
          <w:tcPr>
            <w:tcW w:w="1004"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Outcome not present at start</w:t>
            </w:r>
          </w:p>
        </w:tc>
        <w:tc>
          <w:tcPr>
            <w:tcW w:w="1591" w:type="dxa"/>
            <w:noWrap/>
            <w:textDirection w:val="btLr"/>
            <w:hideMark/>
          </w:tcPr>
          <w:p w:rsidR="00B924A0" w:rsidRPr="00B924A0" w:rsidRDefault="00B924A0" w:rsidP="00B924A0">
            <w:pPr>
              <w:ind w:left="113" w:right="113"/>
              <w:jc w:val="left"/>
              <w:rPr>
                <w:b/>
                <w:bCs/>
                <w:sz w:val="18"/>
                <w:szCs w:val="18"/>
              </w:rPr>
            </w:pPr>
          </w:p>
        </w:tc>
        <w:tc>
          <w:tcPr>
            <w:tcW w:w="493"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Assessment</w:t>
            </w:r>
          </w:p>
        </w:tc>
        <w:tc>
          <w:tcPr>
            <w:tcW w:w="685"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Follow-up</w:t>
            </w:r>
          </w:p>
        </w:tc>
        <w:tc>
          <w:tcPr>
            <w:tcW w:w="1055" w:type="dxa"/>
            <w:noWrap/>
            <w:textDirection w:val="btLr"/>
            <w:hideMark/>
          </w:tcPr>
          <w:p w:rsidR="00B924A0" w:rsidRPr="00B924A0" w:rsidRDefault="00B924A0" w:rsidP="00B924A0">
            <w:pPr>
              <w:ind w:left="113" w:right="113"/>
              <w:jc w:val="left"/>
              <w:rPr>
                <w:b/>
                <w:bCs/>
                <w:sz w:val="18"/>
                <w:szCs w:val="18"/>
              </w:rPr>
            </w:pPr>
            <w:r w:rsidRPr="00B924A0">
              <w:rPr>
                <w:b/>
                <w:bCs/>
                <w:sz w:val="18"/>
                <w:szCs w:val="18"/>
              </w:rPr>
              <w:t>Adequacy of follow-up</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Predictors of noninvasive ventilation failure in patients with hematologic malignancy and acute respiratory failure </w:t>
            </w:r>
          </w:p>
        </w:tc>
        <w:tc>
          <w:tcPr>
            <w:tcW w:w="1597" w:type="dxa"/>
            <w:noWrap/>
            <w:hideMark/>
          </w:tcPr>
          <w:p w:rsidR="00387C1B" w:rsidRPr="00B924A0" w:rsidRDefault="00387C1B" w:rsidP="00387C1B">
            <w:pPr>
              <w:jc w:val="left"/>
              <w:rPr>
                <w:sz w:val="20"/>
                <w:szCs w:val="20"/>
              </w:rPr>
            </w:pPr>
            <w:r w:rsidRPr="00B924A0">
              <w:rPr>
                <w:sz w:val="20"/>
                <w:szCs w:val="20"/>
              </w:rPr>
              <w:t>M. Adda</w:t>
            </w:r>
          </w:p>
        </w:tc>
        <w:tc>
          <w:tcPr>
            <w:tcW w:w="798" w:type="dxa"/>
            <w:noWrap/>
            <w:hideMark/>
          </w:tcPr>
          <w:p w:rsidR="00387C1B" w:rsidRPr="00B924A0" w:rsidRDefault="00387C1B" w:rsidP="00387C1B">
            <w:pPr>
              <w:jc w:val="left"/>
              <w:rPr>
                <w:sz w:val="20"/>
                <w:szCs w:val="20"/>
              </w:rPr>
            </w:pPr>
            <w:r w:rsidRPr="00B924A0">
              <w:rPr>
                <w:sz w:val="20"/>
                <w:szCs w:val="20"/>
              </w:rPr>
              <w:t>2008</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lang w:val="fr-FR"/>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Deterioration of previous acute lung injury during neutropenia recovery </w:t>
            </w:r>
          </w:p>
        </w:tc>
        <w:tc>
          <w:tcPr>
            <w:tcW w:w="1597" w:type="dxa"/>
            <w:noWrap/>
            <w:hideMark/>
          </w:tcPr>
          <w:p w:rsidR="00387C1B" w:rsidRPr="00B924A0" w:rsidRDefault="00387C1B" w:rsidP="00387C1B">
            <w:pPr>
              <w:jc w:val="left"/>
              <w:rPr>
                <w:sz w:val="20"/>
                <w:szCs w:val="20"/>
              </w:rPr>
            </w:pPr>
            <w:r w:rsidRPr="00B924A0">
              <w:rPr>
                <w:sz w:val="20"/>
                <w:szCs w:val="20"/>
              </w:rPr>
              <w:t>E. Azoulay</w:t>
            </w:r>
          </w:p>
        </w:tc>
        <w:tc>
          <w:tcPr>
            <w:tcW w:w="798" w:type="dxa"/>
            <w:noWrap/>
            <w:hideMark/>
          </w:tcPr>
          <w:p w:rsidR="00387C1B" w:rsidRPr="00B924A0" w:rsidRDefault="00387C1B" w:rsidP="00387C1B">
            <w:pPr>
              <w:jc w:val="left"/>
              <w:rPr>
                <w:sz w:val="20"/>
                <w:szCs w:val="20"/>
              </w:rPr>
            </w:pPr>
            <w:r w:rsidRPr="00B924A0">
              <w:rPr>
                <w:sz w:val="20"/>
                <w:szCs w:val="20"/>
              </w:rPr>
              <w:t>2002</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The Prognosis of Acute Respiratory Failure in Critically Ill Cancer Patients </w:t>
            </w:r>
          </w:p>
        </w:tc>
        <w:tc>
          <w:tcPr>
            <w:tcW w:w="1597" w:type="dxa"/>
            <w:noWrap/>
            <w:hideMark/>
          </w:tcPr>
          <w:p w:rsidR="00387C1B" w:rsidRPr="00B924A0" w:rsidRDefault="00387C1B" w:rsidP="00387C1B">
            <w:pPr>
              <w:jc w:val="left"/>
              <w:rPr>
                <w:sz w:val="20"/>
                <w:szCs w:val="20"/>
              </w:rPr>
            </w:pPr>
            <w:r w:rsidRPr="00B924A0">
              <w:rPr>
                <w:sz w:val="20"/>
                <w:szCs w:val="20"/>
              </w:rPr>
              <w:t>E. Azoulay</w:t>
            </w:r>
          </w:p>
        </w:tc>
        <w:tc>
          <w:tcPr>
            <w:tcW w:w="798" w:type="dxa"/>
            <w:noWrap/>
            <w:hideMark/>
          </w:tcPr>
          <w:p w:rsidR="00387C1B" w:rsidRPr="00B924A0" w:rsidRDefault="00387C1B" w:rsidP="00387C1B">
            <w:pPr>
              <w:jc w:val="left"/>
              <w:rPr>
                <w:sz w:val="20"/>
                <w:szCs w:val="20"/>
              </w:rPr>
            </w:pPr>
            <w:r w:rsidRPr="00B924A0">
              <w:rPr>
                <w:sz w:val="20"/>
                <w:szCs w:val="20"/>
              </w:rPr>
              <w:t>2004</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Dexamethasone in patients with acute lung injury from acute monocytic </w:t>
            </w:r>
            <w:proofErr w:type="spellStart"/>
            <w:r w:rsidRPr="00B924A0">
              <w:rPr>
                <w:b/>
                <w:bCs/>
                <w:sz w:val="20"/>
                <w:szCs w:val="20"/>
              </w:rPr>
              <w:t>leukaemia</w:t>
            </w:r>
            <w:proofErr w:type="spellEnd"/>
            <w:r w:rsidRPr="00B924A0">
              <w:rPr>
                <w:b/>
                <w:bCs/>
                <w:sz w:val="20"/>
                <w:szCs w:val="20"/>
              </w:rPr>
              <w:t xml:space="preserve"> </w:t>
            </w:r>
          </w:p>
        </w:tc>
        <w:tc>
          <w:tcPr>
            <w:tcW w:w="1597" w:type="dxa"/>
            <w:noWrap/>
            <w:hideMark/>
          </w:tcPr>
          <w:p w:rsidR="00387C1B" w:rsidRPr="00B924A0" w:rsidRDefault="00387C1B" w:rsidP="00387C1B">
            <w:pPr>
              <w:jc w:val="left"/>
              <w:rPr>
                <w:sz w:val="20"/>
                <w:szCs w:val="20"/>
              </w:rPr>
            </w:pPr>
            <w:r w:rsidRPr="00B924A0">
              <w:rPr>
                <w:sz w:val="20"/>
                <w:szCs w:val="20"/>
              </w:rPr>
              <w:t>E. Azoulay</w:t>
            </w:r>
          </w:p>
        </w:tc>
        <w:tc>
          <w:tcPr>
            <w:tcW w:w="798" w:type="dxa"/>
            <w:noWrap/>
            <w:hideMark/>
          </w:tcPr>
          <w:p w:rsidR="00387C1B" w:rsidRPr="00B924A0" w:rsidRDefault="00387C1B" w:rsidP="00387C1B">
            <w:pPr>
              <w:jc w:val="left"/>
              <w:rPr>
                <w:sz w:val="20"/>
                <w:szCs w:val="20"/>
              </w:rPr>
            </w:pPr>
            <w:r w:rsidRPr="00B924A0">
              <w:rPr>
                <w:sz w:val="20"/>
                <w:szCs w:val="20"/>
              </w:rPr>
              <w:t>2012</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r w:rsidRPr="00B924A0">
              <w:rPr>
                <w:sz w:val="20"/>
                <w:szCs w:val="20"/>
              </w:rPr>
              <w:t>*</w:t>
            </w: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r w:rsidRPr="00B924A0">
              <w:rPr>
                <w:sz w:val="20"/>
                <w:szCs w:val="20"/>
              </w:rPr>
              <w:t>*</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Outcomes of Critically Ill Patients </w:t>
            </w:r>
            <w:proofErr w:type="gramStart"/>
            <w:r w:rsidRPr="00B924A0">
              <w:rPr>
                <w:b/>
                <w:bCs/>
                <w:sz w:val="20"/>
                <w:szCs w:val="20"/>
              </w:rPr>
              <w:t>With</w:t>
            </w:r>
            <w:proofErr w:type="gramEnd"/>
            <w:r w:rsidRPr="00B924A0">
              <w:rPr>
                <w:b/>
                <w:bCs/>
                <w:sz w:val="20"/>
                <w:szCs w:val="20"/>
              </w:rPr>
              <w:t xml:space="preserve"> Hematologic Malignancies: Prospective Multicenter Data </w:t>
            </w:r>
            <w:proofErr w:type="gramStart"/>
            <w:r w:rsidRPr="00B924A0">
              <w:rPr>
                <w:b/>
                <w:bCs/>
                <w:sz w:val="20"/>
                <w:szCs w:val="20"/>
              </w:rPr>
              <w:t>From</w:t>
            </w:r>
            <w:proofErr w:type="gramEnd"/>
            <w:r w:rsidRPr="00B924A0">
              <w:rPr>
                <w:b/>
                <w:bCs/>
                <w:sz w:val="20"/>
                <w:szCs w:val="20"/>
              </w:rPr>
              <w:t xml:space="preserve"> France and Belgium—A Groupe de Recherche </w:t>
            </w:r>
            <w:proofErr w:type="spellStart"/>
            <w:r w:rsidRPr="00B924A0">
              <w:rPr>
                <w:b/>
                <w:bCs/>
                <w:sz w:val="20"/>
                <w:szCs w:val="20"/>
              </w:rPr>
              <w:t>Respiratoire</w:t>
            </w:r>
            <w:proofErr w:type="spellEnd"/>
            <w:r w:rsidRPr="00B924A0">
              <w:rPr>
                <w:b/>
                <w:bCs/>
                <w:sz w:val="20"/>
                <w:szCs w:val="20"/>
              </w:rPr>
              <w:t xml:space="preserve"> </w:t>
            </w:r>
            <w:proofErr w:type="spellStart"/>
            <w:r w:rsidRPr="00B924A0">
              <w:rPr>
                <w:b/>
                <w:bCs/>
                <w:sz w:val="20"/>
                <w:szCs w:val="20"/>
              </w:rPr>
              <w:t>en</w:t>
            </w:r>
            <w:proofErr w:type="spellEnd"/>
            <w:r w:rsidRPr="00B924A0">
              <w:rPr>
                <w:b/>
                <w:bCs/>
                <w:sz w:val="20"/>
                <w:szCs w:val="20"/>
              </w:rPr>
              <w:t xml:space="preserve"> </w:t>
            </w:r>
            <w:proofErr w:type="spellStart"/>
            <w:r w:rsidRPr="00B924A0">
              <w:rPr>
                <w:b/>
                <w:bCs/>
                <w:sz w:val="20"/>
                <w:szCs w:val="20"/>
              </w:rPr>
              <w:t>Réanimation</w:t>
            </w:r>
            <w:proofErr w:type="spellEnd"/>
            <w:r w:rsidRPr="00B924A0">
              <w:rPr>
                <w:b/>
                <w:bCs/>
                <w:sz w:val="20"/>
                <w:szCs w:val="20"/>
              </w:rPr>
              <w:t xml:space="preserve"> Onco-</w:t>
            </w:r>
            <w:proofErr w:type="spellStart"/>
            <w:r w:rsidRPr="00B924A0">
              <w:rPr>
                <w:b/>
                <w:bCs/>
                <w:sz w:val="20"/>
                <w:szCs w:val="20"/>
              </w:rPr>
              <w:t>Hématologique</w:t>
            </w:r>
            <w:proofErr w:type="spellEnd"/>
            <w:r w:rsidRPr="00B924A0">
              <w:rPr>
                <w:b/>
                <w:bCs/>
                <w:sz w:val="20"/>
                <w:szCs w:val="20"/>
              </w:rPr>
              <w:t xml:space="preserve"> Study </w:t>
            </w:r>
          </w:p>
        </w:tc>
        <w:tc>
          <w:tcPr>
            <w:tcW w:w="1597" w:type="dxa"/>
            <w:noWrap/>
            <w:hideMark/>
          </w:tcPr>
          <w:p w:rsidR="00387C1B" w:rsidRPr="00B924A0" w:rsidRDefault="00387C1B" w:rsidP="00387C1B">
            <w:pPr>
              <w:jc w:val="left"/>
              <w:rPr>
                <w:sz w:val="20"/>
                <w:szCs w:val="20"/>
              </w:rPr>
            </w:pPr>
            <w:r w:rsidRPr="00B924A0">
              <w:rPr>
                <w:sz w:val="20"/>
                <w:szCs w:val="20"/>
              </w:rPr>
              <w:t>E. Azoulay</w:t>
            </w:r>
          </w:p>
        </w:tc>
        <w:tc>
          <w:tcPr>
            <w:tcW w:w="798" w:type="dxa"/>
            <w:noWrap/>
            <w:hideMark/>
          </w:tcPr>
          <w:p w:rsidR="00387C1B" w:rsidRPr="00B924A0" w:rsidRDefault="00387C1B" w:rsidP="00387C1B">
            <w:pPr>
              <w:jc w:val="left"/>
              <w:rPr>
                <w:sz w:val="20"/>
                <w:szCs w:val="20"/>
              </w:rPr>
            </w:pPr>
            <w:r w:rsidRPr="00B924A0">
              <w:rPr>
                <w:sz w:val="20"/>
                <w:szCs w:val="20"/>
              </w:rPr>
              <w:t>2013</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r w:rsidRPr="00B924A0">
              <w:rPr>
                <w:sz w:val="20"/>
                <w:szCs w:val="20"/>
              </w:rPr>
              <w:t>*</w:t>
            </w: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r w:rsidRPr="00B924A0">
              <w:rPr>
                <w:sz w:val="20"/>
                <w:szCs w:val="20"/>
              </w:rPr>
              <w:t>*</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Determinants of 1-year survival in critically ill acute leukemia patients: a GRRR-OH study</w:t>
            </w:r>
          </w:p>
        </w:tc>
        <w:tc>
          <w:tcPr>
            <w:tcW w:w="1597" w:type="dxa"/>
            <w:noWrap/>
            <w:hideMark/>
          </w:tcPr>
          <w:p w:rsidR="00387C1B" w:rsidRPr="00B924A0" w:rsidRDefault="00387C1B" w:rsidP="00387C1B">
            <w:pPr>
              <w:jc w:val="left"/>
              <w:rPr>
                <w:sz w:val="20"/>
                <w:szCs w:val="20"/>
              </w:rPr>
            </w:pPr>
            <w:r w:rsidRPr="00B924A0">
              <w:rPr>
                <w:sz w:val="20"/>
                <w:szCs w:val="20"/>
              </w:rPr>
              <w:t>M. Tavares</w:t>
            </w:r>
          </w:p>
        </w:tc>
        <w:tc>
          <w:tcPr>
            <w:tcW w:w="798" w:type="dxa"/>
            <w:noWrap/>
            <w:hideMark/>
          </w:tcPr>
          <w:p w:rsidR="00387C1B" w:rsidRPr="00B924A0" w:rsidRDefault="00387C1B" w:rsidP="00387C1B">
            <w:pPr>
              <w:jc w:val="left"/>
              <w:rPr>
                <w:sz w:val="20"/>
                <w:szCs w:val="20"/>
              </w:rPr>
            </w:pPr>
            <w:r w:rsidRPr="00B924A0">
              <w:rPr>
                <w:sz w:val="20"/>
                <w:szCs w:val="20"/>
              </w:rPr>
              <w:t>2018</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r w:rsidRPr="00B924A0">
              <w:rPr>
                <w:sz w:val="20"/>
                <w:szCs w:val="20"/>
              </w:rPr>
              <w:t>*</w:t>
            </w: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r w:rsidRPr="00B924A0">
              <w:rPr>
                <w:sz w:val="20"/>
                <w:szCs w:val="20"/>
              </w:rPr>
              <w:t>*</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Predictors of intensive care unit admission in patients with hematologic malignancy</w:t>
            </w:r>
          </w:p>
        </w:tc>
        <w:tc>
          <w:tcPr>
            <w:tcW w:w="1597" w:type="dxa"/>
            <w:noWrap/>
            <w:hideMark/>
          </w:tcPr>
          <w:p w:rsidR="00387C1B" w:rsidRPr="00B924A0" w:rsidRDefault="00387C1B" w:rsidP="00387C1B">
            <w:pPr>
              <w:jc w:val="left"/>
              <w:rPr>
                <w:sz w:val="20"/>
                <w:szCs w:val="20"/>
              </w:rPr>
            </w:pPr>
            <w:r w:rsidRPr="00B924A0">
              <w:rPr>
                <w:sz w:val="20"/>
                <w:szCs w:val="20"/>
              </w:rPr>
              <w:t xml:space="preserve">A. </w:t>
            </w:r>
            <w:proofErr w:type="spellStart"/>
            <w:r w:rsidRPr="00B924A0">
              <w:rPr>
                <w:sz w:val="20"/>
                <w:szCs w:val="20"/>
              </w:rPr>
              <w:t>Vijenthira</w:t>
            </w:r>
            <w:proofErr w:type="spellEnd"/>
          </w:p>
        </w:tc>
        <w:tc>
          <w:tcPr>
            <w:tcW w:w="798" w:type="dxa"/>
            <w:noWrap/>
            <w:hideMark/>
          </w:tcPr>
          <w:p w:rsidR="00387C1B" w:rsidRPr="00B924A0" w:rsidRDefault="00387C1B" w:rsidP="00387C1B">
            <w:pPr>
              <w:jc w:val="left"/>
              <w:rPr>
                <w:sz w:val="20"/>
                <w:szCs w:val="20"/>
              </w:rPr>
            </w:pPr>
            <w:r w:rsidRPr="00B924A0">
              <w:rPr>
                <w:sz w:val="20"/>
                <w:szCs w:val="20"/>
              </w:rPr>
              <w:t>2020</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lastRenderedPageBreak/>
              <w:t xml:space="preserve">Hospital-acquired infections at an oncological intensive care cancer unit: differences between solid and hematological cancer patients </w:t>
            </w:r>
          </w:p>
        </w:tc>
        <w:tc>
          <w:tcPr>
            <w:tcW w:w="1597" w:type="dxa"/>
            <w:noWrap/>
            <w:hideMark/>
          </w:tcPr>
          <w:p w:rsidR="00387C1B" w:rsidRPr="00B924A0" w:rsidRDefault="00387C1B" w:rsidP="00387C1B">
            <w:pPr>
              <w:jc w:val="left"/>
              <w:rPr>
                <w:sz w:val="20"/>
                <w:szCs w:val="20"/>
              </w:rPr>
            </w:pPr>
            <w:r w:rsidRPr="00B924A0">
              <w:rPr>
                <w:sz w:val="20"/>
                <w:szCs w:val="20"/>
              </w:rPr>
              <w:t>P. Cornejo-Juarez</w:t>
            </w:r>
          </w:p>
        </w:tc>
        <w:tc>
          <w:tcPr>
            <w:tcW w:w="798" w:type="dxa"/>
            <w:noWrap/>
            <w:hideMark/>
          </w:tcPr>
          <w:p w:rsidR="00387C1B" w:rsidRPr="00B924A0" w:rsidRDefault="00387C1B" w:rsidP="00387C1B">
            <w:pPr>
              <w:jc w:val="left"/>
              <w:rPr>
                <w:sz w:val="20"/>
                <w:szCs w:val="20"/>
              </w:rPr>
            </w:pPr>
            <w:r w:rsidRPr="00B924A0">
              <w:rPr>
                <w:sz w:val="20"/>
                <w:szCs w:val="20"/>
              </w:rPr>
              <w:t>2016</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Intensive care in patients with newly diagnosed malignancies and a need for cancer chemotherapy </w:t>
            </w:r>
          </w:p>
        </w:tc>
        <w:tc>
          <w:tcPr>
            <w:tcW w:w="1597" w:type="dxa"/>
            <w:noWrap/>
            <w:hideMark/>
          </w:tcPr>
          <w:p w:rsidR="00387C1B" w:rsidRPr="00B924A0" w:rsidRDefault="00387C1B" w:rsidP="00387C1B">
            <w:pPr>
              <w:jc w:val="left"/>
              <w:rPr>
                <w:sz w:val="20"/>
                <w:szCs w:val="20"/>
              </w:rPr>
            </w:pPr>
            <w:r w:rsidRPr="00B924A0">
              <w:rPr>
                <w:sz w:val="20"/>
                <w:szCs w:val="20"/>
              </w:rPr>
              <w:t>M. Darmon</w:t>
            </w:r>
          </w:p>
        </w:tc>
        <w:tc>
          <w:tcPr>
            <w:tcW w:w="798" w:type="dxa"/>
            <w:noWrap/>
            <w:hideMark/>
          </w:tcPr>
          <w:p w:rsidR="00387C1B" w:rsidRPr="00B924A0" w:rsidRDefault="00387C1B" w:rsidP="00387C1B">
            <w:pPr>
              <w:jc w:val="left"/>
              <w:rPr>
                <w:sz w:val="20"/>
                <w:szCs w:val="20"/>
              </w:rPr>
            </w:pPr>
            <w:r w:rsidRPr="00B924A0">
              <w:rPr>
                <w:sz w:val="20"/>
                <w:szCs w:val="20"/>
              </w:rPr>
              <w:t>2005</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Molecular detection of respiratory viruses in </w:t>
            </w:r>
            <w:proofErr w:type="spellStart"/>
            <w:r w:rsidRPr="00B924A0">
              <w:rPr>
                <w:b/>
                <w:bCs/>
                <w:sz w:val="20"/>
                <w:szCs w:val="20"/>
              </w:rPr>
              <w:t>immunocopromised</w:t>
            </w:r>
            <w:proofErr w:type="spellEnd"/>
            <w:r w:rsidRPr="00B924A0">
              <w:rPr>
                <w:b/>
                <w:bCs/>
                <w:sz w:val="20"/>
                <w:szCs w:val="20"/>
              </w:rPr>
              <w:t xml:space="preserve"> ICU patients: Incidence and meaning </w:t>
            </w:r>
          </w:p>
        </w:tc>
        <w:tc>
          <w:tcPr>
            <w:tcW w:w="1597" w:type="dxa"/>
            <w:noWrap/>
            <w:hideMark/>
          </w:tcPr>
          <w:p w:rsidR="00387C1B" w:rsidRPr="00B924A0" w:rsidRDefault="00387C1B" w:rsidP="00387C1B">
            <w:pPr>
              <w:jc w:val="left"/>
              <w:rPr>
                <w:sz w:val="20"/>
                <w:szCs w:val="20"/>
              </w:rPr>
            </w:pPr>
            <w:r w:rsidRPr="00B924A0">
              <w:rPr>
                <w:sz w:val="20"/>
                <w:szCs w:val="20"/>
              </w:rPr>
              <w:t>D. Schnell</w:t>
            </w:r>
          </w:p>
        </w:tc>
        <w:tc>
          <w:tcPr>
            <w:tcW w:w="798" w:type="dxa"/>
            <w:noWrap/>
            <w:hideMark/>
          </w:tcPr>
          <w:p w:rsidR="00387C1B" w:rsidRPr="00B924A0" w:rsidRDefault="00387C1B" w:rsidP="00387C1B">
            <w:pPr>
              <w:jc w:val="left"/>
              <w:rPr>
                <w:sz w:val="20"/>
                <w:szCs w:val="20"/>
              </w:rPr>
            </w:pPr>
            <w:r w:rsidRPr="00B924A0">
              <w:rPr>
                <w:sz w:val="20"/>
                <w:szCs w:val="20"/>
              </w:rPr>
              <w:t>2012</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Improved survival rates of AML patients following admission to the intensive care unit </w:t>
            </w:r>
          </w:p>
        </w:tc>
        <w:tc>
          <w:tcPr>
            <w:tcW w:w="1597" w:type="dxa"/>
            <w:noWrap/>
            <w:hideMark/>
          </w:tcPr>
          <w:p w:rsidR="00387C1B" w:rsidRPr="00B924A0" w:rsidRDefault="00387C1B" w:rsidP="00387C1B">
            <w:pPr>
              <w:jc w:val="left"/>
              <w:rPr>
                <w:sz w:val="20"/>
                <w:szCs w:val="20"/>
              </w:rPr>
            </w:pPr>
            <w:r w:rsidRPr="00B924A0">
              <w:rPr>
                <w:sz w:val="20"/>
                <w:szCs w:val="20"/>
              </w:rPr>
              <w:t>P. Fassbind</w:t>
            </w:r>
          </w:p>
        </w:tc>
        <w:tc>
          <w:tcPr>
            <w:tcW w:w="798" w:type="dxa"/>
            <w:noWrap/>
            <w:hideMark/>
          </w:tcPr>
          <w:p w:rsidR="00387C1B" w:rsidRPr="00B924A0" w:rsidRDefault="00387C1B" w:rsidP="00387C1B">
            <w:pPr>
              <w:jc w:val="left"/>
              <w:rPr>
                <w:sz w:val="20"/>
                <w:szCs w:val="20"/>
              </w:rPr>
            </w:pPr>
            <w:r w:rsidRPr="00B924A0">
              <w:rPr>
                <w:sz w:val="20"/>
                <w:szCs w:val="20"/>
              </w:rPr>
              <w:t>2019</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r w:rsidRPr="00B924A0">
              <w:rPr>
                <w:sz w:val="20"/>
                <w:szCs w:val="20"/>
              </w:rPr>
              <w:t>*</w:t>
            </w: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r w:rsidRPr="00B924A0">
              <w:rPr>
                <w:sz w:val="20"/>
                <w:szCs w:val="20"/>
              </w:rPr>
              <w:t>*</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Prognostic factors in critically ill cancer patients admitted to the intensive care unit </w:t>
            </w:r>
          </w:p>
        </w:tc>
        <w:tc>
          <w:tcPr>
            <w:tcW w:w="1597" w:type="dxa"/>
            <w:noWrap/>
            <w:hideMark/>
          </w:tcPr>
          <w:p w:rsidR="00387C1B" w:rsidRPr="00B924A0" w:rsidRDefault="00387C1B" w:rsidP="00387C1B">
            <w:pPr>
              <w:jc w:val="left"/>
              <w:rPr>
                <w:sz w:val="20"/>
                <w:szCs w:val="20"/>
              </w:rPr>
            </w:pPr>
            <w:r w:rsidRPr="00B924A0">
              <w:rPr>
                <w:sz w:val="20"/>
                <w:szCs w:val="20"/>
              </w:rPr>
              <w:t xml:space="preserve">G. </w:t>
            </w:r>
            <w:proofErr w:type="spellStart"/>
            <w:r w:rsidRPr="00B924A0">
              <w:rPr>
                <w:sz w:val="20"/>
                <w:szCs w:val="20"/>
              </w:rPr>
              <w:t>Aygencel</w:t>
            </w:r>
            <w:proofErr w:type="spellEnd"/>
          </w:p>
        </w:tc>
        <w:tc>
          <w:tcPr>
            <w:tcW w:w="798" w:type="dxa"/>
            <w:noWrap/>
            <w:hideMark/>
          </w:tcPr>
          <w:p w:rsidR="00387C1B" w:rsidRPr="00B924A0" w:rsidRDefault="00387C1B" w:rsidP="00387C1B">
            <w:pPr>
              <w:jc w:val="left"/>
              <w:rPr>
                <w:sz w:val="20"/>
                <w:szCs w:val="20"/>
              </w:rPr>
            </w:pPr>
            <w:r w:rsidRPr="00B924A0">
              <w:rPr>
                <w:sz w:val="20"/>
                <w:szCs w:val="20"/>
              </w:rPr>
              <w:t>2014</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r w:rsidRPr="00B924A0">
              <w:rPr>
                <w:sz w:val="20"/>
                <w:szCs w:val="20"/>
              </w:rPr>
              <w:t>*</w:t>
            </w: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r w:rsidRPr="00B924A0">
              <w:rPr>
                <w:sz w:val="20"/>
                <w:szCs w:val="20"/>
              </w:rPr>
              <w:t>*</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Can treating critically-ill </w:t>
            </w:r>
            <w:proofErr w:type="spellStart"/>
            <w:r w:rsidRPr="00B924A0">
              <w:rPr>
                <w:b/>
                <w:bCs/>
                <w:sz w:val="20"/>
                <w:szCs w:val="20"/>
              </w:rPr>
              <w:t>haematological</w:t>
            </w:r>
            <w:proofErr w:type="spellEnd"/>
            <w:r w:rsidRPr="00B924A0">
              <w:rPr>
                <w:b/>
                <w:bCs/>
                <w:sz w:val="20"/>
                <w:szCs w:val="20"/>
              </w:rPr>
              <w:t xml:space="preserve"> malignancy patients in a separate intensive care unit decrease intensive care unit mortality? </w:t>
            </w:r>
          </w:p>
        </w:tc>
        <w:tc>
          <w:tcPr>
            <w:tcW w:w="1597" w:type="dxa"/>
            <w:noWrap/>
            <w:hideMark/>
          </w:tcPr>
          <w:p w:rsidR="00387C1B" w:rsidRPr="00B924A0" w:rsidRDefault="00387C1B" w:rsidP="00387C1B">
            <w:pPr>
              <w:jc w:val="left"/>
              <w:rPr>
                <w:sz w:val="20"/>
                <w:szCs w:val="20"/>
              </w:rPr>
            </w:pPr>
            <w:r w:rsidRPr="00B924A0">
              <w:rPr>
                <w:sz w:val="20"/>
                <w:szCs w:val="20"/>
              </w:rPr>
              <w:t xml:space="preserve">G. </w:t>
            </w:r>
            <w:proofErr w:type="spellStart"/>
            <w:r w:rsidRPr="00B924A0">
              <w:rPr>
                <w:sz w:val="20"/>
                <w:szCs w:val="20"/>
              </w:rPr>
              <w:t>Aygencel</w:t>
            </w:r>
            <w:proofErr w:type="spellEnd"/>
          </w:p>
        </w:tc>
        <w:tc>
          <w:tcPr>
            <w:tcW w:w="798" w:type="dxa"/>
            <w:noWrap/>
            <w:hideMark/>
          </w:tcPr>
          <w:p w:rsidR="00387C1B" w:rsidRPr="00B924A0" w:rsidRDefault="00387C1B" w:rsidP="00387C1B">
            <w:pPr>
              <w:jc w:val="left"/>
              <w:rPr>
                <w:sz w:val="20"/>
                <w:szCs w:val="20"/>
              </w:rPr>
            </w:pPr>
            <w:r w:rsidRPr="00B924A0">
              <w:rPr>
                <w:sz w:val="20"/>
                <w:szCs w:val="20"/>
              </w:rPr>
              <w:t>2021</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Comparison of 1,3-β-D-glucan with galactomannan in serum and bronchoalveolar fluid for the detection of Aspergillus species in immunosuppressed mechanical ventilated critically ill patients </w:t>
            </w:r>
          </w:p>
        </w:tc>
        <w:tc>
          <w:tcPr>
            <w:tcW w:w="1597" w:type="dxa"/>
            <w:noWrap/>
            <w:hideMark/>
          </w:tcPr>
          <w:p w:rsidR="00387C1B" w:rsidRPr="00B924A0" w:rsidRDefault="00387C1B" w:rsidP="00387C1B">
            <w:pPr>
              <w:jc w:val="left"/>
              <w:rPr>
                <w:sz w:val="20"/>
                <w:szCs w:val="20"/>
              </w:rPr>
            </w:pPr>
            <w:r w:rsidRPr="00B924A0">
              <w:rPr>
                <w:sz w:val="20"/>
                <w:szCs w:val="20"/>
              </w:rPr>
              <w:t xml:space="preserve">T. </w:t>
            </w:r>
            <w:proofErr w:type="spellStart"/>
            <w:r w:rsidRPr="00B924A0">
              <w:rPr>
                <w:sz w:val="20"/>
                <w:szCs w:val="20"/>
              </w:rPr>
              <w:t>Lahmer</w:t>
            </w:r>
            <w:proofErr w:type="spellEnd"/>
          </w:p>
        </w:tc>
        <w:tc>
          <w:tcPr>
            <w:tcW w:w="798" w:type="dxa"/>
            <w:noWrap/>
            <w:hideMark/>
          </w:tcPr>
          <w:p w:rsidR="00387C1B" w:rsidRPr="00B924A0" w:rsidRDefault="00387C1B" w:rsidP="00387C1B">
            <w:pPr>
              <w:jc w:val="left"/>
              <w:rPr>
                <w:sz w:val="20"/>
                <w:szCs w:val="20"/>
              </w:rPr>
            </w:pPr>
            <w:r w:rsidRPr="00B924A0">
              <w:rPr>
                <w:sz w:val="20"/>
                <w:szCs w:val="20"/>
              </w:rPr>
              <w:t>2016</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Survival in neutropenic patients with severe sepsis or septic shock </w:t>
            </w:r>
          </w:p>
        </w:tc>
        <w:tc>
          <w:tcPr>
            <w:tcW w:w="1597" w:type="dxa"/>
            <w:noWrap/>
            <w:hideMark/>
          </w:tcPr>
          <w:p w:rsidR="00387C1B" w:rsidRPr="00B924A0" w:rsidRDefault="00387C1B" w:rsidP="00387C1B">
            <w:pPr>
              <w:jc w:val="left"/>
              <w:rPr>
                <w:sz w:val="20"/>
                <w:szCs w:val="20"/>
              </w:rPr>
            </w:pPr>
            <w:r w:rsidRPr="00B924A0">
              <w:rPr>
                <w:sz w:val="20"/>
                <w:szCs w:val="20"/>
              </w:rPr>
              <w:t>M. Legrand</w:t>
            </w:r>
          </w:p>
        </w:tc>
        <w:tc>
          <w:tcPr>
            <w:tcW w:w="798" w:type="dxa"/>
            <w:noWrap/>
            <w:hideMark/>
          </w:tcPr>
          <w:p w:rsidR="00387C1B" w:rsidRPr="00B924A0" w:rsidRDefault="00387C1B" w:rsidP="00387C1B">
            <w:pPr>
              <w:jc w:val="left"/>
              <w:rPr>
                <w:sz w:val="20"/>
                <w:szCs w:val="20"/>
              </w:rPr>
            </w:pPr>
            <w:r w:rsidRPr="00B924A0">
              <w:rPr>
                <w:sz w:val="20"/>
                <w:szCs w:val="20"/>
              </w:rPr>
              <w:t>2012</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Sepsis and Septic Shock in Patients </w:t>
            </w:r>
            <w:proofErr w:type="gramStart"/>
            <w:r w:rsidRPr="00B924A0">
              <w:rPr>
                <w:b/>
                <w:bCs/>
                <w:sz w:val="20"/>
                <w:szCs w:val="20"/>
              </w:rPr>
              <w:t>With</w:t>
            </w:r>
            <w:proofErr w:type="gramEnd"/>
            <w:r w:rsidRPr="00B924A0">
              <w:rPr>
                <w:b/>
                <w:bCs/>
                <w:sz w:val="20"/>
                <w:szCs w:val="20"/>
              </w:rPr>
              <w:t xml:space="preserve"> Malignancies: A Groupe de Recherche </w:t>
            </w:r>
            <w:proofErr w:type="spellStart"/>
            <w:r w:rsidRPr="00B924A0">
              <w:rPr>
                <w:b/>
                <w:bCs/>
                <w:sz w:val="20"/>
                <w:szCs w:val="20"/>
              </w:rPr>
              <w:t>Respiratoire</w:t>
            </w:r>
            <w:proofErr w:type="spellEnd"/>
            <w:r w:rsidRPr="00B924A0">
              <w:rPr>
                <w:b/>
                <w:bCs/>
                <w:sz w:val="20"/>
                <w:szCs w:val="20"/>
              </w:rPr>
              <w:t xml:space="preserve"> </w:t>
            </w:r>
            <w:proofErr w:type="spellStart"/>
            <w:r w:rsidRPr="00B924A0">
              <w:rPr>
                <w:b/>
                <w:bCs/>
                <w:sz w:val="20"/>
                <w:szCs w:val="20"/>
              </w:rPr>
              <w:t>en</w:t>
            </w:r>
            <w:proofErr w:type="spellEnd"/>
            <w:r w:rsidRPr="00B924A0">
              <w:rPr>
                <w:b/>
                <w:bCs/>
                <w:sz w:val="20"/>
                <w:szCs w:val="20"/>
              </w:rPr>
              <w:t xml:space="preserve"> </w:t>
            </w:r>
            <w:proofErr w:type="spellStart"/>
            <w:r w:rsidRPr="00B924A0">
              <w:rPr>
                <w:b/>
                <w:bCs/>
                <w:sz w:val="20"/>
                <w:szCs w:val="20"/>
              </w:rPr>
              <w:t>Réanimation</w:t>
            </w:r>
            <w:proofErr w:type="spellEnd"/>
            <w:r w:rsidRPr="00B924A0">
              <w:rPr>
                <w:b/>
                <w:bCs/>
                <w:sz w:val="20"/>
                <w:szCs w:val="20"/>
              </w:rPr>
              <w:t xml:space="preserve"> </w:t>
            </w:r>
            <w:proofErr w:type="spellStart"/>
            <w:r w:rsidRPr="00B924A0">
              <w:rPr>
                <w:b/>
                <w:bCs/>
                <w:sz w:val="20"/>
                <w:szCs w:val="20"/>
              </w:rPr>
              <w:t>Onco-Hématologique</w:t>
            </w:r>
            <w:proofErr w:type="spellEnd"/>
            <w:r w:rsidRPr="00B924A0">
              <w:rPr>
                <w:b/>
                <w:bCs/>
                <w:sz w:val="20"/>
                <w:szCs w:val="20"/>
              </w:rPr>
              <w:t xml:space="preserve"> Study* </w:t>
            </w:r>
          </w:p>
        </w:tc>
        <w:tc>
          <w:tcPr>
            <w:tcW w:w="1597" w:type="dxa"/>
            <w:noWrap/>
            <w:hideMark/>
          </w:tcPr>
          <w:p w:rsidR="00387C1B" w:rsidRPr="00B924A0" w:rsidRDefault="00387C1B" w:rsidP="00387C1B">
            <w:pPr>
              <w:jc w:val="left"/>
              <w:rPr>
                <w:sz w:val="20"/>
                <w:szCs w:val="20"/>
              </w:rPr>
            </w:pPr>
            <w:r w:rsidRPr="00B924A0">
              <w:rPr>
                <w:sz w:val="20"/>
                <w:szCs w:val="20"/>
              </w:rPr>
              <w:t xml:space="preserve">V. </w:t>
            </w:r>
            <w:proofErr w:type="spellStart"/>
            <w:r w:rsidRPr="00B924A0">
              <w:rPr>
                <w:sz w:val="20"/>
                <w:szCs w:val="20"/>
              </w:rPr>
              <w:t>Lemiale</w:t>
            </w:r>
            <w:proofErr w:type="spellEnd"/>
          </w:p>
        </w:tc>
        <w:tc>
          <w:tcPr>
            <w:tcW w:w="798" w:type="dxa"/>
            <w:noWrap/>
            <w:hideMark/>
          </w:tcPr>
          <w:p w:rsidR="00387C1B" w:rsidRPr="00B924A0" w:rsidRDefault="00387C1B" w:rsidP="00387C1B">
            <w:pPr>
              <w:jc w:val="left"/>
              <w:rPr>
                <w:sz w:val="20"/>
                <w:szCs w:val="20"/>
              </w:rPr>
            </w:pPr>
            <w:r w:rsidRPr="00B924A0">
              <w:rPr>
                <w:sz w:val="20"/>
                <w:szCs w:val="20"/>
              </w:rPr>
              <w:t>2020</w:t>
            </w:r>
          </w:p>
        </w:tc>
        <w:tc>
          <w:tcPr>
            <w:tcW w:w="975" w:type="dxa"/>
            <w:noWrap/>
            <w:hideMark/>
          </w:tcPr>
          <w:p w:rsidR="00387C1B" w:rsidRPr="00B924A0" w:rsidRDefault="00387C1B" w:rsidP="00387C1B">
            <w:pPr>
              <w:jc w:val="center"/>
              <w:rPr>
                <w:sz w:val="20"/>
                <w:szCs w:val="20"/>
              </w:rPr>
            </w:pPr>
            <w:r w:rsidRPr="00B924A0">
              <w:rPr>
                <w:sz w:val="20"/>
                <w:szCs w:val="20"/>
              </w:rPr>
              <w:t>*</w:t>
            </w: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Intensive care unit management of patients with newly diagnosed acute myeloid leukemia with no organ failure </w:t>
            </w:r>
          </w:p>
        </w:tc>
        <w:tc>
          <w:tcPr>
            <w:tcW w:w="1597" w:type="dxa"/>
            <w:noWrap/>
            <w:hideMark/>
          </w:tcPr>
          <w:p w:rsidR="00387C1B" w:rsidRPr="00B924A0" w:rsidRDefault="00387C1B" w:rsidP="00387C1B">
            <w:pPr>
              <w:jc w:val="left"/>
              <w:rPr>
                <w:sz w:val="20"/>
                <w:szCs w:val="20"/>
              </w:rPr>
            </w:pPr>
            <w:r w:rsidRPr="00B924A0">
              <w:rPr>
                <w:sz w:val="20"/>
                <w:szCs w:val="20"/>
              </w:rPr>
              <w:t xml:space="preserve">E. </w:t>
            </w:r>
            <w:proofErr w:type="spellStart"/>
            <w:r w:rsidRPr="00B924A0">
              <w:rPr>
                <w:sz w:val="20"/>
                <w:szCs w:val="20"/>
              </w:rPr>
              <w:t>Lengliné</w:t>
            </w:r>
            <w:proofErr w:type="spellEnd"/>
          </w:p>
        </w:tc>
        <w:tc>
          <w:tcPr>
            <w:tcW w:w="798" w:type="dxa"/>
            <w:noWrap/>
            <w:hideMark/>
          </w:tcPr>
          <w:p w:rsidR="00387C1B" w:rsidRPr="00B924A0" w:rsidRDefault="00387C1B" w:rsidP="00387C1B">
            <w:pPr>
              <w:jc w:val="left"/>
              <w:rPr>
                <w:sz w:val="20"/>
                <w:szCs w:val="20"/>
              </w:rPr>
            </w:pPr>
            <w:r w:rsidRPr="00B924A0">
              <w:rPr>
                <w:sz w:val="20"/>
                <w:szCs w:val="20"/>
              </w:rPr>
              <w:t>2012</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r w:rsidRPr="00B924A0">
              <w:rPr>
                <w:sz w:val="20"/>
                <w:szCs w:val="20"/>
              </w:rPr>
              <w:t>*</w:t>
            </w: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r w:rsidRPr="00B924A0">
              <w:rPr>
                <w:sz w:val="20"/>
                <w:szCs w:val="20"/>
              </w:rPr>
              <w:t>*</w:t>
            </w: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 xml:space="preserve">Characteristics and outcomes of patients with cancer requiring </w:t>
            </w:r>
            <w:r w:rsidRPr="00B924A0">
              <w:rPr>
                <w:b/>
                <w:bCs/>
                <w:sz w:val="20"/>
                <w:szCs w:val="20"/>
              </w:rPr>
              <w:lastRenderedPageBreak/>
              <w:t xml:space="preserve">admission to intensive care units: A prospective multicenter study </w:t>
            </w:r>
          </w:p>
        </w:tc>
        <w:tc>
          <w:tcPr>
            <w:tcW w:w="1597" w:type="dxa"/>
            <w:noWrap/>
            <w:hideMark/>
          </w:tcPr>
          <w:p w:rsidR="00387C1B" w:rsidRPr="00B924A0" w:rsidRDefault="00387C1B" w:rsidP="00387C1B">
            <w:pPr>
              <w:jc w:val="left"/>
              <w:rPr>
                <w:sz w:val="20"/>
                <w:szCs w:val="20"/>
              </w:rPr>
            </w:pPr>
            <w:r w:rsidRPr="00B924A0">
              <w:rPr>
                <w:sz w:val="20"/>
                <w:szCs w:val="20"/>
              </w:rPr>
              <w:lastRenderedPageBreak/>
              <w:t>M. Soares</w:t>
            </w:r>
          </w:p>
        </w:tc>
        <w:tc>
          <w:tcPr>
            <w:tcW w:w="798" w:type="dxa"/>
            <w:noWrap/>
            <w:hideMark/>
          </w:tcPr>
          <w:p w:rsidR="00387C1B" w:rsidRPr="00B924A0" w:rsidRDefault="00387C1B" w:rsidP="00387C1B">
            <w:pPr>
              <w:jc w:val="left"/>
              <w:rPr>
                <w:sz w:val="20"/>
                <w:szCs w:val="20"/>
              </w:rPr>
            </w:pPr>
            <w:r w:rsidRPr="00B924A0">
              <w:rPr>
                <w:sz w:val="20"/>
                <w:szCs w:val="20"/>
              </w:rPr>
              <w:t>2010</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387C1B" w:rsidRPr="00B924A0" w:rsidTr="00357945">
        <w:trPr>
          <w:trHeight w:val="320"/>
        </w:trPr>
        <w:tc>
          <w:tcPr>
            <w:tcW w:w="3665" w:type="dxa"/>
            <w:noWrap/>
            <w:hideMark/>
          </w:tcPr>
          <w:p w:rsidR="00387C1B" w:rsidRPr="00B924A0" w:rsidRDefault="00387C1B" w:rsidP="00387C1B">
            <w:pPr>
              <w:jc w:val="left"/>
              <w:rPr>
                <w:b/>
                <w:bCs/>
                <w:sz w:val="20"/>
                <w:szCs w:val="20"/>
              </w:rPr>
            </w:pPr>
            <w:r w:rsidRPr="00B924A0">
              <w:rPr>
                <w:b/>
                <w:bCs/>
                <w:sz w:val="20"/>
                <w:szCs w:val="20"/>
              </w:rPr>
              <w:t>Outcomes in Critically Ill Patients with Cancer-Related Complications</w:t>
            </w:r>
          </w:p>
        </w:tc>
        <w:tc>
          <w:tcPr>
            <w:tcW w:w="1597" w:type="dxa"/>
            <w:noWrap/>
            <w:hideMark/>
          </w:tcPr>
          <w:p w:rsidR="00387C1B" w:rsidRPr="00B924A0" w:rsidRDefault="00387C1B" w:rsidP="00387C1B">
            <w:pPr>
              <w:jc w:val="left"/>
              <w:rPr>
                <w:sz w:val="20"/>
                <w:szCs w:val="20"/>
              </w:rPr>
            </w:pPr>
            <w:r w:rsidRPr="00B924A0">
              <w:rPr>
                <w:sz w:val="20"/>
                <w:szCs w:val="20"/>
              </w:rPr>
              <w:t>V. Torres</w:t>
            </w:r>
          </w:p>
        </w:tc>
        <w:tc>
          <w:tcPr>
            <w:tcW w:w="798" w:type="dxa"/>
            <w:noWrap/>
            <w:hideMark/>
          </w:tcPr>
          <w:p w:rsidR="00387C1B" w:rsidRPr="00B924A0" w:rsidRDefault="00387C1B" w:rsidP="00387C1B">
            <w:pPr>
              <w:jc w:val="left"/>
              <w:rPr>
                <w:sz w:val="20"/>
                <w:szCs w:val="20"/>
              </w:rPr>
            </w:pPr>
            <w:r w:rsidRPr="00B924A0">
              <w:rPr>
                <w:sz w:val="20"/>
                <w:szCs w:val="20"/>
              </w:rPr>
              <w:t>2016</w:t>
            </w:r>
          </w:p>
        </w:tc>
        <w:tc>
          <w:tcPr>
            <w:tcW w:w="975" w:type="dxa"/>
            <w:noWrap/>
            <w:hideMark/>
          </w:tcPr>
          <w:p w:rsidR="00387C1B" w:rsidRPr="00B924A0" w:rsidRDefault="00387C1B" w:rsidP="00387C1B">
            <w:pPr>
              <w:jc w:val="center"/>
              <w:rPr>
                <w:sz w:val="20"/>
                <w:szCs w:val="20"/>
              </w:rPr>
            </w:pPr>
          </w:p>
        </w:tc>
        <w:tc>
          <w:tcPr>
            <w:tcW w:w="1319" w:type="dxa"/>
            <w:noWrap/>
            <w:hideMark/>
          </w:tcPr>
          <w:p w:rsidR="00387C1B" w:rsidRPr="00B924A0" w:rsidRDefault="00387C1B" w:rsidP="00387C1B">
            <w:pPr>
              <w:jc w:val="center"/>
              <w:rPr>
                <w:sz w:val="20"/>
                <w:szCs w:val="20"/>
              </w:rPr>
            </w:pPr>
            <w:r w:rsidRPr="00B924A0">
              <w:rPr>
                <w:sz w:val="20"/>
                <w:szCs w:val="20"/>
              </w:rPr>
              <w:t>*</w:t>
            </w:r>
          </w:p>
        </w:tc>
        <w:tc>
          <w:tcPr>
            <w:tcW w:w="812" w:type="dxa"/>
            <w:noWrap/>
            <w:hideMark/>
          </w:tcPr>
          <w:p w:rsidR="00387C1B" w:rsidRPr="00B924A0" w:rsidRDefault="00387C1B" w:rsidP="00387C1B">
            <w:pPr>
              <w:jc w:val="center"/>
              <w:rPr>
                <w:sz w:val="20"/>
                <w:szCs w:val="20"/>
              </w:rPr>
            </w:pPr>
            <w:r w:rsidRPr="00B924A0">
              <w:rPr>
                <w:sz w:val="20"/>
                <w:szCs w:val="20"/>
              </w:rPr>
              <w:t>*</w:t>
            </w:r>
          </w:p>
        </w:tc>
        <w:tc>
          <w:tcPr>
            <w:tcW w:w="1004" w:type="dxa"/>
            <w:noWrap/>
            <w:hideMark/>
          </w:tcPr>
          <w:p w:rsidR="00387C1B" w:rsidRPr="00B924A0" w:rsidRDefault="00387C1B" w:rsidP="00387C1B">
            <w:pPr>
              <w:jc w:val="center"/>
              <w:rPr>
                <w:sz w:val="20"/>
                <w:szCs w:val="20"/>
              </w:rPr>
            </w:pPr>
            <w:r w:rsidRPr="00B924A0">
              <w:rPr>
                <w:sz w:val="20"/>
                <w:szCs w:val="20"/>
              </w:rPr>
              <w:t>*</w:t>
            </w:r>
          </w:p>
        </w:tc>
        <w:tc>
          <w:tcPr>
            <w:tcW w:w="1591" w:type="dxa"/>
            <w:noWrap/>
            <w:hideMark/>
          </w:tcPr>
          <w:p w:rsidR="00387C1B" w:rsidRPr="00B924A0" w:rsidRDefault="00387C1B" w:rsidP="00387C1B">
            <w:pPr>
              <w:jc w:val="center"/>
              <w:rPr>
                <w:sz w:val="20"/>
                <w:szCs w:val="20"/>
              </w:rPr>
            </w:pPr>
            <w:r w:rsidRPr="00B924A0">
              <w:rPr>
                <w:sz w:val="20"/>
                <w:szCs w:val="20"/>
              </w:rPr>
              <w:t>*</w:t>
            </w:r>
          </w:p>
        </w:tc>
        <w:tc>
          <w:tcPr>
            <w:tcW w:w="493" w:type="dxa"/>
            <w:noWrap/>
            <w:hideMark/>
          </w:tcPr>
          <w:p w:rsidR="00387C1B" w:rsidRPr="00B924A0" w:rsidRDefault="00387C1B" w:rsidP="00387C1B">
            <w:pPr>
              <w:jc w:val="center"/>
              <w:rPr>
                <w:sz w:val="20"/>
                <w:szCs w:val="20"/>
              </w:rPr>
            </w:pPr>
          </w:p>
        </w:tc>
        <w:tc>
          <w:tcPr>
            <w:tcW w:w="685" w:type="dxa"/>
            <w:noWrap/>
            <w:vAlign w:val="center"/>
            <w:hideMark/>
          </w:tcPr>
          <w:p w:rsidR="00387C1B" w:rsidRDefault="00387C1B" w:rsidP="00387C1B">
            <w:pPr>
              <w:jc w:val="right"/>
              <w:rPr>
                <w:rFonts w:ascii="Calibri" w:hAnsi="Calibri" w:cs="Calibri"/>
                <w:color w:val="000000"/>
              </w:rPr>
            </w:pPr>
            <w:r>
              <w:rPr>
                <w:rFonts w:ascii="Calibri" w:hAnsi="Calibri" w:cs="Calibri"/>
                <w:color w:val="000000"/>
              </w:rPr>
              <w:t>*</w:t>
            </w:r>
          </w:p>
        </w:tc>
        <w:tc>
          <w:tcPr>
            <w:tcW w:w="1055" w:type="dxa"/>
            <w:noWrap/>
            <w:hideMark/>
          </w:tcPr>
          <w:p w:rsidR="00387C1B" w:rsidRPr="00B924A0" w:rsidRDefault="00387C1B" w:rsidP="00387C1B">
            <w:pPr>
              <w:jc w:val="center"/>
              <w:rPr>
                <w:sz w:val="20"/>
                <w:szCs w:val="20"/>
              </w:rPr>
            </w:pP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Hematologic malignancies in the medical intensive care unit – Outcomes and prognostic factors </w:t>
            </w:r>
          </w:p>
        </w:tc>
        <w:tc>
          <w:tcPr>
            <w:tcW w:w="1597" w:type="dxa"/>
            <w:noWrap/>
            <w:hideMark/>
          </w:tcPr>
          <w:p w:rsidR="00B924A0" w:rsidRPr="00B924A0" w:rsidRDefault="00B924A0" w:rsidP="00B924A0">
            <w:pPr>
              <w:jc w:val="left"/>
              <w:rPr>
                <w:sz w:val="20"/>
                <w:szCs w:val="20"/>
              </w:rPr>
            </w:pPr>
            <w:r w:rsidRPr="00B924A0">
              <w:rPr>
                <w:sz w:val="20"/>
                <w:szCs w:val="20"/>
              </w:rPr>
              <w:t>M. Grgic Medic</w:t>
            </w:r>
          </w:p>
        </w:tc>
        <w:tc>
          <w:tcPr>
            <w:tcW w:w="798" w:type="dxa"/>
            <w:noWrap/>
            <w:hideMark/>
          </w:tcPr>
          <w:p w:rsidR="00B924A0" w:rsidRPr="00B924A0" w:rsidRDefault="00B924A0" w:rsidP="00B924A0">
            <w:pPr>
              <w:jc w:val="left"/>
              <w:rPr>
                <w:sz w:val="20"/>
                <w:szCs w:val="20"/>
              </w:rPr>
            </w:pPr>
            <w:r w:rsidRPr="00B924A0">
              <w:rPr>
                <w:sz w:val="20"/>
                <w:szCs w:val="20"/>
              </w:rPr>
              <w:t>2015</w:t>
            </w:r>
          </w:p>
        </w:tc>
        <w:tc>
          <w:tcPr>
            <w:tcW w:w="975" w:type="dxa"/>
            <w:noWrap/>
            <w:hideMark/>
          </w:tcPr>
          <w:p w:rsidR="00B924A0" w:rsidRPr="00B924A0" w:rsidRDefault="00B924A0" w:rsidP="00B924A0">
            <w:pPr>
              <w:jc w:val="center"/>
              <w:rPr>
                <w:sz w:val="20"/>
                <w:szCs w:val="20"/>
              </w:rPr>
            </w:pPr>
            <w:r w:rsidRPr="00B924A0">
              <w:rPr>
                <w:sz w:val="20"/>
                <w:szCs w:val="20"/>
              </w:rPr>
              <w:t>*</w:t>
            </w:r>
          </w:p>
        </w:tc>
        <w:tc>
          <w:tcPr>
            <w:tcW w:w="1319" w:type="dxa"/>
            <w:noWrap/>
            <w:hideMark/>
          </w:tcPr>
          <w:p w:rsidR="00B924A0" w:rsidRPr="00B924A0" w:rsidRDefault="00B924A0" w:rsidP="00B924A0">
            <w:pPr>
              <w:jc w:val="center"/>
              <w:rPr>
                <w:sz w:val="20"/>
                <w:szCs w:val="20"/>
              </w:rPr>
            </w:pPr>
            <w:r w:rsidRPr="00B924A0">
              <w:rPr>
                <w:sz w:val="20"/>
                <w:szCs w:val="20"/>
              </w:rPr>
              <w:t>*</w:t>
            </w:r>
          </w:p>
        </w:tc>
        <w:tc>
          <w:tcPr>
            <w:tcW w:w="812" w:type="dxa"/>
            <w:noWrap/>
            <w:hideMark/>
          </w:tcPr>
          <w:p w:rsidR="00B924A0" w:rsidRPr="00B924A0" w:rsidRDefault="00B924A0" w:rsidP="00B924A0">
            <w:pPr>
              <w:jc w:val="center"/>
              <w:rPr>
                <w:sz w:val="20"/>
                <w:szCs w:val="20"/>
              </w:rPr>
            </w:pPr>
            <w:r w:rsidRPr="00B924A0">
              <w:rPr>
                <w:sz w:val="20"/>
                <w:szCs w:val="20"/>
              </w:rPr>
              <w:t>*</w:t>
            </w:r>
          </w:p>
        </w:tc>
        <w:tc>
          <w:tcPr>
            <w:tcW w:w="1004" w:type="dxa"/>
            <w:noWrap/>
            <w:hideMark/>
          </w:tcPr>
          <w:p w:rsidR="00B924A0" w:rsidRPr="00B924A0" w:rsidRDefault="00B924A0" w:rsidP="00B924A0">
            <w:pPr>
              <w:jc w:val="center"/>
              <w:rPr>
                <w:sz w:val="20"/>
                <w:szCs w:val="20"/>
              </w:rPr>
            </w:pPr>
            <w:r w:rsidRPr="00B924A0">
              <w:rPr>
                <w:sz w:val="20"/>
                <w:szCs w:val="20"/>
              </w:rPr>
              <w:t>*</w:t>
            </w:r>
          </w:p>
        </w:tc>
        <w:tc>
          <w:tcPr>
            <w:tcW w:w="1591" w:type="dxa"/>
            <w:noWrap/>
            <w:hideMark/>
          </w:tcPr>
          <w:p w:rsidR="00B924A0" w:rsidRPr="00B924A0" w:rsidRDefault="00B924A0" w:rsidP="00B924A0">
            <w:pPr>
              <w:jc w:val="center"/>
              <w:rPr>
                <w:sz w:val="20"/>
                <w:szCs w:val="20"/>
              </w:rPr>
            </w:pPr>
            <w:r w:rsidRPr="00B924A0">
              <w:rPr>
                <w:sz w:val="20"/>
                <w:szCs w:val="20"/>
              </w:rPr>
              <w:t>*</w:t>
            </w:r>
          </w:p>
        </w:tc>
        <w:tc>
          <w:tcPr>
            <w:tcW w:w="493" w:type="dxa"/>
            <w:noWrap/>
            <w:hideMark/>
          </w:tcPr>
          <w:p w:rsidR="00B924A0" w:rsidRPr="00B924A0" w:rsidRDefault="00B924A0" w:rsidP="00B924A0">
            <w:pPr>
              <w:jc w:val="center"/>
              <w:rPr>
                <w:sz w:val="20"/>
                <w:szCs w:val="20"/>
              </w:rPr>
            </w:pPr>
            <w:r w:rsidRPr="00B924A0">
              <w:rPr>
                <w:sz w:val="20"/>
                <w:szCs w:val="20"/>
              </w:rPr>
              <w:t>*</w:t>
            </w:r>
          </w:p>
        </w:tc>
        <w:tc>
          <w:tcPr>
            <w:tcW w:w="685" w:type="dxa"/>
            <w:noWrap/>
            <w:hideMark/>
          </w:tcPr>
          <w:p w:rsidR="00B924A0" w:rsidRPr="00B924A0" w:rsidRDefault="00B924A0" w:rsidP="00B924A0">
            <w:pPr>
              <w:jc w:val="center"/>
              <w:rPr>
                <w:sz w:val="20"/>
                <w:szCs w:val="20"/>
              </w:rPr>
            </w:pPr>
            <w:r w:rsidRPr="00B924A0">
              <w:rPr>
                <w:sz w:val="20"/>
                <w:szCs w:val="20"/>
              </w:rPr>
              <w:t>*</w:t>
            </w:r>
          </w:p>
        </w:tc>
        <w:tc>
          <w:tcPr>
            <w:tcW w:w="1055" w:type="dxa"/>
            <w:noWrap/>
            <w:hideMark/>
          </w:tcPr>
          <w:p w:rsidR="00B924A0" w:rsidRPr="00B924A0" w:rsidRDefault="00B924A0" w:rsidP="00B924A0">
            <w:pPr>
              <w:jc w:val="center"/>
              <w:rPr>
                <w:sz w:val="20"/>
                <w:szCs w:val="20"/>
              </w:rPr>
            </w:pPr>
            <w:r w:rsidRPr="00B924A0">
              <w:rPr>
                <w:sz w:val="20"/>
                <w:szCs w:val="20"/>
              </w:rPr>
              <w:t>*</w:t>
            </w: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ICU and 6-month outcome of oncology patients in the intensive care unit </w:t>
            </w:r>
          </w:p>
        </w:tc>
        <w:tc>
          <w:tcPr>
            <w:tcW w:w="1597" w:type="dxa"/>
            <w:noWrap/>
            <w:hideMark/>
          </w:tcPr>
          <w:p w:rsidR="00B924A0" w:rsidRPr="00B924A0" w:rsidRDefault="00B924A0" w:rsidP="00B924A0">
            <w:pPr>
              <w:jc w:val="left"/>
              <w:rPr>
                <w:sz w:val="20"/>
                <w:szCs w:val="20"/>
              </w:rPr>
            </w:pPr>
            <w:r w:rsidRPr="00B924A0">
              <w:rPr>
                <w:sz w:val="20"/>
                <w:szCs w:val="20"/>
              </w:rPr>
              <w:t>S. McGrath</w:t>
            </w:r>
          </w:p>
        </w:tc>
        <w:tc>
          <w:tcPr>
            <w:tcW w:w="798" w:type="dxa"/>
            <w:noWrap/>
            <w:hideMark/>
          </w:tcPr>
          <w:p w:rsidR="00B924A0" w:rsidRPr="00B924A0" w:rsidRDefault="00B924A0" w:rsidP="00B924A0">
            <w:pPr>
              <w:jc w:val="left"/>
              <w:rPr>
                <w:sz w:val="20"/>
                <w:szCs w:val="20"/>
              </w:rPr>
            </w:pPr>
            <w:r w:rsidRPr="00B924A0">
              <w:rPr>
                <w:sz w:val="20"/>
                <w:szCs w:val="20"/>
              </w:rPr>
              <w:t>2010</w:t>
            </w:r>
          </w:p>
        </w:tc>
        <w:tc>
          <w:tcPr>
            <w:tcW w:w="975" w:type="dxa"/>
            <w:noWrap/>
            <w:hideMark/>
          </w:tcPr>
          <w:p w:rsidR="00B924A0" w:rsidRPr="00B924A0" w:rsidRDefault="00B924A0" w:rsidP="00B924A0">
            <w:pPr>
              <w:jc w:val="center"/>
              <w:rPr>
                <w:sz w:val="20"/>
                <w:szCs w:val="20"/>
              </w:rPr>
            </w:pPr>
            <w:r w:rsidRPr="00B924A0">
              <w:rPr>
                <w:sz w:val="20"/>
                <w:szCs w:val="20"/>
              </w:rPr>
              <w:t>*</w:t>
            </w:r>
          </w:p>
        </w:tc>
        <w:tc>
          <w:tcPr>
            <w:tcW w:w="1319" w:type="dxa"/>
            <w:noWrap/>
            <w:hideMark/>
          </w:tcPr>
          <w:p w:rsidR="00B924A0" w:rsidRPr="00B924A0" w:rsidRDefault="00B924A0" w:rsidP="00B924A0">
            <w:pPr>
              <w:jc w:val="center"/>
              <w:rPr>
                <w:sz w:val="20"/>
                <w:szCs w:val="20"/>
              </w:rPr>
            </w:pPr>
            <w:r w:rsidRPr="00B924A0">
              <w:rPr>
                <w:sz w:val="20"/>
                <w:szCs w:val="20"/>
              </w:rPr>
              <w:t>*</w:t>
            </w:r>
          </w:p>
        </w:tc>
        <w:tc>
          <w:tcPr>
            <w:tcW w:w="812" w:type="dxa"/>
            <w:noWrap/>
            <w:hideMark/>
          </w:tcPr>
          <w:p w:rsidR="00B924A0" w:rsidRPr="00B924A0" w:rsidRDefault="00B924A0" w:rsidP="00B924A0">
            <w:pPr>
              <w:jc w:val="center"/>
              <w:rPr>
                <w:sz w:val="20"/>
                <w:szCs w:val="20"/>
              </w:rPr>
            </w:pPr>
            <w:r w:rsidRPr="00B924A0">
              <w:rPr>
                <w:sz w:val="20"/>
                <w:szCs w:val="20"/>
              </w:rPr>
              <w:t>*</w:t>
            </w:r>
          </w:p>
        </w:tc>
        <w:tc>
          <w:tcPr>
            <w:tcW w:w="1004" w:type="dxa"/>
            <w:noWrap/>
            <w:hideMark/>
          </w:tcPr>
          <w:p w:rsidR="00B924A0" w:rsidRPr="00B924A0" w:rsidRDefault="00B924A0" w:rsidP="00B924A0">
            <w:pPr>
              <w:jc w:val="center"/>
              <w:rPr>
                <w:sz w:val="20"/>
                <w:szCs w:val="20"/>
              </w:rPr>
            </w:pPr>
            <w:r w:rsidRPr="00B924A0">
              <w:rPr>
                <w:sz w:val="20"/>
                <w:szCs w:val="20"/>
              </w:rPr>
              <w:t>*</w:t>
            </w:r>
          </w:p>
        </w:tc>
        <w:tc>
          <w:tcPr>
            <w:tcW w:w="1591" w:type="dxa"/>
            <w:noWrap/>
            <w:hideMark/>
          </w:tcPr>
          <w:p w:rsidR="00B924A0" w:rsidRPr="00B924A0" w:rsidRDefault="00B924A0" w:rsidP="00B924A0">
            <w:pPr>
              <w:jc w:val="center"/>
              <w:rPr>
                <w:sz w:val="20"/>
                <w:szCs w:val="20"/>
              </w:rPr>
            </w:pPr>
            <w:r w:rsidRPr="00B924A0">
              <w:rPr>
                <w:sz w:val="20"/>
                <w:szCs w:val="20"/>
              </w:rPr>
              <w:t>*</w:t>
            </w:r>
          </w:p>
        </w:tc>
        <w:tc>
          <w:tcPr>
            <w:tcW w:w="493" w:type="dxa"/>
            <w:noWrap/>
            <w:hideMark/>
          </w:tcPr>
          <w:p w:rsidR="00B924A0" w:rsidRPr="00B924A0" w:rsidRDefault="00B924A0" w:rsidP="00B924A0">
            <w:pPr>
              <w:jc w:val="center"/>
              <w:rPr>
                <w:sz w:val="20"/>
                <w:szCs w:val="20"/>
              </w:rPr>
            </w:pPr>
          </w:p>
        </w:tc>
        <w:tc>
          <w:tcPr>
            <w:tcW w:w="685" w:type="dxa"/>
            <w:noWrap/>
            <w:hideMark/>
          </w:tcPr>
          <w:p w:rsidR="00B924A0" w:rsidRPr="00B924A0" w:rsidRDefault="00B924A0" w:rsidP="00B924A0">
            <w:pPr>
              <w:jc w:val="center"/>
              <w:rPr>
                <w:sz w:val="20"/>
                <w:szCs w:val="20"/>
              </w:rPr>
            </w:pPr>
          </w:p>
        </w:tc>
        <w:tc>
          <w:tcPr>
            <w:tcW w:w="1055" w:type="dxa"/>
            <w:noWrap/>
            <w:hideMark/>
          </w:tcPr>
          <w:p w:rsidR="00B924A0" w:rsidRPr="00B924A0" w:rsidRDefault="00B924A0" w:rsidP="00B924A0">
            <w:pPr>
              <w:jc w:val="center"/>
              <w:rPr>
                <w:sz w:val="20"/>
                <w:szCs w:val="20"/>
              </w:rPr>
            </w:pP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Outcomes and Predictors of 28-Day Mortality in Patients </w:t>
            </w:r>
            <w:proofErr w:type="gramStart"/>
            <w:r w:rsidRPr="00B924A0">
              <w:rPr>
                <w:b/>
                <w:bCs/>
                <w:sz w:val="20"/>
                <w:szCs w:val="20"/>
              </w:rPr>
              <w:t>With</w:t>
            </w:r>
            <w:proofErr w:type="gramEnd"/>
            <w:r w:rsidRPr="00B924A0">
              <w:rPr>
                <w:b/>
                <w:bCs/>
                <w:sz w:val="20"/>
                <w:szCs w:val="20"/>
              </w:rPr>
              <w:t xml:space="preserve"> Hematologic Malignancies and Septic Shock Defined by Sepsis-3 Criteria </w:t>
            </w:r>
          </w:p>
        </w:tc>
        <w:tc>
          <w:tcPr>
            <w:tcW w:w="1597" w:type="dxa"/>
            <w:noWrap/>
            <w:hideMark/>
          </w:tcPr>
          <w:p w:rsidR="00B924A0" w:rsidRPr="00B924A0" w:rsidRDefault="00B924A0" w:rsidP="00B924A0">
            <w:pPr>
              <w:jc w:val="left"/>
              <w:rPr>
                <w:sz w:val="20"/>
                <w:szCs w:val="20"/>
              </w:rPr>
            </w:pPr>
            <w:r w:rsidRPr="00B924A0">
              <w:rPr>
                <w:sz w:val="20"/>
                <w:szCs w:val="20"/>
              </w:rPr>
              <w:t xml:space="preserve">N. </w:t>
            </w:r>
            <w:proofErr w:type="spellStart"/>
            <w:r w:rsidRPr="00B924A0">
              <w:rPr>
                <w:sz w:val="20"/>
                <w:szCs w:val="20"/>
              </w:rPr>
              <w:t>Manjappachar</w:t>
            </w:r>
            <w:proofErr w:type="spellEnd"/>
          </w:p>
        </w:tc>
        <w:tc>
          <w:tcPr>
            <w:tcW w:w="798" w:type="dxa"/>
            <w:noWrap/>
            <w:hideMark/>
          </w:tcPr>
          <w:p w:rsidR="00B924A0" w:rsidRPr="00B924A0" w:rsidRDefault="00B924A0" w:rsidP="00B924A0">
            <w:pPr>
              <w:jc w:val="left"/>
              <w:rPr>
                <w:sz w:val="20"/>
                <w:szCs w:val="20"/>
              </w:rPr>
            </w:pPr>
            <w:r w:rsidRPr="00B924A0">
              <w:rPr>
                <w:sz w:val="20"/>
                <w:szCs w:val="20"/>
              </w:rPr>
              <w:t>2022</w:t>
            </w:r>
          </w:p>
        </w:tc>
        <w:tc>
          <w:tcPr>
            <w:tcW w:w="975" w:type="dxa"/>
            <w:noWrap/>
            <w:hideMark/>
          </w:tcPr>
          <w:p w:rsidR="00B924A0" w:rsidRPr="00B924A0" w:rsidRDefault="00B924A0" w:rsidP="00B924A0">
            <w:pPr>
              <w:jc w:val="center"/>
              <w:rPr>
                <w:sz w:val="20"/>
                <w:szCs w:val="20"/>
              </w:rPr>
            </w:pPr>
            <w:r w:rsidRPr="00B924A0">
              <w:rPr>
                <w:sz w:val="20"/>
                <w:szCs w:val="20"/>
              </w:rPr>
              <w:t>*</w:t>
            </w:r>
          </w:p>
        </w:tc>
        <w:tc>
          <w:tcPr>
            <w:tcW w:w="1319" w:type="dxa"/>
            <w:noWrap/>
            <w:hideMark/>
          </w:tcPr>
          <w:p w:rsidR="00B924A0" w:rsidRPr="00B924A0" w:rsidRDefault="00B924A0" w:rsidP="00B924A0">
            <w:pPr>
              <w:jc w:val="center"/>
              <w:rPr>
                <w:sz w:val="20"/>
                <w:szCs w:val="20"/>
              </w:rPr>
            </w:pPr>
            <w:r w:rsidRPr="00B924A0">
              <w:rPr>
                <w:sz w:val="20"/>
                <w:szCs w:val="20"/>
              </w:rPr>
              <w:t>*</w:t>
            </w:r>
          </w:p>
        </w:tc>
        <w:tc>
          <w:tcPr>
            <w:tcW w:w="812" w:type="dxa"/>
            <w:noWrap/>
            <w:hideMark/>
          </w:tcPr>
          <w:p w:rsidR="00B924A0" w:rsidRPr="00B924A0" w:rsidRDefault="00B924A0" w:rsidP="00B924A0">
            <w:pPr>
              <w:jc w:val="center"/>
              <w:rPr>
                <w:sz w:val="20"/>
                <w:szCs w:val="20"/>
              </w:rPr>
            </w:pPr>
            <w:r w:rsidRPr="00B924A0">
              <w:rPr>
                <w:sz w:val="20"/>
                <w:szCs w:val="20"/>
              </w:rPr>
              <w:t>*</w:t>
            </w:r>
          </w:p>
        </w:tc>
        <w:tc>
          <w:tcPr>
            <w:tcW w:w="1004" w:type="dxa"/>
            <w:noWrap/>
            <w:hideMark/>
          </w:tcPr>
          <w:p w:rsidR="00B924A0" w:rsidRPr="00B924A0" w:rsidRDefault="00B924A0" w:rsidP="00B924A0">
            <w:pPr>
              <w:jc w:val="center"/>
              <w:rPr>
                <w:sz w:val="20"/>
                <w:szCs w:val="20"/>
              </w:rPr>
            </w:pPr>
            <w:r w:rsidRPr="00B924A0">
              <w:rPr>
                <w:sz w:val="20"/>
                <w:szCs w:val="20"/>
              </w:rPr>
              <w:t>*</w:t>
            </w:r>
          </w:p>
        </w:tc>
        <w:tc>
          <w:tcPr>
            <w:tcW w:w="1591" w:type="dxa"/>
            <w:noWrap/>
            <w:hideMark/>
          </w:tcPr>
          <w:p w:rsidR="00B924A0" w:rsidRPr="00B924A0" w:rsidRDefault="00B924A0" w:rsidP="00B924A0">
            <w:pPr>
              <w:jc w:val="center"/>
              <w:rPr>
                <w:sz w:val="20"/>
                <w:szCs w:val="20"/>
              </w:rPr>
            </w:pPr>
            <w:r w:rsidRPr="00B924A0">
              <w:rPr>
                <w:sz w:val="20"/>
                <w:szCs w:val="20"/>
              </w:rPr>
              <w:t>*</w:t>
            </w:r>
          </w:p>
        </w:tc>
        <w:tc>
          <w:tcPr>
            <w:tcW w:w="493" w:type="dxa"/>
            <w:noWrap/>
            <w:hideMark/>
          </w:tcPr>
          <w:p w:rsidR="00B924A0" w:rsidRPr="00B924A0" w:rsidRDefault="00B924A0" w:rsidP="00B924A0">
            <w:pPr>
              <w:jc w:val="center"/>
              <w:rPr>
                <w:sz w:val="20"/>
                <w:szCs w:val="20"/>
              </w:rPr>
            </w:pPr>
            <w:r w:rsidRPr="00B924A0">
              <w:rPr>
                <w:sz w:val="20"/>
                <w:szCs w:val="20"/>
              </w:rPr>
              <w:t>*</w:t>
            </w:r>
          </w:p>
        </w:tc>
        <w:tc>
          <w:tcPr>
            <w:tcW w:w="685" w:type="dxa"/>
            <w:noWrap/>
            <w:hideMark/>
          </w:tcPr>
          <w:p w:rsidR="00B924A0" w:rsidRPr="00B924A0" w:rsidRDefault="00B924A0" w:rsidP="00B924A0">
            <w:pPr>
              <w:jc w:val="center"/>
              <w:rPr>
                <w:sz w:val="20"/>
                <w:szCs w:val="20"/>
              </w:rPr>
            </w:pPr>
            <w:r w:rsidRPr="00B924A0">
              <w:rPr>
                <w:sz w:val="20"/>
                <w:szCs w:val="20"/>
              </w:rPr>
              <w:t>*</w:t>
            </w:r>
          </w:p>
        </w:tc>
        <w:tc>
          <w:tcPr>
            <w:tcW w:w="1055" w:type="dxa"/>
            <w:noWrap/>
            <w:hideMark/>
          </w:tcPr>
          <w:p w:rsidR="00B924A0" w:rsidRPr="00B924A0" w:rsidRDefault="00B924A0" w:rsidP="00B924A0">
            <w:pPr>
              <w:jc w:val="center"/>
              <w:rPr>
                <w:sz w:val="20"/>
                <w:szCs w:val="20"/>
              </w:rPr>
            </w:pPr>
            <w:r w:rsidRPr="00B924A0">
              <w:rPr>
                <w:sz w:val="20"/>
                <w:szCs w:val="20"/>
              </w:rPr>
              <w:t>*</w:t>
            </w: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Long-term prognosis of septic shock in cancer patients </w:t>
            </w:r>
          </w:p>
        </w:tc>
        <w:tc>
          <w:tcPr>
            <w:tcW w:w="1597" w:type="dxa"/>
            <w:noWrap/>
            <w:hideMark/>
          </w:tcPr>
          <w:p w:rsidR="00B924A0" w:rsidRPr="00B924A0" w:rsidRDefault="00B924A0" w:rsidP="00B924A0">
            <w:pPr>
              <w:jc w:val="left"/>
              <w:rPr>
                <w:sz w:val="20"/>
                <w:szCs w:val="20"/>
              </w:rPr>
            </w:pPr>
            <w:r w:rsidRPr="00B924A0">
              <w:rPr>
                <w:sz w:val="20"/>
                <w:szCs w:val="20"/>
              </w:rPr>
              <w:t>F. Camou</w:t>
            </w:r>
          </w:p>
        </w:tc>
        <w:tc>
          <w:tcPr>
            <w:tcW w:w="798" w:type="dxa"/>
            <w:noWrap/>
            <w:hideMark/>
          </w:tcPr>
          <w:p w:rsidR="00B924A0" w:rsidRPr="00B924A0" w:rsidRDefault="00B924A0" w:rsidP="00B924A0">
            <w:pPr>
              <w:jc w:val="left"/>
              <w:rPr>
                <w:sz w:val="20"/>
                <w:szCs w:val="20"/>
              </w:rPr>
            </w:pPr>
            <w:r w:rsidRPr="00B924A0">
              <w:rPr>
                <w:sz w:val="20"/>
                <w:szCs w:val="20"/>
              </w:rPr>
              <w:t>2020</w:t>
            </w:r>
          </w:p>
        </w:tc>
        <w:tc>
          <w:tcPr>
            <w:tcW w:w="975" w:type="dxa"/>
            <w:noWrap/>
            <w:hideMark/>
          </w:tcPr>
          <w:p w:rsidR="00B924A0" w:rsidRPr="00B924A0" w:rsidRDefault="00B924A0" w:rsidP="00B924A0">
            <w:pPr>
              <w:jc w:val="left"/>
              <w:rPr>
                <w:sz w:val="20"/>
                <w:szCs w:val="20"/>
              </w:rPr>
            </w:pP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p>
        </w:tc>
        <w:tc>
          <w:tcPr>
            <w:tcW w:w="685" w:type="dxa"/>
            <w:noWrap/>
            <w:hideMark/>
          </w:tcPr>
          <w:p w:rsidR="00B924A0" w:rsidRPr="00B924A0" w:rsidRDefault="00B924A0" w:rsidP="00B924A0">
            <w:pPr>
              <w:jc w:val="left"/>
              <w:rPr>
                <w:sz w:val="20"/>
                <w:szCs w:val="20"/>
              </w:rPr>
            </w:pPr>
          </w:p>
        </w:tc>
        <w:tc>
          <w:tcPr>
            <w:tcW w:w="1055" w:type="dxa"/>
            <w:noWrap/>
            <w:hideMark/>
          </w:tcPr>
          <w:p w:rsidR="00B924A0" w:rsidRPr="00B924A0" w:rsidRDefault="00B924A0" w:rsidP="00B924A0">
            <w:pPr>
              <w:jc w:val="left"/>
              <w:rPr>
                <w:sz w:val="20"/>
                <w:szCs w:val="20"/>
              </w:rPr>
            </w:pP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Outcome of patients with newly diagnosed AML admitted to the ICU, including preemptive admission – a multi‐center study </w:t>
            </w:r>
          </w:p>
        </w:tc>
        <w:tc>
          <w:tcPr>
            <w:tcW w:w="1597" w:type="dxa"/>
            <w:noWrap/>
            <w:hideMark/>
          </w:tcPr>
          <w:p w:rsidR="00B924A0" w:rsidRPr="00B924A0" w:rsidRDefault="00B924A0" w:rsidP="00B924A0">
            <w:pPr>
              <w:jc w:val="left"/>
              <w:rPr>
                <w:sz w:val="20"/>
                <w:szCs w:val="20"/>
              </w:rPr>
            </w:pPr>
            <w:r w:rsidRPr="00B924A0">
              <w:rPr>
                <w:sz w:val="20"/>
                <w:szCs w:val="20"/>
              </w:rPr>
              <w:t>C. Desprez</w:t>
            </w:r>
          </w:p>
        </w:tc>
        <w:tc>
          <w:tcPr>
            <w:tcW w:w="798" w:type="dxa"/>
            <w:noWrap/>
            <w:hideMark/>
          </w:tcPr>
          <w:p w:rsidR="00B924A0" w:rsidRPr="00B924A0" w:rsidRDefault="00B924A0" w:rsidP="00B924A0">
            <w:pPr>
              <w:jc w:val="left"/>
              <w:rPr>
                <w:sz w:val="20"/>
                <w:szCs w:val="20"/>
              </w:rPr>
            </w:pPr>
            <w:r w:rsidRPr="00B924A0">
              <w:rPr>
                <w:sz w:val="20"/>
                <w:szCs w:val="20"/>
              </w:rPr>
              <w:t>2023</w:t>
            </w:r>
          </w:p>
        </w:tc>
        <w:tc>
          <w:tcPr>
            <w:tcW w:w="975" w:type="dxa"/>
            <w:noWrap/>
            <w:hideMark/>
          </w:tcPr>
          <w:p w:rsidR="00B924A0" w:rsidRPr="00B924A0" w:rsidRDefault="00B924A0" w:rsidP="00B924A0">
            <w:pPr>
              <w:jc w:val="left"/>
              <w:rPr>
                <w:sz w:val="20"/>
                <w:szCs w:val="20"/>
              </w:rPr>
            </w:pPr>
            <w:r w:rsidRPr="00B924A0">
              <w:rPr>
                <w:sz w:val="20"/>
                <w:szCs w:val="20"/>
              </w:rPr>
              <w:t>*</w:t>
            </w: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r w:rsidRPr="00B924A0">
              <w:rPr>
                <w:sz w:val="20"/>
                <w:szCs w:val="20"/>
              </w:rPr>
              <w:t>*</w:t>
            </w:r>
          </w:p>
        </w:tc>
        <w:tc>
          <w:tcPr>
            <w:tcW w:w="685" w:type="dxa"/>
            <w:noWrap/>
            <w:hideMark/>
          </w:tcPr>
          <w:p w:rsidR="00B924A0" w:rsidRPr="00B924A0" w:rsidRDefault="00B924A0" w:rsidP="00B924A0">
            <w:pPr>
              <w:jc w:val="left"/>
              <w:rPr>
                <w:sz w:val="20"/>
                <w:szCs w:val="20"/>
              </w:rPr>
            </w:pPr>
            <w:r w:rsidRPr="00B924A0">
              <w:rPr>
                <w:sz w:val="20"/>
                <w:szCs w:val="20"/>
              </w:rPr>
              <w:t>*</w:t>
            </w:r>
          </w:p>
        </w:tc>
        <w:tc>
          <w:tcPr>
            <w:tcW w:w="1055" w:type="dxa"/>
            <w:noWrap/>
            <w:hideMark/>
          </w:tcPr>
          <w:p w:rsidR="00B924A0" w:rsidRPr="00B924A0" w:rsidRDefault="00B924A0" w:rsidP="00B924A0">
            <w:pPr>
              <w:jc w:val="left"/>
              <w:rPr>
                <w:sz w:val="20"/>
                <w:szCs w:val="20"/>
              </w:rPr>
            </w:pPr>
            <w:r w:rsidRPr="00B924A0">
              <w:rPr>
                <w:sz w:val="20"/>
                <w:szCs w:val="20"/>
              </w:rPr>
              <w:t>*</w:t>
            </w: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Impact of Urgent Chemotherapy in Critically Ill Patients </w:t>
            </w:r>
          </w:p>
        </w:tc>
        <w:tc>
          <w:tcPr>
            <w:tcW w:w="1597" w:type="dxa"/>
            <w:noWrap/>
            <w:hideMark/>
          </w:tcPr>
          <w:p w:rsidR="00B924A0" w:rsidRPr="00B924A0" w:rsidRDefault="00B924A0" w:rsidP="00B924A0">
            <w:pPr>
              <w:jc w:val="left"/>
              <w:rPr>
                <w:sz w:val="20"/>
                <w:szCs w:val="20"/>
              </w:rPr>
            </w:pPr>
            <w:r w:rsidRPr="00B924A0">
              <w:rPr>
                <w:sz w:val="20"/>
                <w:szCs w:val="20"/>
              </w:rPr>
              <w:t>M. de Oliveira</w:t>
            </w:r>
          </w:p>
        </w:tc>
        <w:tc>
          <w:tcPr>
            <w:tcW w:w="798" w:type="dxa"/>
            <w:noWrap/>
            <w:hideMark/>
          </w:tcPr>
          <w:p w:rsidR="00B924A0" w:rsidRPr="00B924A0" w:rsidRDefault="00B924A0" w:rsidP="00B924A0">
            <w:pPr>
              <w:jc w:val="left"/>
              <w:rPr>
                <w:sz w:val="20"/>
                <w:szCs w:val="20"/>
              </w:rPr>
            </w:pPr>
            <w:r w:rsidRPr="00B924A0">
              <w:rPr>
                <w:sz w:val="20"/>
                <w:szCs w:val="20"/>
              </w:rPr>
              <w:t>2020</w:t>
            </w:r>
          </w:p>
        </w:tc>
        <w:tc>
          <w:tcPr>
            <w:tcW w:w="975" w:type="dxa"/>
            <w:noWrap/>
            <w:hideMark/>
          </w:tcPr>
          <w:p w:rsidR="00B924A0" w:rsidRPr="00B924A0" w:rsidRDefault="00B924A0" w:rsidP="00B924A0">
            <w:pPr>
              <w:jc w:val="left"/>
              <w:rPr>
                <w:sz w:val="20"/>
                <w:szCs w:val="20"/>
              </w:rPr>
            </w:pP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p>
        </w:tc>
        <w:tc>
          <w:tcPr>
            <w:tcW w:w="685" w:type="dxa"/>
            <w:noWrap/>
            <w:hideMark/>
          </w:tcPr>
          <w:p w:rsidR="00B924A0" w:rsidRPr="00B924A0" w:rsidRDefault="00B924A0" w:rsidP="00B924A0">
            <w:pPr>
              <w:jc w:val="left"/>
              <w:rPr>
                <w:sz w:val="20"/>
                <w:szCs w:val="20"/>
              </w:rPr>
            </w:pPr>
          </w:p>
        </w:tc>
        <w:tc>
          <w:tcPr>
            <w:tcW w:w="1055" w:type="dxa"/>
            <w:noWrap/>
            <w:hideMark/>
          </w:tcPr>
          <w:p w:rsidR="00B924A0" w:rsidRPr="00B924A0" w:rsidRDefault="00B924A0" w:rsidP="00B924A0">
            <w:pPr>
              <w:jc w:val="left"/>
              <w:rPr>
                <w:sz w:val="20"/>
                <w:szCs w:val="20"/>
              </w:rPr>
            </w:pP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Prediction of bleeding and thrombosis by standard biochemical coagulation variables in </w:t>
            </w:r>
            <w:proofErr w:type="spellStart"/>
            <w:r w:rsidRPr="00B924A0">
              <w:rPr>
                <w:b/>
                <w:bCs/>
                <w:sz w:val="20"/>
                <w:szCs w:val="20"/>
              </w:rPr>
              <w:t>haematological</w:t>
            </w:r>
            <w:proofErr w:type="spellEnd"/>
            <w:r w:rsidRPr="00B924A0">
              <w:rPr>
                <w:b/>
                <w:bCs/>
                <w:sz w:val="20"/>
                <w:szCs w:val="20"/>
              </w:rPr>
              <w:t xml:space="preserve"> intensive care patients </w:t>
            </w:r>
          </w:p>
        </w:tc>
        <w:tc>
          <w:tcPr>
            <w:tcW w:w="1597" w:type="dxa"/>
            <w:noWrap/>
            <w:hideMark/>
          </w:tcPr>
          <w:p w:rsidR="00B924A0" w:rsidRPr="00B924A0" w:rsidRDefault="00B924A0" w:rsidP="00B924A0">
            <w:pPr>
              <w:jc w:val="left"/>
              <w:rPr>
                <w:sz w:val="20"/>
                <w:szCs w:val="20"/>
              </w:rPr>
            </w:pPr>
            <w:r w:rsidRPr="00B924A0">
              <w:rPr>
                <w:sz w:val="20"/>
                <w:szCs w:val="20"/>
              </w:rPr>
              <w:t>L. Russell</w:t>
            </w:r>
          </w:p>
        </w:tc>
        <w:tc>
          <w:tcPr>
            <w:tcW w:w="798" w:type="dxa"/>
            <w:noWrap/>
            <w:hideMark/>
          </w:tcPr>
          <w:p w:rsidR="00B924A0" w:rsidRPr="00B924A0" w:rsidRDefault="00B924A0" w:rsidP="00B924A0">
            <w:pPr>
              <w:jc w:val="left"/>
              <w:rPr>
                <w:sz w:val="20"/>
                <w:szCs w:val="20"/>
              </w:rPr>
            </w:pPr>
            <w:r w:rsidRPr="00B924A0">
              <w:rPr>
                <w:sz w:val="20"/>
                <w:szCs w:val="20"/>
              </w:rPr>
              <w:t>2017</w:t>
            </w:r>
          </w:p>
        </w:tc>
        <w:tc>
          <w:tcPr>
            <w:tcW w:w="975" w:type="dxa"/>
            <w:noWrap/>
            <w:hideMark/>
          </w:tcPr>
          <w:p w:rsidR="00B924A0" w:rsidRPr="00B924A0" w:rsidRDefault="00B924A0" w:rsidP="00B924A0">
            <w:pPr>
              <w:jc w:val="left"/>
              <w:rPr>
                <w:sz w:val="20"/>
                <w:szCs w:val="20"/>
              </w:rPr>
            </w:pPr>
            <w:r w:rsidRPr="00B924A0">
              <w:rPr>
                <w:sz w:val="20"/>
                <w:szCs w:val="20"/>
              </w:rPr>
              <w:t>*</w:t>
            </w: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p>
        </w:tc>
        <w:tc>
          <w:tcPr>
            <w:tcW w:w="685" w:type="dxa"/>
            <w:noWrap/>
            <w:hideMark/>
          </w:tcPr>
          <w:p w:rsidR="00B924A0" w:rsidRPr="00B924A0" w:rsidRDefault="00B924A0" w:rsidP="00B924A0">
            <w:pPr>
              <w:jc w:val="left"/>
              <w:rPr>
                <w:sz w:val="20"/>
                <w:szCs w:val="20"/>
              </w:rPr>
            </w:pPr>
          </w:p>
        </w:tc>
        <w:tc>
          <w:tcPr>
            <w:tcW w:w="1055" w:type="dxa"/>
            <w:noWrap/>
            <w:hideMark/>
          </w:tcPr>
          <w:p w:rsidR="00B924A0" w:rsidRPr="00B924A0" w:rsidRDefault="00B924A0" w:rsidP="00B924A0">
            <w:pPr>
              <w:jc w:val="left"/>
              <w:rPr>
                <w:sz w:val="20"/>
                <w:szCs w:val="20"/>
              </w:rPr>
            </w:pP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Progression of the Radiologic Severity Index is associated with increased mortality and healthcare resource </w:t>
            </w:r>
            <w:proofErr w:type="spellStart"/>
            <w:r w:rsidRPr="00B924A0">
              <w:rPr>
                <w:b/>
                <w:bCs/>
                <w:sz w:val="20"/>
                <w:szCs w:val="20"/>
              </w:rPr>
              <w:t>utilisation</w:t>
            </w:r>
            <w:proofErr w:type="spellEnd"/>
            <w:r w:rsidRPr="00B924A0">
              <w:rPr>
                <w:b/>
                <w:bCs/>
                <w:sz w:val="20"/>
                <w:szCs w:val="20"/>
              </w:rPr>
              <w:t xml:space="preserve"> in acute </w:t>
            </w:r>
            <w:proofErr w:type="spellStart"/>
            <w:r w:rsidRPr="00B924A0">
              <w:rPr>
                <w:b/>
                <w:bCs/>
                <w:sz w:val="20"/>
                <w:szCs w:val="20"/>
              </w:rPr>
              <w:t>leukaemia</w:t>
            </w:r>
            <w:proofErr w:type="spellEnd"/>
            <w:r w:rsidRPr="00B924A0">
              <w:rPr>
                <w:b/>
                <w:bCs/>
                <w:sz w:val="20"/>
                <w:szCs w:val="20"/>
              </w:rPr>
              <w:t xml:space="preserve"> patients with pneumonia</w:t>
            </w:r>
          </w:p>
        </w:tc>
        <w:tc>
          <w:tcPr>
            <w:tcW w:w="1597" w:type="dxa"/>
            <w:noWrap/>
            <w:hideMark/>
          </w:tcPr>
          <w:p w:rsidR="00B924A0" w:rsidRPr="00B924A0" w:rsidRDefault="00B924A0" w:rsidP="00B924A0">
            <w:pPr>
              <w:jc w:val="left"/>
              <w:rPr>
                <w:sz w:val="20"/>
                <w:szCs w:val="20"/>
              </w:rPr>
            </w:pPr>
            <w:r w:rsidRPr="00B924A0">
              <w:rPr>
                <w:sz w:val="20"/>
                <w:szCs w:val="20"/>
              </w:rPr>
              <w:t>A. Sheshadri</w:t>
            </w:r>
          </w:p>
        </w:tc>
        <w:tc>
          <w:tcPr>
            <w:tcW w:w="798" w:type="dxa"/>
            <w:noWrap/>
            <w:hideMark/>
          </w:tcPr>
          <w:p w:rsidR="00B924A0" w:rsidRPr="00B924A0" w:rsidRDefault="00B924A0" w:rsidP="00B924A0">
            <w:pPr>
              <w:jc w:val="left"/>
              <w:rPr>
                <w:sz w:val="20"/>
                <w:szCs w:val="20"/>
              </w:rPr>
            </w:pPr>
            <w:r w:rsidRPr="00B924A0">
              <w:rPr>
                <w:sz w:val="20"/>
                <w:szCs w:val="20"/>
              </w:rPr>
              <w:t>2019</w:t>
            </w:r>
          </w:p>
        </w:tc>
        <w:tc>
          <w:tcPr>
            <w:tcW w:w="975" w:type="dxa"/>
            <w:noWrap/>
            <w:hideMark/>
          </w:tcPr>
          <w:p w:rsidR="00B924A0" w:rsidRPr="00B924A0" w:rsidRDefault="00B924A0" w:rsidP="00B924A0">
            <w:pPr>
              <w:jc w:val="left"/>
              <w:rPr>
                <w:sz w:val="20"/>
                <w:szCs w:val="20"/>
              </w:rPr>
            </w:pPr>
            <w:r w:rsidRPr="00B924A0">
              <w:rPr>
                <w:sz w:val="20"/>
                <w:szCs w:val="20"/>
              </w:rPr>
              <w:t>*</w:t>
            </w: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p>
        </w:tc>
        <w:tc>
          <w:tcPr>
            <w:tcW w:w="685" w:type="dxa"/>
            <w:noWrap/>
            <w:hideMark/>
          </w:tcPr>
          <w:p w:rsidR="00B924A0" w:rsidRPr="00B924A0" w:rsidRDefault="00B924A0" w:rsidP="00B924A0">
            <w:pPr>
              <w:jc w:val="left"/>
              <w:rPr>
                <w:sz w:val="20"/>
                <w:szCs w:val="20"/>
              </w:rPr>
            </w:pPr>
          </w:p>
        </w:tc>
        <w:tc>
          <w:tcPr>
            <w:tcW w:w="1055" w:type="dxa"/>
            <w:noWrap/>
            <w:hideMark/>
          </w:tcPr>
          <w:p w:rsidR="00B924A0" w:rsidRPr="00B924A0" w:rsidRDefault="00B924A0" w:rsidP="00B924A0">
            <w:pPr>
              <w:jc w:val="left"/>
              <w:rPr>
                <w:sz w:val="20"/>
                <w:szCs w:val="20"/>
              </w:rPr>
            </w:pP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Determination of the relationship between mortality and SOFA, </w:t>
            </w:r>
            <w:proofErr w:type="spellStart"/>
            <w:r w:rsidRPr="00B924A0">
              <w:rPr>
                <w:b/>
                <w:bCs/>
                <w:sz w:val="20"/>
                <w:szCs w:val="20"/>
              </w:rPr>
              <w:t>qSOFA</w:t>
            </w:r>
            <w:proofErr w:type="spellEnd"/>
            <w:r w:rsidRPr="00B924A0">
              <w:rPr>
                <w:b/>
                <w:bCs/>
                <w:sz w:val="20"/>
                <w:szCs w:val="20"/>
              </w:rPr>
              <w:t xml:space="preserve">, MASCC scores in febrile neutropenic patients monitored in the intensive care unit </w:t>
            </w:r>
          </w:p>
        </w:tc>
        <w:tc>
          <w:tcPr>
            <w:tcW w:w="1597" w:type="dxa"/>
            <w:noWrap/>
            <w:hideMark/>
          </w:tcPr>
          <w:p w:rsidR="00B924A0" w:rsidRPr="00B924A0" w:rsidRDefault="00B924A0" w:rsidP="00B924A0">
            <w:pPr>
              <w:jc w:val="left"/>
              <w:rPr>
                <w:sz w:val="20"/>
                <w:szCs w:val="20"/>
              </w:rPr>
            </w:pPr>
            <w:r w:rsidRPr="00B924A0">
              <w:rPr>
                <w:sz w:val="20"/>
                <w:szCs w:val="20"/>
              </w:rPr>
              <w:t xml:space="preserve">T. </w:t>
            </w:r>
            <w:proofErr w:type="spellStart"/>
            <w:r w:rsidRPr="00B924A0">
              <w:rPr>
                <w:sz w:val="20"/>
                <w:szCs w:val="20"/>
              </w:rPr>
              <w:t>Cetintepe</w:t>
            </w:r>
            <w:proofErr w:type="spellEnd"/>
          </w:p>
        </w:tc>
        <w:tc>
          <w:tcPr>
            <w:tcW w:w="798" w:type="dxa"/>
            <w:noWrap/>
            <w:hideMark/>
          </w:tcPr>
          <w:p w:rsidR="00B924A0" w:rsidRPr="00B924A0" w:rsidRDefault="00B924A0" w:rsidP="00B924A0">
            <w:pPr>
              <w:jc w:val="left"/>
              <w:rPr>
                <w:sz w:val="20"/>
                <w:szCs w:val="20"/>
              </w:rPr>
            </w:pPr>
            <w:r w:rsidRPr="00B924A0">
              <w:rPr>
                <w:sz w:val="20"/>
                <w:szCs w:val="20"/>
              </w:rPr>
              <w:t>2021</w:t>
            </w:r>
          </w:p>
        </w:tc>
        <w:tc>
          <w:tcPr>
            <w:tcW w:w="975" w:type="dxa"/>
            <w:noWrap/>
            <w:hideMark/>
          </w:tcPr>
          <w:p w:rsidR="00B924A0" w:rsidRPr="00B924A0" w:rsidRDefault="00B924A0" w:rsidP="00B924A0">
            <w:pPr>
              <w:jc w:val="left"/>
              <w:rPr>
                <w:sz w:val="20"/>
                <w:szCs w:val="20"/>
              </w:rPr>
            </w:pP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r w:rsidRPr="00B924A0">
              <w:rPr>
                <w:sz w:val="20"/>
                <w:szCs w:val="20"/>
              </w:rPr>
              <w:t>*</w:t>
            </w:r>
          </w:p>
        </w:tc>
        <w:tc>
          <w:tcPr>
            <w:tcW w:w="685" w:type="dxa"/>
            <w:noWrap/>
            <w:hideMark/>
          </w:tcPr>
          <w:p w:rsidR="00B924A0" w:rsidRPr="00B924A0" w:rsidRDefault="00B924A0" w:rsidP="00B924A0">
            <w:pPr>
              <w:jc w:val="left"/>
              <w:rPr>
                <w:sz w:val="20"/>
                <w:szCs w:val="20"/>
              </w:rPr>
            </w:pPr>
            <w:r w:rsidRPr="00B924A0">
              <w:rPr>
                <w:sz w:val="20"/>
                <w:szCs w:val="20"/>
              </w:rPr>
              <w:t>*</w:t>
            </w:r>
          </w:p>
        </w:tc>
        <w:tc>
          <w:tcPr>
            <w:tcW w:w="1055" w:type="dxa"/>
            <w:noWrap/>
            <w:hideMark/>
          </w:tcPr>
          <w:p w:rsidR="00B924A0" w:rsidRPr="00B924A0" w:rsidRDefault="00B924A0" w:rsidP="00B924A0">
            <w:pPr>
              <w:jc w:val="left"/>
              <w:rPr>
                <w:sz w:val="20"/>
                <w:szCs w:val="20"/>
              </w:rPr>
            </w:pPr>
            <w:r w:rsidRPr="00B924A0">
              <w:rPr>
                <w:sz w:val="20"/>
                <w:szCs w:val="20"/>
              </w:rPr>
              <w:t>*</w:t>
            </w:r>
          </w:p>
        </w:tc>
      </w:tr>
      <w:tr w:rsidR="00B924A0" w:rsidRPr="00B924A0" w:rsidTr="00B924A0">
        <w:trPr>
          <w:trHeight w:val="320"/>
        </w:trPr>
        <w:tc>
          <w:tcPr>
            <w:tcW w:w="3665" w:type="dxa"/>
            <w:noWrap/>
            <w:hideMark/>
          </w:tcPr>
          <w:p w:rsidR="00B924A0" w:rsidRPr="00B924A0" w:rsidRDefault="00B924A0">
            <w:pPr>
              <w:jc w:val="left"/>
              <w:rPr>
                <w:b/>
                <w:bCs/>
                <w:sz w:val="20"/>
                <w:szCs w:val="20"/>
              </w:rPr>
            </w:pPr>
            <w:r w:rsidRPr="00B924A0">
              <w:rPr>
                <w:b/>
                <w:bCs/>
                <w:sz w:val="20"/>
                <w:szCs w:val="20"/>
              </w:rPr>
              <w:t xml:space="preserve">Acute respiratory distress syndrome in patients with hematological malignancies </w:t>
            </w:r>
          </w:p>
        </w:tc>
        <w:tc>
          <w:tcPr>
            <w:tcW w:w="1597" w:type="dxa"/>
            <w:noWrap/>
            <w:hideMark/>
          </w:tcPr>
          <w:p w:rsidR="00B924A0" w:rsidRPr="00B924A0" w:rsidRDefault="00B924A0" w:rsidP="00B924A0">
            <w:pPr>
              <w:jc w:val="left"/>
              <w:rPr>
                <w:sz w:val="20"/>
                <w:szCs w:val="20"/>
              </w:rPr>
            </w:pPr>
            <w:r w:rsidRPr="00B924A0">
              <w:rPr>
                <w:sz w:val="20"/>
                <w:szCs w:val="20"/>
              </w:rPr>
              <w:t>M. Turkoglu</w:t>
            </w:r>
          </w:p>
        </w:tc>
        <w:tc>
          <w:tcPr>
            <w:tcW w:w="798" w:type="dxa"/>
            <w:noWrap/>
            <w:hideMark/>
          </w:tcPr>
          <w:p w:rsidR="00B924A0" w:rsidRPr="00B924A0" w:rsidRDefault="00B924A0" w:rsidP="00B924A0">
            <w:pPr>
              <w:jc w:val="left"/>
              <w:rPr>
                <w:sz w:val="20"/>
                <w:szCs w:val="20"/>
              </w:rPr>
            </w:pPr>
            <w:r w:rsidRPr="00B924A0">
              <w:rPr>
                <w:sz w:val="20"/>
                <w:szCs w:val="20"/>
              </w:rPr>
              <w:t>2013</w:t>
            </w:r>
          </w:p>
        </w:tc>
        <w:tc>
          <w:tcPr>
            <w:tcW w:w="975" w:type="dxa"/>
            <w:noWrap/>
            <w:hideMark/>
          </w:tcPr>
          <w:p w:rsidR="00B924A0" w:rsidRPr="00B924A0" w:rsidRDefault="00B924A0" w:rsidP="00B924A0">
            <w:pPr>
              <w:jc w:val="left"/>
              <w:rPr>
                <w:sz w:val="20"/>
                <w:szCs w:val="20"/>
              </w:rPr>
            </w:pPr>
            <w:r w:rsidRPr="00B924A0">
              <w:rPr>
                <w:sz w:val="20"/>
                <w:szCs w:val="20"/>
              </w:rPr>
              <w:t>*</w:t>
            </w:r>
          </w:p>
        </w:tc>
        <w:tc>
          <w:tcPr>
            <w:tcW w:w="1319" w:type="dxa"/>
            <w:noWrap/>
            <w:hideMark/>
          </w:tcPr>
          <w:p w:rsidR="00B924A0" w:rsidRPr="00B924A0" w:rsidRDefault="00B924A0" w:rsidP="00B924A0">
            <w:pPr>
              <w:jc w:val="left"/>
              <w:rPr>
                <w:sz w:val="20"/>
                <w:szCs w:val="20"/>
              </w:rPr>
            </w:pPr>
            <w:r w:rsidRPr="00B924A0">
              <w:rPr>
                <w:sz w:val="20"/>
                <w:szCs w:val="20"/>
              </w:rPr>
              <w:t>*</w:t>
            </w:r>
          </w:p>
        </w:tc>
        <w:tc>
          <w:tcPr>
            <w:tcW w:w="812" w:type="dxa"/>
            <w:noWrap/>
            <w:hideMark/>
          </w:tcPr>
          <w:p w:rsidR="00B924A0" w:rsidRPr="00B924A0" w:rsidRDefault="00B924A0" w:rsidP="00B924A0">
            <w:pPr>
              <w:jc w:val="left"/>
              <w:rPr>
                <w:sz w:val="20"/>
                <w:szCs w:val="20"/>
              </w:rPr>
            </w:pPr>
            <w:r w:rsidRPr="00B924A0">
              <w:rPr>
                <w:sz w:val="20"/>
                <w:szCs w:val="20"/>
              </w:rPr>
              <w:t>*</w:t>
            </w:r>
          </w:p>
        </w:tc>
        <w:tc>
          <w:tcPr>
            <w:tcW w:w="1004" w:type="dxa"/>
            <w:noWrap/>
            <w:hideMark/>
          </w:tcPr>
          <w:p w:rsidR="00B924A0" w:rsidRPr="00B924A0" w:rsidRDefault="00B924A0" w:rsidP="00B924A0">
            <w:pPr>
              <w:jc w:val="left"/>
              <w:rPr>
                <w:sz w:val="20"/>
                <w:szCs w:val="20"/>
              </w:rPr>
            </w:pPr>
            <w:r w:rsidRPr="00B924A0">
              <w:rPr>
                <w:sz w:val="20"/>
                <w:szCs w:val="20"/>
              </w:rPr>
              <w:t>*</w:t>
            </w:r>
          </w:p>
        </w:tc>
        <w:tc>
          <w:tcPr>
            <w:tcW w:w="1591" w:type="dxa"/>
            <w:noWrap/>
            <w:hideMark/>
          </w:tcPr>
          <w:p w:rsidR="00B924A0" w:rsidRPr="00B924A0" w:rsidRDefault="00B924A0" w:rsidP="00B924A0">
            <w:pPr>
              <w:jc w:val="left"/>
              <w:rPr>
                <w:sz w:val="20"/>
                <w:szCs w:val="20"/>
              </w:rPr>
            </w:pPr>
            <w:r w:rsidRPr="00B924A0">
              <w:rPr>
                <w:sz w:val="20"/>
                <w:szCs w:val="20"/>
              </w:rPr>
              <w:t>*</w:t>
            </w:r>
          </w:p>
        </w:tc>
        <w:tc>
          <w:tcPr>
            <w:tcW w:w="493" w:type="dxa"/>
            <w:noWrap/>
            <w:hideMark/>
          </w:tcPr>
          <w:p w:rsidR="00B924A0" w:rsidRPr="00B924A0" w:rsidRDefault="00B924A0" w:rsidP="00B924A0">
            <w:pPr>
              <w:jc w:val="left"/>
              <w:rPr>
                <w:sz w:val="20"/>
                <w:szCs w:val="20"/>
              </w:rPr>
            </w:pPr>
            <w:r w:rsidRPr="00B924A0">
              <w:rPr>
                <w:sz w:val="20"/>
                <w:szCs w:val="20"/>
              </w:rPr>
              <w:t>*</w:t>
            </w:r>
          </w:p>
        </w:tc>
        <w:tc>
          <w:tcPr>
            <w:tcW w:w="685" w:type="dxa"/>
            <w:noWrap/>
            <w:hideMark/>
          </w:tcPr>
          <w:p w:rsidR="00B924A0" w:rsidRPr="00B924A0" w:rsidRDefault="00B924A0" w:rsidP="00B924A0">
            <w:pPr>
              <w:jc w:val="left"/>
              <w:rPr>
                <w:sz w:val="20"/>
                <w:szCs w:val="20"/>
              </w:rPr>
            </w:pPr>
            <w:r w:rsidRPr="00B924A0">
              <w:rPr>
                <w:sz w:val="20"/>
                <w:szCs w:val="20"/>
              </w:rPr>
              <w:t>*</w:t>
            </w:r>
          </w:p>
        </w:tc>
        <w:tc>
          <w:tcPr>
            <w:tcW w:w="1055" w:type="dxa"/>
            <w:noWrap/>
            <w:hideMark/>
          </w:tcPr>
          <w:p w:rsidR="00B924A0" w:rsidRPr="00B924A0" w:rsidRDefault="00B924A0" w:rsidP="00B924A0">
            <w:pPr>
              <w:jc w:val="left"/>
              <w:rPr>
                <w:sz w:val="20"/>
                <w:szCs w:val="20"/>
              </w:rPr>
            </w:pPr>
            <w:r w:rsidRPr="00B924A0">
              <w:rPr>
                <w:sz w:val="20"/>
                <w:szCs w:val="20"/>
              </w:rPr>
              <w:t>*</w:t>
            </w:r>
          </w:p>
        </w:tc>
      </w:tr>
    </w:tbl>
    <w:p w:rsidR="0071394F" w:rsidRDefault="0071394F" w:rsidP="00395819">
      <w:pPr>
        <w:rPr>
          <w:b/>
          <w:bCs/>
        </w:rPr>
        <w:sectPr w:rsidR="0071394F" w:rsidSect="00FB2679">
          <w:pgSz w:w="16838" w:h="11906" w:orient="landscape"/>
          <w:pgMar w:top="1417" w:right="1417" w:bottom="1417" w:left="1417" w:header="708" w:footer="708" w:gutter="0"/>
          <w:cols w:space="708"/>
          <w:docGrid w:linePitch="360"/>
        </w:sectPr>
      </w:pPr>
    </w:p>
    <w:p w:rsidR="0071394F" w:rsidRDefault="0071394F" w:rsidP="00395819">
      <w:pPr>
        <w:rPr>
          <w:b/>
          <w:bCs/>
        </w:rPr>
        <w:sectPr w:rsidR="0071394F" w:rsidSect="0071394F">
          <w:pgSz w:w="11906" w:h="16838"/>
          <w:pgMar w:top="1417" w:right="1417" w:bottom="1417" w:left="1417" w:header="708" w:footer="708" w:gutter="0"/>
          <w:cols w:space="708"/>
          <w:docGrid w:linePitch="360"/>
        </w:sectPr>
      </w:pPr>
    </w:p>
    <w:p w:rsidR="00395819" w:rsidRPr="00345641" w:rsidRDefault="00395819" w:rsidP="00395819">
      <w:pPr>
        <w:rPr>
          <w:b/>
          <w:bCs/>
        </w:rPr>
      </w:pPr>
      <w:bookmarkStart w:id="4" w:name="_Toc212854890"/>
      <w:r w:rsidRPr="00345641">
        <w:rPr>
          <w:b/>
          <w:bCs/>
        </w:rPr>
        <w:lastRenderedPageBreak/>
        <w:t xml:space="preserve">Table </w:t>
      </w:r>
      <w:r w:rsidR="00347EE6" w:rsidRPr="00345641">
        <w:rPr>
          <w:b/>
          <w:bCs/>
        </w:rPr>
        <w:t>S</w:t>
      </w:r>
      <w:r w:rsidRPr="00345641">
        <w:rPr>
          <w:b/>
          <w:bCs/>
        </w:rPr>
        <w:fldChar w:fldCharType="begin"/>
      </w:r>
      <w:r w:rsidRPr="00345641">
        <w:rPr>
          <w:b/>
          <w:bCs/>
        </w:rPr>
        <w:instrText xml:space="preserve"> SEQ Table \* ARABIC </w:instrText>
      </w:r>
      <w:r w:rsidRPr="00345641">
        <w:rPr>
          <w:b/>
          <w:bCs/>
        </w:rPr>
        <w:fldChar w:fldCharType="separate"/>
      </w:r>
      <w:r w:rsidR="001764B7">
        <w:rPr>
          <w:b/>
          <w:bCs/>
          <w:noProof/>
        </w:rPr>
        <w:t>5</w:t>
      </w:r>
      <w:r w:rsidRPr="00345641">
        <w:rPr>
          <w:b/>
          <w:bCs/>
        </w:rPr>
        <w:fldChar w:fldCharType="end"/>
      </w:r>
      <w:r w:rsidRPr="00345641">
        <w:rPr>
          <w:b/>
          <w:bCs/>
        </w:rPr>
        <w:t xml:space="preserve">. Demographic characteristics of </w:t>
      </w:r>
      <w:r w:rsidR="00101EA5" w:rsidRPr="00345641">
        <w:rPr>
          <w:b/>
          <w:bCs/>
        </w:rPr>
        <w:t xml:space="preserve">acute leukemia </w:t>
      </w:r>
      <w:r w:rsidRPr="00345641">
        <w:rPr>
          <w:b/>
          <w:bCs/>
        </w:rPr>
        <w:t xml:space="preserve">patients who required </w:t>
      </w:r>
      <w:r w:rsidR="005567D9" w:rsidRPr="00345641">
        <w:rPr>
          <w:b/>
          <w:bCs/>
        </w:rPr>
        <w:t xml:space="preserve">invasive </w:t>
      </w:r>
      <w:r w:rsidRPr="00345641">
        <w:rPr>
          <w:b/>
          <w:bCs/>
        </w:rPr>
        <w:t>mechanical ventilation.</w:t>
      </w:r>
      <w:bookmarkEnd w:id="4"/>
    </w:p>
    <w:tbl>
      <w:tblPr>
        <w:tblStyle w:val="Grilledutableau"/>
        <w:tblW w:w="0" w:type="auto"/>
        <w:tblLook w:val="04A0" w:firstRow="1" w:lastRow="0" w:firstColumn="1" w:lastColumn="0" w:noHBand="0" w:noVBand="1"/>
      </w:tblPr>
      <w:tblGrid>
        <w:gridCol w:w="4615"/>
        <w:gridCol w:w="1110"/>
        <w:gridCol w:w="3337"/>
      </w:tblGrid>
      <w:tr w:rsidR="00551117" w:rsidRPr="00345641" w:rsidTr="00551117">
        <w:trPr>
          <w:trHeight w:val="420"/>
        </w:trPr>
        <w:tc>
          <w:tcPr>
            <w:tcW w:w="4615" w:type="dxa"/>
            <w:noWrap/>
            <w:hideMark/>
          </w:tcPr>
          <w:p w:rsidR="00551117" w:rsidRPr="00345641" w:rsidRDefault="00551117" w:rsidP="00551117">
            <w:pPr>
              <w:jc w:val="center"/>
            </w:pPr>
          </w:p>
        </w:tc>
        <w:tc>
          <w:tcPr>
            <w:tcW w:w="1110" w:type="dxa"/>
            <w:noWrap/>
            <w:hideMark/>
          </w:tcPr>
          <w:p w:rsidR="00551117" w:rsidRPr="00345641" w:rsidRDefault="00551117" w:rsidP="00551117">
            <w:pPr>
              <w:jc w:val="center"/>
              <w:rPr>
                <w:b/>
                <w:bCs/>
              </w:rPr>
            </w:pPr>
            <w:r w:rsidRPr="00345641">
              <w:rPr>
                <w:b/>
                <w:bCs/>
              </w:rPr>
              <w:t>Missing values</w:t>
            </w:r>
            <w:r w:rsidRPr="00345641">
              <w:rPr>
                <w:b/>
                <w:bCs/>
                <w:vertAlign w:val="superscript"/>
              </w:rPr>
              <w:t>1</w:t>
            </w:r>
          </w:p>
        </w:tc>
        <w:tc>
          <w:tcPr>
            <w:tcW w:w="3337" w:type="dxa"/>
            <w:noWrap/>
            <w:hideMark/>
          </w:tcPr>
          <w:p w:rsidR="00551117" w:rsidRPr="00345641" w:rsidRDefault="00551117" w:rsidP="00551117">
            <w:pPr>
              <w:jc w:val="center"/>
              <w:rPr>
                <w:b/>
                <w:bCs/>
              </w:rPr>
            </w:pPr>
            <w:r w:rsidRPr="00345641">
              <w:rPr>
                <w:b/>
                <w:bCs/>
              </w:rPr>
              <w:t>Patients requiring invasive mechanical ventilation</w:t>
            </w:r>
          </w:p>
          <w:p w:rsidR="00551117" w:rsidRPr="00345641" w:rsidRDefault="00551117" w:rsidP="00551117">
            <w:pPr>
              <w:jc w:val="center"/>
              <w:rPr>
                <w:b/>
                <w:bCs/>
              </w:rPr>
            </w:pPr>
            <w:r w:rsidRPr="00345641">
              <w:rPr>
                <w:b/>
                <w:bCs/>
              </w:rPr>
              <w:t>(n = 1090)</w:t>
            </w:r>
            <w:r w:rsidRPr="00345641">
              <w:rPr>
                <w:b/>
                <w:bCs/>
                <w:vertAlign w:val="superscript"/>
              </w:rPr>
              <w:t>1</w:t>
            </w:r>
          </w:p>
        </w:tc>
      </w:tr>
      <w:tr w:rsidR="00551117" w:rsidRPr="00345641" w:rsidTr="00551117">
        <w:trPr>
          <w:trHeight w:val="360"/>
        </w:trPr>
        <w:tc>
          <w:tcPr>
            <w:tcW w:w="4615" w:type="dxa"/>
            <w:noWrap/>
            <w:hideMark/>
          </w:tcPr>
          <w:p w:rsidR="00551117" w:rsidRPr="00345641" w:rsidRDefault="00551117">
            <w:pPr>
              <w:rPr>
                <w:b/>
                <w:bCs/>
              </w:rPr>
            </w:pPr>
            <w:r w:rsidRPr="00345641">
              <w:rPr>
                <w:b/>
                <w:bCs/>
              </w:rPr>
              <w:t>Age, years</w:t>
            </w:r>
          </w:p>
        </w:tc>
        <w:tc>
          <w:tcPr>
            <w:tcW w:w="1110" w:type="dxa"/>
            <w:noWrap/>
            <w:hideMark/>
          </w:tcPr>
          <w:p w:rsidR="00551117" w:rsidRPr="00345641" w:rsidRDefault="00551117" w:rsidP="00395819">
            <w:pPr>
              <w:jc w:val="center"/>
            </w:pPr>
            <w:r w:rsidRPr="00345641">
              <w:t>3 (0.3%)</w:t>
            </w:r>
          </w:p>
        </w:tc>
        <w:tc>
          <w:tcPr>
            <w:tcW w:w="3337" w:type="dxa"/>
            <w:noWrap/>
            <w:hideMark/>
          </w:tcPr>
          <w:p w:rsidR="00551117" w:rsidRPr="00345641" w:rsidRDefault="00551117" w:rsidP="00395819">
            <w:pPr>
              <w:jc w:val="center"/>
            </w:pPr>
            <w:r w:rsidRPr="00345641">
              <w:t>57 (43 - 66)</w:t>
            </w:r>
          </w:p>
        </w:tc>
      </w:tr>
      <w:tr w:rsidR="00A93F9D" w:rsidRPr="00345641" w:rsidTr="00551117">
        <w:trPr>
          <w:trHeight w:val="360"/>
        </w:trPr>
        <w:tc>
          <w:tcPr>
            <w:tcW w:w="4615" w:type="dxa"/>
            <w:noWrap/>
          </w:tcPr>
          <w:p w:rsidR="00A93F9D" w:rsidRPr="00345641" w:rsidRDefault="00A93F9D" w:rsidP="00A93F9D">
            <w:pPr>
              <w:rPr>
                <w:b/>
                <w:bCs/>
              </w:rPr>
            </w:pPr>
            <w:r w:rsidRPr="00345641">
              <w:rPr>
                <w:b/>
                <w:bCs/>
              </w:rPr>
              <w:t>Age &gt; 65 years</w:t>
            </w:r>
          </w:p>
        </w:tc>
        <w:tc>
          <w:tcPr>
            <w:tcW w:w="1110" w:type="dxa"/>
            <w:noWrap/>
          </w:tcPr>
          <w:p w:rsidR="00A93F9D" w:rsidRPr="00345641" w:rsidRDefault="00A93F9D" w:rsidP="00A93F9D">
            <w:pPr>
              <w:jc w:val="center"/>
            </w:pPr>
            <w:r w:rsidRPr="00345641">
              <w:t>3 (0.3%)</w:t>
            </w:r>
          </w:p>
        </w:tc>
        <w:tc>
          <w:tcPr>
            <w:tcW w:w="3337" w:type="dxa"/>
            <w:noWrap/>
          </w:tcPr>
          <w:p w:rsidR="00A93F9D" w:rsidRPr="00345641" w:rsidRDefault="00A93F9D" w:rsidP="00A93F9D">
            <w:pPr>
              <w:jc w:val="center"/>
            </w:pPr>
            <w:r w:rsidRPr="00345641">
              <w:t>301 (28%)</w:t>
            </w:r>
          </w:p>
        </w:tc>
      </w:tr>
      <w:tr w:rsidR="00A93F9D" w:rsidRPr="00345641" w:rsidTr="00551117">
        <w:trPr>
          <w:trHeight w:val="360"/>
        </w:trPr>
        <w:tc>
          <w:tcPr>
            <w:tcW w:w="4615" w:type="dxa"/>
            <w:noWrap/>
          </w:tcPr>
          <w:p w:rsidR="00A93F9D" w:rsidRPr="00345641" w:rsidRDefault="00A93F9D" w:rsidP="00A93F9D">
            <w:pPr>
              <w:rPr>
                <w:b/>
                <w:bCs/>
              </w:rPr>
            </w:pPr>
            <w:r w:rsidRPr="00345641">
              <w:rPr>
                <w:b/>
                <w:bCs/>
              </w:rPr>
              <w:t>Male patients</w:t>
            </w:r>
          </w:p>
        </w:tc>
        <w:tc>
          <w:tcPr>
            <w:tcW w:w="1110" w:type="dxa"/>
            <w:noWrap/>
          </w:tcPr>
          <w:p w:rsidR="00A93F9D" w:rsidRPr="00345641" w:rsidRDefault="00A93F9D" w:rsidP="00A93F9D">
            <w:pPr>
              <w:jc w:val="center"/>
            </w:pPr>
            <w:r w:rsidRPr="00345641">
              <w:t>4 (0.4%)</w:t>
            </w:r>
          </w:p>
        </w:tc>
        <w:tc>
          <w:tcPr>
            <w:tcW w:w="3337" w:type="dxa"/>
            <w:noWrap/>
          </w:tcPr>
          <w:p w:rsidR="00A93F9D" w:rsidRPr="00345641" w:rsidRDefault="00A93F9D" w:rsidP="00A93F9D">
            <w:pPr>
              <w:jc w:val="center"/>
            </w:pPr>
            <w:r w:rsidRPr="00345641">
              <w:t>645 (59%)</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Acute leukemia type</w:t>
            </w:r>
          </w:p>
        </w:tc>
        <w:tc>
          <w:tcPr>
            <w:tcW w:w="1110" w:type="dxa"/>
            <w:noWrap/>
            <w:hideMark/>
          </w:tcPr>
          <w:p w:rsidR="00A93F9D" w:rsidRPr="00345641" w:rsidRDefault="00A93F9D" w:rsidP="00A93F9D">
            <w:pPr>
              <w:jc w:val="center"/>
            </w:pPr>
            <w:r w:rsidRPr="00345641">
              <w:t>0 (0%)</w:t>
            </w:r>
          </w:p>
        </w:tc>
        <w:tc>
          <w:tcPr>
            <w:tcW w:w="3337" w:type="dxa"/>
            <w:noWrap/>
            <w:hideMark/>
          </w:tcPr>
          <w:p w:rsidR="00A93F9D" w:rsidRPr="00345641" w:rsidRDefault="00A93F9D" w:rsidP="00A93F9D">
            <w:pPr>
              <w:jc w:val="center"/>
            </w:pPr>
          </w:p>
        </w:tc>
      </w:tr>
      <w:tr w:rsidR="00A93F9D" w:rsidRPr="00345641" w:rsidTr="00551117">
        <w:trPr>
          <w:trHeight w:val="360"/>
        </w:trPr>
        <w:tc>
          <w:tcPr>
            <w:tcW w:w="4615" w:type="dxa"/>
            <w:noWrap/>
            <w:hideMark/>
          </w:tcPr>
          <w:p w:rsidR="00A93F9D" w:rsidRPr="00345641" w:rsidRDefault="00A93F9D" w:rsidP="00A93F9D">
            <w:r w:rsidRPr="00345641">
              <w:t>    ALL</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149 (14%)</w:t>
            </w:r>
          </w:p>
        </w:tc>
      </w:tr>
      <w:tr w:rsidR="00A93F9D" w:rsidRPr="00345641" w:rsidTr="00551117">
        <w:trPr>
          <w:trHeight w:val="360"/>
        </w:trPr>
        <w:tc>
          <w:tcPr>
            <w:tcW w:w="4615" w:type="dxa"/>
            <w:noWrap/>
            <w:hideMark/>
          </w:tcPr>
          <w:p w:rsidR="00A93F9D" w:rsidRPr="00345641" w:rsidRDefault="00A93F9D" w:rsidP="00A93F9D">
            <w:r w:rsidRPr="00345641">
              <w:t>    AML</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801 (73%)</w:t>
            </w:r>
          </w:p>
        </w:tc>
      </w:tr>
      <w:tr w:rsidR="00A93F9D" w:rsidRPr="00345641" w:rsidTr="00551117">
        <w:trPr>
          <w:trHeight w:val="360"/>
        </w:trPr>
        <w:tc>
          <w:tcPr>
            <w:tcW w:w="4615" w:type="dxa"/>
            <w:noWrap/>
            <w:hideMark/>
          </w:tcPr>
          <w:p w:rsidR="00A93F9D" w:rsidRPr="00345641" w:rsidRDefault="00A93F9D" w:rsidP="00A93F9D">
            <w:r w:rsidRPr="00345641">
              <w:t>    Not specified</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140 (13%)</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Acute leukemia status</w:t>
            </w:r>
          </w:p>
        </w:tc>
        <w:tc>
          <w:tcPr>
            <w:tcW w:w="1110" w:type="dxa"/>
            <w:noWrap/>
            <w:hideMark/>
          </w:tcPr>
          <w:p w:rsidR="00A93F9D" w:rsidRPr="00345641" w:rsidRDefault="00A93F9D" w:rsidP="00A93F9D">
            <w:pPr>
              <w:jc w:val="center"/>
            </w:pPr>
            <w:r w:rsidRPr="00345641">
              <w:t>109 (10%)</w:t>
            </w:r>
          </w:p>
        </w:tc>
        <w:tc>
          <w:tcPr>
            <w:tcW w:w="3337" w:type="dxa"/>
            <w:noWrap/>
            <w:hideMark/>
          </w:tcPr>
          <w:p w:rsidR="00A93F9D" w:rsidRPr="00345641" w:rsidRDefault="00A93F9D" w:rsidP="00A93F9D">
            <w:pPr>
              <w:jc w:val="center"/>
            </w:pPr>
          </w:p>
        </w:tc>
      </w:tr>
      <w:tr w:rsidR="00A93F9D" w:rsidRPr="00345641" w:rsidTr="00551117">
        <w:trPr>
          <w:trHeight w:val="360"/>
        </w:trPr>
        <w:tc>
          <w:tcPr>
            <w:tcW w:w="4615" w:type="dxa"/>
            <w:noWrap/>
            <w:hideMark/>
          </w:tcPr>
          <w:p w:rsidR="00A93F9D" w:rsidRPr="00345641" w:rsidRDefault="00A93F9D" w:rsidP="00A93F9D">
            <w:r w:rsidRPr="00345641">
              <w:t>    Consolidation or Remission</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219 (22%)</w:t>
            </w:r>
          </w:p>
        </w:tc>
      </w:tr>
      <w:tr w:rsidR="00A93F9D" w:rsidRPr="00345641" w:rsidTr="00551117">
        <w:trPr>
          <w:trHeight w:val="360"/>
        </w:trPr>
        <w:tc>
          <w:tcPr>
            <w:tcW w:w="4615" w:type="dxa"/>
            <w:noWrap/>
            <w:hideMark/>
          </w:tcPr>
          <w:p w:rsidR="00A93F9D" w:rsidRPr="00345641" w:rsidRDefault="00A93F9D" w:rsidP="00A93F9D">
            <w:r w:rsidRPr="00345641">
              <w:t>    Diagnosis or Induction</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622 (63%)</w:t>
            </w:r>
          </w:p>
        </w:tc>
      </w:tr>
      <w:tr w:rsidR="00A93F9D" w:rsidRPr="00345641" w:rsidTr="00551117">
        <w:trPr>
          <w:trHeight w:val="360"/>
        </w:trPr>
        <w:tc>
          <w:tcPr>
            <w:tcW w:w="4615" w:type="dxa"/>
            <w:noWrap/>
            <w:hideMark/>
          </w:tcPr>
          <w:p w:rsidR="00A93F9D" w:rsidRPr="00345641" w:rsidRDefault="00A93F9D" w:rsidP="00A93F9D">
            <w:r w:rsidRPr="00345641">
              <w:t>    Relapse or Refractory</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140 (14%)</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Year of admission</w:t>
            </w:r>
          </w:p>
        </w:tc>
        <w:tc>
          <w:tcPr>
            <w:tcW w:w="1110" w:type="dxa"/>
            <w:noWrap/>
            <w:hideMark/>
          </w:tcPr>
          <w:p w:rsidR="00A93F9D" w:rsidRPr="00345641" w:rsidRDefault="00A93F9D" w:rsidP="00A93F9D">
            <w:pPr>
              <w:jc w:val="center"/>
            </w:pPr>
            <w:r w:rsidRPr="00345641">
              <w:t>152 (14%)</w:t>
            </w:r>
          </w:p>
        </w:tc>
        <w:tc>
          <w:tcPr>
            <w:tcW w:w="3337" w:type="dxa"/>
            <w:noWrap/>
            <w:hideMark/>
          </w:tcPr>
          <w:p w:rsidR="00A93F9D" w:rsidRPr="00345641" w:rsidRDefault="00A93F9D" w:rsidP="00A93F9D">
            <w:pPr>
              <w:jc w:val="center"/>
            </w:pPr>
          </w:p>
        </w:tc>
      </w:tr>
      <w:tr w:rsidR="00A93F9D" w:rsidRPr="00345641" w:rsidTr="00551117">
        <w:trPr>
          <w:trHeight w:val="360"/>
        </w:trPr>
        <w:tc>
          <w:tcPr>
            <w:tcW w:w="4615" w:type="dxa"/>
            <w:noWrap/>
            <w:hideMark/>
          </w:tcPr>
          <w:p w:rsidR="00A93F9D" w:rsidRPr="00345641" w:rsidRDefault="00A93F9D" w:rsidP="00A93F9D">
            <w:r w:rsidRPr="00345641">
              <w:t>    Before 2010</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315 (34%)</w:t>
            </w:r>
          </w:p>
        </w:tc>
      </w:tr>
      <w:tr w:rsidR="00A93F9D" w:rsidRPr="00345641" w:rsidTr="00551117">
        <w:trPr>
          <w:trHeight w:val="360"/>
        </w:trPr>
        <w:tc>
          <w:tcPr>
            <w:tcW w:w="4615" w:type="dxa"/>
            <w:noWrap/>
            <w:hideMark/>
          </w:tcPr>
          <w:p w:rsidR="00A93F9D" w:rsidRPr="00345641" w:rsidRDefault="00A93F9D" w:rsidP="00A93F9D">
            <w:r w:rsidRPr="00345641">
              <w:t>    After 2010</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623 (66%)</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Time from diagnosis to ICU admission, days</w:t>
            </w:r>
          </w:p>
        </w:tc>
        <w:tc>
          <w:tcPr>
            <w:tcW w:w="1110" w:type="dxa"/>
            <w:noWrap/>
            <w:hideMark/>
          </w:tcPr>
          <w:p w:rsidR="00A93F9D" w:rsidRPr="00345641" w:rsidRDefault="00A93F9D" w:rsidP="00A93F9D">
            <w:pPr>
              <w:jc w:val="center"/>
            </w:pPr>
            <w:r w:rsidRPr="00345641">
              <w:t>526 (48%)</w:t>
            </w:r>
          </w:p>
        </w:tc>
        <w:tc>
          <w:tcPr>
            <w:tcW w:w="3337" w:type="dxa"/>
            <w:noWrap/>
            <w:hideMark/>
          </w:tcPr>
          <w:p w:rsidR="00A93F9D" w:rsidRPr="00345641" w:rsidRDefault="00A93F9D" w:rsidP="00A93F9D">
            <w:pPr>
              <w:jc w:val="center"/>
            </w:pPr>
            <w:r w:rsidRPr="00345641">
              <w:t>25 (5 - 114)</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SOFA score at ICU admission</w:t>
            </w:r>
          </w:p>
        </w:tc>
        <w:tc>
          <w:tcPr>
            <w:tcW w:w="1110" w:type="dxa"/>
            <w:noWrap/>
            <w:hideMark/>
          </w:tcPr>
          <w:p w:rsidR="00A93F9D" w:rsidRPr="00345641" w:rsidRDefault="00A93F9D" w:rsidP="00A93F9D">
            <w:pPr>
              <w:jc w:val="center"/>
            </w:pPr>
            <w:r w:rsidRPr="00345641">
              <w:t>206 (19%)</w:t>
            </w:r>
          </w:p>
        </w:tc>
        <w:tc>
          <w:tcPr>
            <w:tcW w:w="3337" w:type="dxa"/>
            <w:noWrap/>
            <w:hideMark/>
          </w:tcPr>
          <w:p w:rsidR="00A93F9D" w:rsidRPr="00345641" w:rsidRDefault="00A93F9D" w:rsidP="00A93F9D">
            <w:pPr>
              <w:jc w:val="center"/>
            </w:pPr>
            <w:r w:rsidRPr="00345641">
              <w:t>10.0 (7.0 - 13.0)</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Main reason of ICU admission</w:t>
            </w:r>
          </w:p>
        </w:tc>
        <w:tc>
          <w:tcPr>
            <w:tcW w:w="1110" w:type="dxa"/>
            <w:noWrap/>
            <w:hideMark/>
          </w:tcPr>
          <w:p w:rsidR="00A93F9D" w:rsidRPr="00345641" w:rsidRDefault="00A93F9D" w:rsidP="00A93F9D">
            <w:pPr>
              <w:jc w:val="center"/>
            </w:pPr>
            <w:r w:rsidRPr="00345641">
              <w:t>86 (7.9%)</w:t>
            </w:r>
          </w:p>
        </w:tc>
        <w:tc>
          <w:tcPr>
            <w:tcW w:w="3337" w:type="dxa"/>
            <w:noWrap/>
            <w:hideMark/>
          </w:tcPr>
          <w:p w:rsidR="00A93F9D" w:rsidRPr="00345641" w:rsidRDefault="00A93F9D" w:rsidP="00A93F9D">
            <w:pPr>
              <w:jc w:val="center"/>
            </w:pPr>
          </w:p>
        </w:tc>
      </w:tr>
      <w:tr w:rsidR="00A93F9D" w:rsidRPr="00345641" w:rsidTr="00551117">
        <w:trPr>
          <w:trHeight w:val="360"/>
        </w:trPr>
        <w:tc>
          <w:tcPr>
            <w:tcW w:w="4615" w:type="dxa"/>
            <w:noWrap/>
            <w:hideMark/>
          </w:tcPr>
          <w:p w:rsidR="00A93F9D" w:rsidRPr="00345641" w:rsidRDefault="00A93F9D" w:rsidP="00A93F9D">
            <w:r w:rsidRPr="00345641">
              <w:t>    Respiratory</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601 (60%)</w:t>
            </w:r>
          </w:p>
        </w:tc>
      </w:tr>
      <w:tr w:rsidR="00A93F9D" w:rsidRPr="00345641" w:rsidTr="00551117">
        <w:trPr>
          <w:trHeight w:val="360"/>
        </w:trPr>
        <w:tc>
          <w:tcPr>
            <w:tcW w:w="4615" w:type="dxa"/>
            <w:noWrap/>
            <w:hideMark/>
          </w:tcPr>
          <w:p w:rsidR="00A93F9D" w:rsidRPr="00345641" w:rsidRDefault="00A93F9D" w:rsidP="00A93F9D">
            <w:r w:rsidRPr="00345641">
              <w:t>    Shock</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287 (29%)</w:t>
            </w:r>
          </w:p>
        </w:tc>
      </w:tr>
      <w:tr w:rsidR="00A93F9D" w:rsidRPr="00345641" w:rsidTr="00551117">
        <w:trPr>
          <w:trHeight w:val="360"/>
        </w:trPr>
        <w:tc>
          <w:tcPr>
            <w:tcW w:w="4615" w:type="dxa"/>
            <w:noWrap/>
            <w:hideMark/>
          </w:tcPr>
          <w:p w:rsidR="00A93F9D" w:rsidRPr="00345641" w:rsidRDefault="00A93F9D" w:rsidP="00A93F9D">
            <w:r w:rsidRPr="00345641">
              <w:t>    Monitoring</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27 (2.7%)</w:t>
            </w:r>
          </w:p>
        </w:tc>
      </w:tr>
      <w:tr w:rsidR="00A93F9D" w:rsidRPr="00345641" w:rsidTr="00551117">
        <w:trPr>
          <w:trHeight w:val="360"/>
        </w:trPr>
        <w:tc>
          <w:tcPr>
            <w:tcW w:w="4615" w:type="dxa"/>
            <w:noWrap/>
            <w:hideMark/>
          </w:tcPr>
          <w:p w:rsidR="00A93F9D" w:rsidRPr="00345641" w:rsidRDefault="00A93F9D" w:rsidP="00A93F9D">
            <w:r w:rsidRPr="00345641">
              <w:t>    Neurologic</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48 (4.8%)</w:t>
            </w:r>
          </w:p>
        </w:tc>
      </w:tr>
      <w:tr w:rsidR="00A93F9D" w:rsidRPr="00345641" w:rsidTr="00551117">
        <w:trPr>
          <w:trHeight w:val="360"/>
        </w:trPr>
        <w:tc>
          <w:tcPr>
            <w:tcW w:w="4615" w:type="dxa"/>
            <w:noWrap/>
            <w:hideMark/>
          </w:tcPr>
          <w:p w:rsidR="00A93F9D" w:rsidRPr="00345641" w:rsidRDefault="00A93F9D" w:rsidP="00A93F9D">
            <w:r w:rsidRPr="00345641">
              <w:t>    Renal or Metabolic</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23 (2.3%)</w:t>
            </w:r>
          </w:p>
        </w:tc>
      </w:tr>
      <w:tr w:rsidR="00A93F9D" w:rsidRPr="00345641" w:rsidTr="00551117">
        <w:trPr>
          <w:trHeight w:val="360"/>
        </w:trPr>
        <w:tc>
          <w:tcPr>
            <w:tcW w:w="4615" w:type="dxa"/>
            <w:noWrap/>
            <w:hideMark/>
          </w:tcPr>
          <w:p w:rsidR="00A93F9D" w:rsidRPr="00345641" w:rsidRDefault="00A93F9D" w:rsidP="00A93F9D">
            <w:r w:rsidRPr="00345641">
              <w:t>    Other</w:t>
            </w:r>
          </w:p>
        </w:tc>
        <w:tc>
          <w:tcPr>
            <w:tcW w:w="1110" w:type="dxa"/>
            <w:noWrap/>
            <w:hideMark/>
          </w:tcPr>
          <w:p w:rsidR="00A93F9D" w:rsidRPr="00345641" w:rsidRDefault="00A93F9D" w:rsidP="00A93F9D">
            <w:pPr>
              <w:jc w:val="center"/>
            </w:pPr>
          </w:p>
        </w:tc>
        <w:tc>
          <w:tcPr>
            <w:tcW w:w="3337" w:type="dxa"/>
            <w:noWrap/>
            <w:hideMark/>
          </w:tcPr>
          <w:p w:rsidR="00A93F9D" w:rsidRPr="00345641" w:rsidRDefault="00A93F9D" w:rsidP="00A93F9D">
            <w:pPr>
              <w:jc w:val="center"/>
            </w:pPr>
            <w:r w:rsidRPr="00345641">
              <w:t>18 (1.8%)</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WBC count at ICU admission</w:t>
            </w:r>
          </w:p>
        </w:tc>
        <w:tc>
          <w:tcPr>
            <w:tcW w:w="1110" w:type="dxa"/>
            <w:noWrap/>
            <w:hideMark/>
          </w:tcPr>
          <w:p w:rsidR="00A93F9D" w:rsidRPr="00345641" w:rsidRDefault="00A93F9D" w:rsidP="00A93F9D">
            <w:pPr>
              <w:jc w:val="center"/>
            </w:pPr>
            <w:r w:rsidRPr="00345641">
              <w:t>174 (16%)</w:t>
            </w:r>
          </w:p>
        </w:tc>
        <w:tc>
          <w:tcPr>
            <w:tcW w:w="3337" w:type="dxa"/>
            <w:noWrap/>
            <w:hideMark/>
          </w:tcPr>
          <w:p w:rsidR="00A93F9D" w:rsidRPr="00345641" w:rsidRDefault="00A93F9D" w:rsidP="00A93F9D">
            <w:pPr>
              <w:jc w:val="center"/>
            </w:pPr>
            <w:r w:rsidRPr="00345641">
              <w:t>1 (0 - 14)</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Neutropenia at ICU admission</w:t>
            </w:r>
          </w:p>
        </w:tc>
        <w:tc>
          <w:tcPr>
            <w:tcW w:w="1110" w:type="dxa"/>
            <w:noWrap/>
            <w:hideMark/>
          </w:tcPr>
          <w:p w:rsidR="00A93F9D" w:rsidRPr="00345641" w:rsidRDefault="00A93F9D" w:rsidP="00A93F9D">
            <w:pPr>
              <w:jc w:val="center"/>
            </w:pPr>
            <w:r w:rsidRPr="00345641">
              <w:t>1 (&lt;0.1%)</w:t>
            </w:r>
          </w:p>
        </w:tc>
        <w:tc>
          <w:tcPr>
            <w:tcW w:w="3337" w:type="dxa"/>
            <w:noWrap/>
            <w:hideMark/>
          </w:tcPr>
          <w:p w:rsidR="00A93F9D" w:rsidRPr="00345641" w:rsidRDefault="00A93F9D" w:rsidP="00A93F9D">
            <w:pPr>
              <w:jc w:val="center"/>
            </w:pPr>
            <w:r w:rsidRPr="00345641">
              <w:t>480 (44%)</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Need for vasopressors</w:t>
            </w:r>
          </w:p>
        </w:tc>
        <w:tc>
          <w:tcPr>
            <w:tcW w:w="1110" w:type="dxa"/>
            <w:noWrap/>
            <w:hideMark/>
          </w:tcPr>
          <w:p w:rsidR="00A93F9D" w:rsidRPr="00345641" w:rsidRDefault="00A93F9D" w:rsidP="00A93F9D">
            <w:pPr>
              <w:jc w:val="center"/>
            </w:pPr>
            <w:r w:rsidRPr="00345641">
              <w:t>48 (4.4%)</w:t>
            </w:r>
          </w:p>
        </w:tc>
        <w:tc>
          <w:tcPr>
            <w:tcW w:w="3337" w:type="dxa"/>
            <w:noWrap/>
            <w:hideMark/>
          </w:tcPr>
          <w:p w:rsidR="00A93F9D" w:rsidRPr="00345641" w:rsidRDefault="00A93F9D" w:rsidP="00A93F9D">
            <w:pPr>
              <w:jc w:val="center"/>
            </w:pPr>
            <w:r w:rsidRPr="00345641">
              <w:t>815 (78%)</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Need for RRT</w:t>
            </w:r>
          </w:p>
        </w:tc>
        <w:tc>
          <w:tcPr>
            <w:tcW w:w="1110" w:type="dxa"/>
            <w:noWrap/>
            <w:hideMark/>
          </w:tcPr>
          <w:p w:rsidR="00A93F9D" w:rsidRPr="00345641" w:rsidRDefault="00A93F9D" w:rsidP="00A93F9D">
            <w:pPr>
              <w:jc w:val="center"/>
            </w:pPr>
            <w:r w:rsidRPr="00345641">
              <w:t>30 (2.8%)</w:t>
            </w:r>
          </w:p>
        </w:tc>
        <w:tc>
          <w:tcPr>
            <w:tcW w:w="3337" w:type="dxa"/>
            <w:noWrap/>
            <w:hideMark/>
          </w:tcPr>
          <w:p w:rsidR="00A93F9D" w:rsidRPr="00345641" w:rsidRDefault="00A93F9D" w:rsidP="00A93F9D">
            <w:pPr>
              <w:jc w:val="center"/>
            </w:pPr>
            <w:r w:rsidRPr="00345641">
              <w:t>322 (30%)</w:t>
            </w:r>
          </w:p>
        </w:tc>
      </w:tr>
      <w:tr w:rsidR="00A93F9D" w:rsidRPr="00345641" w:rsidTr="00551117">
        <w:trPr>
          <w:trHeight w:val="360"/>
        </w:trPr>
        <w:tc>
          <w:tcPr>
            <w:tcW w:w="4615" w:type="dxa"/>
            <w:noWrap/>
            <w:hideMark/>
          </w:tcPr>
          <w:p w:rsidR="00A93F9D" w:rsidRPr="00345641" w:rsidRDefault="00A93F9D" w:rsidP="00A93F9D">
            <w:pPr>
              <w:rPr>
                <w:b/>
                <w:bCs/>
              </w:rPr>
            </w:pPr>
            <w:r w:rsidRPr="00345641">
              <w:rPr>
                <w:b/>
                <w:bCs/>
              </w:rPr>
              <w:t>ICU mortality</w:t>
            </w:r>
          </w:p>
        </w:tc>
        <w:tc>
          <w:tcPr>
            <w:tcW w:w="1110" w:type="dxa"/>
            <w:noWrap/>
            <w:hideMark/>
          </w:tcPr>
          <w:p w:rsidR="00A93F9D" w:rsidRPr="00345641" w:rsidRDefault="00A93F9D" w:rsidP="00A93F9D">
            <w:pPr>
              <w:jc w:val="center"/>
            </w:pPr>
            <w:r w:rsidRPr="00345641">
              <w:t>2 (0.2%)</w:t>
            </w:r>
          </w:p>
        </w:tc>
        <w:tc>
          <w:tcPr>
            <w:tcW w:w="3337" w:type="dxa"/>
            <w:noWrap/>
            <w:hideMark/>
          </w:tcPr>
          <w:p w:rsidR="00A93F9D" w:rsidRPr="00345641" w:rsidRDefault="00A93F9D" w:rsidP="00A93F9D">
            <w:pPr>
              <w:jc w:val="center"/>
            </w:pPr>
            <w:r w:rsidRPr="00345641">
              <w:t>714 (66%)</w:t>
            </w:r>
          </w:p>
        </w:tc>
      </w:tr>
      <w:tr w:rsidR="00A93F9D" w:rsidRPr="00345641" w:rsidTr="00551117">
        <w:trPr>
          <w:trHeight w:val="360"/>
        </w:trPr>
        <w:tc>
          <w:tcPr>
            <w:tcW w:w="4615" w:type="dxa"/>
            <w:noWrap/>
            <w:hideMark/>
          </w:tcPr>
          <w:p w:rsidR="00A93F9D" w:rsidRPr="00345641" w:rsidRDefault="00A93F9D" w:rsidP="00A93F9D">
            <w:pPr>
              <w:rPr>
                <w:i/>
                <w:iCs/>
              </w:rPr>
            </w:pPr>
            <w:r w:rsidRPr="00345641">
              <w:rPr>
                <w:i/>
                <w:iCs/>
                <w:vertAlign w:val="superscript"/>
              </w:rPr>
              <w:lastRenderedPageBreak/>
              <w:t>1</w:t>
            </w:r>
            <w:r w:rsidRPr="00345641">
              <w:t>Median (Q1 - Q3); n (%)</w:t>
            </w:r>
          </w:p>
        </w:tc>
        <w:tc>
          <w:tcPr>
            <w:tcW w:w="1110" w:type="dxa"/>
            <w:noWrap/>
            <w:hideMark/>
          </w:tcPr>
          <w:p w:rsidR="00A93F9D" w:rsidRPr="00345641" w:rsidRDefault="00A93F9D" w:rsidP="00A93F9D">
            <w:pPr>
              <w:rPr>
                <w:i/>
                <w:iCs/>
              </w:rPr>
            </w:pPr>
          </w:p>
        </w:tc>
        <w:tc>
          <w:tcPr>
            <w:tcW w:w="3337" w:type="dxa"/>
            <w:noWrap/>
            <w:hideMark/>
          </w:tcPr>
          <w:p w:rsidR="00A93F9D" w:rsidRPr="00345641" w:rsidRDefault="00A93F9D" w:rsidP="00A93F9D"/>
        </w:tc>
      </w:tr>
    </w:tbl>
    <w:p w:rsidR="00290D70" w:rsidRPr="007A5709" w:rsidRDefault="007A5709" w:rsidP="007A5709">
      <w:pPr>
        <w:jc w:val="left"/>
        <w:rPr>
          <w:i/>
          <w:iCs/>
        </w:rPr>
      </w:pPr>
      <w:r w:rsidRPr="00010BB8">
        <w:rPr>
          <w:i/>
          <w:iCs/>
        </w:rPr>
        <w:t>ALL, acute lymphoblastic leukemia; AML, acute myeloid leukemia; ICU, intensive care unit; SOFA, sepsis-related organ failure assessment; RRT, renal replacement therapy; WBC, white blood cell</w:t>
      </w:r>
    </w:p>
    <w:p w:rsidR="007A5709" w:rsidRPr="00345641" w:rsidRDefault="007A5709" w:rsidP="00551117"/>
    <w:p w:rsidR="007A5709" w:rsidRDefault="007A5709" w:rsidP="007A5709">
      <w:bookmarkStart w:id="5" w:name="_Toc212854891"/>
      <w:r w:rsidRPr="007A5709">
        <w:rPr>
          <w:b/>
          <w:bCs/>
        </w:rPr>
        <w:t>Table S</w:t>
      </w:r>
      <w:r w:rsidRPr="007A5709">
        <w:rPr>
          <w:b/>
          <w:bCs/>
        </w:rPr>
        <w:fldChar w:fldCharType="begin"/>
      </w:r>
      <w:r w:rsidRPr="007A5709">
        <w:rPr>
          <w:b/>
          <w:bCs/>
        </w:rPr>
        <w:instrText xml:space="preserve"> SEQ Table \* ARABIC </w:instrText>
      </w:r>
      <w:r w:rsidRPr="007A5709">
        <w:rPr>
          <w:b/>
          <w:bCs/>
        </w:rPr>
        <w:fldChar w:fldCharType="separate"/>
      </w:r>
      <w:r w:rsidR="001764B7">
        <w:rPr>
          <w:b/>
          <w:bCs/>
          <w:noProof/>
        </w:rPr>
        <w:t>6</w:t>
      </w:r>
      <w:r w:rsidRPr="007A5709">
        <w:rPr>
          <w:b/>
          <w:bCs/>
        </w:rPr>
        <w:fldChar w:fldCharType="end"/>
      </w:r>
      <w:r w:rsidRPr="007A5709">
        <w:rPr>
          <w:b/>
          <w:bCs/>
        </w:rPr>
        <w:t>. Results of the mixed-effects logistic regression model</w:t>
      </w:r>
      <w:r>
        <w:rPr>
          <w:b/>
          <w:bCs/>
        </w:rPr>
        <w:t xml:space="preserve"> in the overall population of critically ill acute leukemia patients</w:t>
      </w:r>
      <w:r w:rsidRPr="007A5709">
        <w:rPr>
          <w:b/>
          <w:bCs/>
        </w:rPr>
        <w:t>.</w:t>
      </w:r>
      <w:r>
        <w:t xml:space="preserve"> Each predictor is detailed with its different categories for categori</w:t>
      </w:r>
      <w:r w:rsidR="002219B9">
        <w:t>c</w:t>
      </w:r>
      <w:r>
        <w:t>al variables. ICU denotes for intensive care unit.</w:t>
      </w:r>
      <w:bookmarkEnd w:id="5"/>
    </w:p>
    <w:tbl>
      <w:tblPr>
        <w:tblStyle w:val="Grilledutableau"/>
        <w:tblW w:w="0" w:type="auto"/>
        <w:tblLook w:val="04A0" w:firstRow="1" w:lastRow="0" w:firstColumn="1" w:lastColumn="0" w:noHBand="0" w:noVBand="1"/>
      </w:tblPr>
      <w:tblGrid>
        <w:gridCol w:w="3750"/>
        <w:gridCol w:w="1300"/>
        <w:gridCol w:w="1300"/>
        <w:gridCol w:w="1300"/>
      </w:tblGrid>
      <w:tr w:rsidR="00F72B37" w:rsidRPr="00345641" w:rsidTr="00F72B37">
        <w:trPr>
          <w:trHeight w:val="420"/>
        </w:trPr>
        <w:tc>
          <w:tcPr>
            <w:tcW w:w="3750" w:type="dxa"/>
            <w:noWrap/>
            <w:hideMark/>
          </w:tcPr>
          <w:p w:rsidR="00F72B37" w:rsidRPr="00345641" w:rsidRDefault="00F72B37" w:rsidP="00F72B37">
            <w:pPr>
              <w:rPr>
                <w:b/>
                <w:bCs/>
              </w:rPr>
            </w:pPr>
            <w:r w:rsidRPr="00345641">
              <w:rPr>
                <w:b/>
                <w:bCs/>
              </w:rPr>
              <w:t>Characteristic</w:t>
            </w:r>
          </w:p>
        </w:tc>
        <w:tc>
          <w:tcPr>
            <w:tcW w:w="1300" w:type="dxa"/>
            <w:noWrap/>
            <w:hideMark/>
          </w:tcPr>
          <w:p w:rsidR="00F72B37" w:rsidRPr="00345641" w:rsidRDefault="00F72B37">
            <w:pPr>
              <w:rPr>
                <w:b/>
                <w:bCs/>
              </w:rPr>
            </w:pPr>
            <w:r w:rsidRPr="00345641">
              <w:rPr>
                <w:b/>
                <w:bCs/>
              </w:rPr>
              <w:t>OR</w:t>
            </w:r>
          </w:p>
        </w:tc>
        <w:tc>
          <w:tcPr>
            <w:tcW w:w="1300" w:type="dxa"/>
            <w:noWrap/>
            <w:hideMark/>
          </w:tcPr>
          <w:p w:rsidR="00F72B37" w:rsidRPr="00345641" w:rsidRDefault="00F72B37">
            <w:pPr>
              <w:rPr>
                <w:b/>
                <w:bCs/>
              </w:rPr>
            </w:pPr>
            <w:r w:rsidRPr="00345641">
              <w:rPr>
                <w:b/>
                <w:bCs/>
              </w:rPr>
              <w:t>95% CI</w:t>
            </w:r>
          </w:p>
        </w:tc>
        <w:tc>
          <w:tcPr>
            <w:tcW w:w="1300" w:type="dxa"/>
            <w:noWrap/>
            <w:hideMark/>
          </w:tcPr>
          <w:p w:rsidR="00F72B37" w:rsidRPr="00345641" w:rsidRDefault="00F72B37">
            <w:pPr>
              <w:rPr>
                <w:b/>
                <w:bCs/>
              </w:rPr>
            </w:pPr>
            <w:r w:rsidRPr="00345641">
              <w:rPr>
                <w:b/>
                <w:bCs/>
              </w:rPr>
              <w:t>p-value</w:t>
            </w:r>
          </w:p>
        </w:tc>
      </w:tr>
      <w:tr w:rsidR="00F72B37" w:rsidRPr="00345641" w:rsidTr="00F72B37">
        <w:trPr>
          <w:trHeight w:val="360"/>
        </w:trPr>
        <w:tc>
          <w:tcPr>
            <w:tcW w:w="3750" w:type="dxa"/>
            <w:noWrap/>
            <w:hideMark/>
          </w:tcPr>
          <w:p w:rsidR="00F72B37" w:rsidRPr="00345641" w:rsidRDefault="00F72B37">
            <w:pPr>
              <w:rPr>
                <w:b/>
                <w:bCs/>
              </w:rPr>
            </w:pPr>
            <w:r w:rsidRPr="00345641">
              <w:rPr>
                <w:b/>
                <w:bCs/>
              </w:rPr>
              <w:t>Acute myeloid leukemia</w:t>
            </w:r>
          </w:p>
        </w:tc>
        <w:tc>
          <w:tcPr>
            <w:tcW w:w="1300" w:type="dxa"/>
            <w:noWrap/>
            <w:hideMark/>
          </w:tcPr>
          <w:p w:rsidR="00F72B37" w:rsidRPr="00345641" w:rsidRDefault="00F72B37">
            <w:r w:rsidRPr="00345641">
              <w:t>1.65</w:t>
            </w:r>
          </w:p>
        </w:tc>
        <w:tc>
          <w:tcPr>
            <w:tcW w:w="1300" w:type="dxa"/>
            <w:noWrap/>
            <w:hideMark/>
          </w:tcPr>
          <w:p w:rsidR="00F72B37" w:rsidRPr="00345641" w:rsidRDefault="00F72B37">
            <w:r w:rsidRPr="00345641">
              <w:t>1.22, 2.23</w:t>
            </w:r>
          </w:p>
        </w:tc>
        <w:tc>
          <w:tcPr>
            <w:tcW w:w="1300" w:type="dxa"/>
            <w:noWrap/>
            <w:hideMark/>
          </w:tcPr>
          <w:p w:rsidR="00F72B37" w:rsidRPr="00345641" w:rsidRDefault="00F72B37">
            <w:r w:rsidRPr="00345641">
              <w:t>&lt; 0.01</w:t>
            </w:r>
          </w:p>
        </w:tc>
      </w:tr>
      <w:tr w:rsidR="00F72B37" w:rsidRPr="00345641" w:rsidTr="00F72B37">
        <w:trPr>
          <w:trHeight w:val="360"/>
        </w:trPr>
        <w:tc>
          <w:tcPr>
            <w:tcW w:w="6350" w:type="dxa"/>
            <w:gridSpan w:val="3"/>
            <w:noWrap/>
            <w:hideMark/>
          </w:tcPr>
          <w:p w:rsidR="00F72B37" w:rsidRPr="00345641" w:rsidRDefault="00F72B37">
            <w:pPr>
              <w:rPr>
                <w:b/>
                <w:bCs/>
              </w:rPr>
            </w:pPr>
            <w:r w:rsidRPr="00345641">
              <w:rPr>
                <w:b/>
                <w:bCs/>
              </w:rPr>
              <w:t>Acute leukemia status</w:t>
            </w:r>
          </w:p>
        </w:tc>
        <w:tc>
          <w:tcPr>
            <w:tcW w:w="1300" w:type="dxa"/>
            <w:noWrap/>
            <w:hideMark/>
          </w:tcPr>
          <w:p w:rsidR="00F72B37" w:rsidRPr="00345641" w:rsidRDefault="00F72B37">
            <w:pPr>
              <w:rPr>
                <w:b/>
                <w:bCs/>
              </w:rPr>
            </w:pPr>
          </w:p>
        </w:tc>
      </w:tr>
      <w:tr w:rsidR="00F72B37" w:rsidRPr="00345641" w:rsidTr="00F72B37">
        <w:trPr>
          <w:trHeight w:val="360"/>
        </w:trPr>
        <w:tc>
          <w:tcPr>
            <w:tcW w:w="3750" w:type="dxa"/>
            <w:noWrap/>
            <w:hideMark/>
          </w:tcPr>
          <w:p w:rsidR="00F72B37" w:rsidRPr="00345641" w:rsidRDefault="00F72B37">
            <w:r w:rsidRPr="00345641">
              <w:t>    Consolidation or Remission</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Diagnosis or Induction</w:t>
            </w:r>
          </w:p>
        </w:tc>
        <w:tc>
          <w:tcPr>
            <w:tcW w:w="1300" w:type="dxa"/>
            <w:noWrap/>
            <w:hideMark/>
          </w:tcPr>
          <w:p w:rsidR="00F72B37" w:rsidRPr="00345641" w:rsidRDefault="00F72B37">
            <w:r w:rsidRPr="00345641">
              <w:t>1.58</w:t>
            </w:r>
          </w:p>
        </w:tc>
        <w:tc>
          <w:tcPr>
            <w:tcW w:w="1300" w:type="dxa"/>
            <w:noWrap/>
            <w:hideMark/>
          </w:tcPr>
          <w:p w:rsidR="00F72B37" w:rsidRPr="00345641" w:rsidRDefault="00F72B37">
            <w:r w:rsidRPr="00345641">
              <w:t>1.16, 2.13</w:t>
            </w:r>
          </w:p>
        </w:tc>
        <w:tc>
          <w:tcPr>
            <w:tcW w:w="1300" w:type="dxa"/>
            <w:noWrap/>
            <w:hideMark/>
          </w:tcPr>
          <w:p w:rsidR="00F72B37" w:rsidRPr="00345641" w:rsidRDefault="00F72B37">
            <w:r w:rsidRPr="00345641">
              <w:t>&lt; 0.01</w:t>
            </w:r>
          </w:p>
        </w:tc>
      </w:tr>
      <w:tr w:rsidR="00F72B37" w:rsidRPr="00345641" w:rsidTr="00F72B37">
        <w:trPr>
          <w:trHeight w:val="360"/>
        </w:trPr>
        <w:tc>
          <w:tcPr>
            <w:tcW w:w="3750" w:type="dxa"/>
            <w:noWrap/>
            <w:hideMark/>
          </w:tcPr>
          <w:p w:rsidR="00F72B37" w:rsidRPr="00345641" w:rsidRDefault="00F72B37">
            <w:r w:rsidRPr="00345641">
              <w:t>    Relapse or Refractory</w:t>
            </w:r>
          </w:p>
        </w:tc>
        <w:tc>
          <w:tcPr>
            <w:tcW w:w="1300" w:type="dxa"/>
            <w:noWrap/>
            <w:hideMark/>
          </w:tcPr>
          <w:p w:rsidR="00F72B37" w:rsidRPr="00345641" w:rsidRDefault="00F72B37">
            <w:r w:rsidRPr="00345641">
              <w:t>1.87</w:t>
            </w:r>
          </w:p>
        </w:tc>
        <w:tc>
          <w:tcPr>
            <w:tcW w:w="1300" w:type="dxa"/>
            <w:noWrap/>
            <w:hideMark/>
          </w:tcPr>
          <w:p w:rsidR="00F72B37" w:rsidRPr="00345641" w:rsidRDefault="00F72B37">
            <w:r w:rsidRPr="00345641">
              <w:t>1.25, 2.79</w:t>
            </w:r>
          </w:p>
        </w:tc>
        <w:tc>
          <w:tcPr>
            <w:tcW w:w="1300" w:type="dxa"/>
            <w:noWrap/>
            <w:hideMark/>
          </w:tcPr>
          <w:p w:rsidR="00F72B37" w:rsidRPr="00345641" w:rsidRDefault="00F72B37">
            <w:r w:rsidRPr="00345641">
              <w:t>&lt; 0.01</w:t>
            </w:r>
          </w:p>
        </w:tc>
      </w:tr>
      <w:tr w:rsidR="00F72B37" w:rsidRPr="00345641" w:rsidTr="00F72B37">
        <w:trPr>
          <w:trHeight w:val="360"/>
        </w:trPr>
        <w:tc>
          <w:tcPr>
            <w:tcW w:w="6350" w:type="dxa"/>
            <w:gridSpan w:val="3"/>
            <w:noWrap/>
            <w:hideMark/>
          </w:tcPr>
          <w:p w:rsidR="00F72B37" w:rsidRPr="00345641" w:rsidRDefault="00F72B37">
            <w:pPr>
              <w:rPr>
                <w:b/>
                <w:bCs/>
              </w:rPr>
            </w:pPr>
            <w:r w:rsidRPr="00345641">
              <w:rPr>
                <w:b/>
                <w:bCs/>
              </w:rPr>
              <w:t>Age at ICU admission</w:t>
            </w:r>
          </w:p>
        </w:tc>
        <w:tc>
          <w:tcPr>
            <w:tcW w:w="1300" w:type="dxa"/>
            <w:noWrap/>
            <w:hideMark/>
          </w:tcPr>
          <w:p w:rsidR="00F72B37" w:rsidRPr="00345641" w:rsidRDefault="00F72B37">
            <w:pPr>
              <w:rPr>
                <w:b/>
                <w:bCs/>
              </w:rPr>
            </w:pPr>
          </w:p>
        </w:tc>
      </w:tr>
      <w:tr w:rsidR="00F72B37" w:rsidRPr="00345641" w:rsidTr="00F72B37">
        <w:trPr>
          <w:trHeight w:val="360"/>
        </w:trPr>
        <w:tc>
          <w:tcPr>
            <w:tcW w:w="3750" w:type="dxa"/>
            <w:noWrap/>
            <w:hideMark/>
          </w:tcPr>
          <w:p w:rsidR="00F72B37" w:rsidRPr="00345641" w:rsidRDefault="00F72B37">
            <w:r w:rsidRPr="00345641">
              <w:t>    ≤ 65 years</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&gt; 65 years</w:t>
            </w:r>
          </w:p>
        </w:tc>
        <w:tc>
          <w:tcPr>
            <w:tcW w:w="1300" w:type="dxa"/>
            <w:noWrap/>
            <w:hideMark/>
          </w:tcPr>
          <w:p w:rsidR="00F72B37" w:rsidRPr="00345641" w:rsidRDefault="00F72B37">
            <w:r w:rsidRPr="00345641">
              <w:t>1.71</w:t>
            </w:r>
          </w:p>
        </w:tc>
        <w:tc>
          <w:tcPr>
            <w:tcW w:w="1300" w:type="dxa"/>
            <w:noWrap/>
            <w:hideMark/>
          </w:tcPr>
          <w:p w:rsidR="00F72B37" w:rsidRPr="00345641" w:rsidRDefault="00F72B37">
            <w:r w:rsidRPr="00345641">
              <w:t>1.31, 2.23</w:t>
            </w:r>
          </w:p>
        </w:tc>
        <w:tc>
          <w:tcPr>
            <w:tcW w:w="1300" w:type="dxa"/>
            <w:noWrap/>
            <w:hideMark/>
          </w:tcPr>
          <w:p w:rsidR="00F72B37" w:rsidRPr="00345641" w:rsidRDefault="00F72B37">
            <w:r w:rsidRPr="00345641">
              <w:t>&lt; 0.01</w:t>
            </w:r>
          </w:p>
        </w:tc>
      </w:tr>
      <w:tr w:rsidR="00F72B37" w:rsidRPr="00345641" w:rsidTr="00F72B37">
        <w:trPr>
          <w:trHeight w:val="360"/>
        </w:trPr>
        <w:tc>
          <w:tcPr>
            <w:tcW w:w="5050" w:type="dxa"/>
            <w:gridSpan w:val="2"/>
            <w:noWrap/>
            <w:hideMark/>
          </w:tcPr>
          <w:p w:rsidR="00F72B37" w:rsidRPr="00345641" w:rsidRDefault="00F72B37">
            <w:pPr>
              <w:rPr>
                <w:b/>
                <w:bCs/>
              </w:rPr>
            </w:pPr>
            <w:r w:rsidRPr="00345641">
              <w:rPr>
                <w:b/>
                <w:bCs/>
              </w:rPr>
              <w:t>Year of admission</w:t>
            </w:r>
          </w:p>
        </w:tc>
        <w:tc>
          <w:tcPr>
            <w:tcW w:w="1300" w:type="dxa"/>
            <w:noWrap/>
            <w:hideMark/>
          </w:tcPr>
          <w:p w:rsidR="00F72B37" w:rsidRPr="00345641" w:rsidRDefault="00F72B37">
            <w:pPr>
              <w:rPr>
                <w:b/>
                <w:bCs/>
              </w:rPr>
            </w:pP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Before 2010</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After 2010</w:t>
            </w:r>
          </w:p>
        </w:tc>
        <w:tc>
          <w:tcPr>
            <w:tcW w:w="1300" w:type="dxa"/>
            <w:noWrap/>
            <w:hideMark/>
          </w:tcPr>
          <w:p w:rsidR="00F72B37" w:rsidRPr="00345641" w:rsidRDefault="00F72B37">
            <w:r w:rsidRPr="00345641">
              <w:t>0.83</w:t>
            </w:r>
          </w:p>
        </w:tc>
        <w:tc>
          <w:tcPr>
            <w:tcW w:w="1300" w:type="dxa"/>
            <w:noWrap/>
            <w:hideMark/>
          </w:tcPr>
          <w:p w:rsidR="00F72B37" w:rsidRPr="00345641" w:rsidRDefault="00F72B37">
            <w:r w:rsidRPr="00345641">
              <w:t>0.55, 1.24</w:t>
            </w:r>
          </w:p>
        </w:tc>
        <w:tc>
          <w:tcPr>
            <w:tcW w:w="1300" w:type="dxa"/>
            <w:noWrap/>
            <w:hideMark/>
          </w:tcPr>
          <w:p w:rsidR="00F72B37" w:rsidRPr="00345641" w:rsidRDefault="00F72B37">
            <w:r w:rsidRPr="00345641">
              <w:t>0.36</w:t>
            </w:r>
          </w:p>
        </w:tc>
      </w:tr>
      <w:tr w:rsidR="00F72B37" w:rsidRPr="00345641" w:rsidTr="00F72B37">
        <w:trPr>
          <w:trHeight w:val="360"/>
        </w:trPr>
        <w:tc>
          <w:tcPr>
            <w:tcW w:w="7650" w:type="dxa"/>
            <w:gridSpan w:val="4"/>
            <w:noWrap/>
            <w:hideMark/>
          </w:tcPr>
          <w:p w:rsidR="00F72B37" w:rsidRPr="00345641" w:rsidRDefault="00F72B37">
            <w:pPr>
              <w:rPr>
                <w:b/>
                <w:bCs/>
              </w:rPr>
            </w:pPr>
            <w:r w:rsidRPr="00345641">
              <w:rPr>
                <w:b/>
                <w:bCs/>
              </w:rPr>
              <w:t>Need for life-sustaining therapy</w:t>
            </w:r>
          </w:p>
        </w:tc>
      </w:tr>
      <w:tr w:rsidR="00F72B37" w:rsidRPr="00345641" w:rsidTr="00F72B37">
        <w:trPr>
          <w:trHeight w:val="360"/>
        </w:trPr>
        <w:tc>
          <w:tcPr>
            <w:tcW w:w="3750" w:type="dxa"/>
            <w:noWrap/>
            <w:hideMark/>
          </w:tcPr>
          <w:p w:rsidR="00F72B37" w:rsidRPr="00345641" w:rsidRDefault="00F72B37">
            <w:r w:rsidRPr="00345641">
              <w:t>    0</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1</w:t>
            </w:r>
          </w:p>
        </w:tc>
        <w:tc>
          <w:tcPr>
            <w:tcW w:w="1300" w:type="dxa"/>
            <w:noWrap/>
            <w:hideMark/>
          </w:tcPr>
          <w:p w:rsidR="00F72B37" w:rsidRPr="00345641" w:rsidRDefault="00F72B37">
            <w:r w:rsidRPr="00345641">
              <w:t>6.97</w:t>
            </w:r>
          </w:p>
        </w:tc>
        <w:tc>
          <w:tcPr>
            <w:tcW w:w="1300" w:type="dxa"/>
            <w:noWrap/>
            <w:hideMark/>
          </w:tcPr>
          <w:p w:rsidR="00F72B37" w:rsidRPr="00345641" w:rsidRDefault="00F72B37">
            <w:r w:rsidRPr="00345641">
              <w:t>5.02, 9.69</w:t>
            </w:r>
          </w:p>
        </w:tc>
        <w:tc>
          <w:tcPr>
            <w:tcW w:w="1300" w:type="dxa"/>
            <w:noWrap/>
            <w:hideMark/>
          </w:tcPr>
          <w:p w:rsidR="00F72B37" w:rsidRPr="00345641" w:rsidRDefault="00F72B37">
            <w:r w:rsidRPr="00345641">
              <w:t>&lt; 0.01</w:t>
            </w:r>
          </w:p>
        </w:tc>
      </w:tr>
      <w:tr w:rsidR="00F72B37" w:rsidRPr="00345641" w:rsidTr="00F72B37">
        <w:trPr>
          <w:trHeight w:val="360"/>
        </w:trPr>
        <w:tc>
          <w:tcPr>
            <w:tcW w:w="7650" w:type="dxa"/>
            <w:gridSpan w:val="4"/>
            <w:noWrap/>
            <w:hideMark/>
          </w:tcPr>
          <w:p w:rsidR="00F72B37" w:rsidRPr="00345641" w:rsidRDefault="00F72B37">
            <w:r w:rsidRPr="00345641">
              <w:t>Abbreviations: CI = Confidence Interval, OR = Odds Ratio</w:t>
            </w:r>
          </w:p>
        </w:tc>
      </w:tr>
    </w:tbl>
    <w:p w:rsidR="007A5709" w:rsidRPr="0071394F" w:rsidRDefault="003D7831" w:rsidP="0071394F">
      <w:pPr>
        <w:jc w:val="left"/>
        <w:rPr>
          <w:i/>
          <w:iCs/>
        </w:rPr>
      </w:pPr>
      <w:r>
        <w:rPr>
          <w:i/>
          <w:iCs/>
        </w:rPr>
        <w:t xml:space="preserve">CI, confidence intervals; </w:t>
      </w:r>
      <w:r w:rsidR="0071394F" w:rsidRPr="00010BB8">
        <w:rPr>
          <w:i/>
          <w:iCs/>
        </w:rPr>
        <w:t xml:space="preserve">ICU, intensive care unit; </w:t>
      </w:r>
      <w:r w:rsidR="0071394F">
        <w:rPr>
          <w:i/>
          <w:iCs/>
        </w:rPr>
        <w:t>OR, odds ratio</w:t>
      </w:r>
    </w:p>
    <w:p w:rsidR="0071394F" w:rsidRPr="00345641" w:rsidRDefault="0071394F" w:rsidP="00551117"/>
    <w:p w:rsidR="007A5709" w:rsidRDefault="007A5709" w:rsidP="007A5709">
      <w:bookmarkStart w:id="6" w:name="_Toc212854892"/>
      <w:r w:rsidRPr="00407EA2">
        <w:rPr>
          <w:b/>
          <w:bCs/>
        </w:rPr>
        <w:t>Table S</w:t>
      </w:r>
      <w:r w:rsidRPr="00407EA2">
        <w:rPr>
          <w:b/>
          <w:bCs/>
        </w:rPr>
        <w:fldChar w:fldCharType="begin"/>
      </w:r>
      <w:r w:rsidRPr="00407EA2">
        <w:rPr>
          <w:b/>
          <w:bCs/>
        </w:rPr>
        <w:instrText xml:space="preserve"> SEQ Table \* ARABIC </w:instrText>
      </w:r>
      <w:r w:rsidRPr="00407EA2">
        <w:rPr>
          <w:b/>
          <w:bCs/>
        </w:rPr>
        <w:fldChar w:fldCharType="separate"/>
      </w:r>
      <w:r w:rsidR="001764B7">
        <w:rPr>
          <w:b/>
          <w:bCs/>
          <w:noProof/>
        </w:rPr>
        <w:t>7</w:t>
      </w:r>
      <w:r w:rsidRPr="00407EA2">
        <w:rPr>
          <w:b/>
          <w:bCs/>
        </w:rPr>
        <w:fldChar w:fldCharType="end"/>
      </w:r>
      <w:r w:rsidRPr="00407EA2">
        <w:rPr>
          <w:b/>
          <w:bCs/>
        </w:rPr>
        <w:t>. Results of the mixed-effects logistic regression model in patients who required invasive mechanical ventilation.</w:t>
      </w:r>
      <w:r>
        <w:t xml:space="preserve"> Each predictor is detailed with its different categories for categori</w:t>
      </w:r>
      <w:r w:rsidR="002219B9">
        <w:t>c</w:t>
      </w:r>
      <w:r>
        <w:t>al variables. ICU denotes for intensive care unit.</w:t>
      </w:r>
      <w:bookmarkEnd w:id="6"/>
    </w:p>
    <w:tbl>
      <w:tblPr>
        <w:tblStyle w:val="Grilledutableau"/>
        <w:tblW w:w="0" w:type="auto"/>
        <w:tblLook w:val="04A0" w:firstRow="1" w:lastRow="0" w:firstColumn="1" w:lastColumn="0" w:noHBand="0" w:noVBand="1"/>
      </w:tblPr>
      <w:tblGrid>
        <w:gridCol w:w="3750"/>
        <w:gridCol w:w="1300"/>
        <w:gridCol w:w="1300"/>
        <w:gridCol w:w="1300"/>
      </w:tblGrid>
      <w:tr w:rsidR="00F72B37" w:rsidRPr="00345641" w:rsidTr="00F72B37">
        <w:trPr>
          <w:trHeight w:val="420"/>
        </w:trPr>
        <w:tc>
          <w:tcPr>
            <w:tcW w:w="3750" w:type="dxa"/>
            <w:noWrap/>
            <w:hideMark/>
          </w:tcPr>
          <w:p w:rsidR="00F72B37" w:rsidRPr="00345641" w:rsidRDefault="00F72B37" w:rsidP="00F72B37">
            <w:pPr>
              <w:rPr>
                <w:b/>
                <w:bCs/>
              </w:rPr>
            </w:pPr>
            <w:r w:rsidRPr="00345641">
              <w:rPr>
                <w:b/>
                <w:bCs/>
              </w:rPr>
              <w:t>Characteristic</w:t>
            </w:r>
          </w:p>
        </w:tc>
        <w:tc>
          <w:tcPr>
            <w:tcW w:w="1300" w:type="dxa"/>
            <w:noWrap/>
            <w:hideMark/>
          </w:tcPr>
          <w:p w:rsidR="00F72B37" w:rsidRPr="00345641" w:rsidRDefault="00F72B37">
            <w:pPr>
              <w:rPr>
                <w:b/>
                <w:bCs/>
              </w:rPr>
            </w:pPr>
            <w:r w:rsidRPr="00345641">
              <w:rPr>
                <w:b/>
                <w:bCs/>
              </w:rPr>
              <w:t>OR</w:t>
            </w:r>
          </w:p>
        </w:tc>
        <w:tc>
          <w:tcPr>
            <w:tcW w:w="1300" w:type="dxa"/>
            <w:noWrap/>
            <w:hideMark/>
          </w:tcPr>
          <w:p w:rsidR="00F72B37" w:rsidRPr="00345641" w:rsidRDefault="00F72B37">
            <w:pPr>
              <w:rPr>
                <w:b/>
                <w:bCs/>
              </w:rPr>
            </w:pPr>
            <w:r w:rsidRPr="00345641">
              <w:rPr>
                <w:b/>
                <w:bCs/>
              </w:rPr>
              <w:t>95% CI</w:t>
            </w:r>
          </w:p>
        </w:tc>
        <w:tc>
          <w:tcPr>
            <w:tcW w:w="1300" w:type="dxa"/>
            <w:noWrap/>
            <w:hideMark/>
          </w:tcPr>
          <w:p w:rsidR="00F72B37" w:rsidRPr="00345641" w:rsidRDefault="00F72B37">
            <w:pPr>
              <w:rPr>
                <w:b/>
                <w:bCs/>
              </w:rPr>
            </w:pPr>
            <w:r w:rsidRPr="00345641">
              <w:rPr>
                <w:b/>
                <w:bCs/>
              </w:rPr>
              <w:t>p-value</w:t>
            </w:r>
          </w:p>
        </w:tc>
      </w:tr>
      <w:tr w:rsidR="00F72B37" w:rsidRPr="00345641" w:rsidTr="00F72B37">
        <w:trPr>
          <w:trHeight w:val="360"/>
        </w:trPr>
        <w:tc>
          <w:tcPr>
            <w:tcW w:w="3750" w:type="dxa"/>
            <w:noWrap/>
            <w:hideMark/>
          </w:tcPr>
          <w:p w:rsidR="00F72B37" w:rsidRPr="00345641" w:rsidRDefault="00F72B37">
            <w:pPr>
              <w:rPr>
                <w:b/>
                <w:bCs/>
              </w:rPr>
            </w:pPr>
            <w:r w:rsidRPr="00345641">
              <w:rPr>
                <w:b/>
                <w:bCs/>
              </w:rPr>
              <w:t>Acute myeloid leukemia</w:t>
            </w:r>
          </w:p>
        </w:tc>
        <w:tc>
          <w:tcPr>
            <w:tcW w:w="1300" w:type="dxa"/>
            <w:noWrap/>
            <w:hideMark/>
          </w:tcPr>
          <w:p w:rsidR="00F72B37" w:rsidRPr="00345641" w:rsidRDefault="00F72B37">
            <w:r w:rsidRPr="00345641">
              <w:t>1.20</w:t>
            </w:r>
          </w:p>
        </w:tc>
        <w:tc>
          <w:tcPr>
            <w:tcW w:w="1300" w:type="dxa"/>
            <w:noWrap/>
            <w:hideMark/>
          </w:tcPr>
          <w:p w:rsidR="00F72B37" w:rsidRPr="00345641" w:rsidRDefault="00F72B37">
            <w:r w:rsidRPr="00345641">
              <w:t>0.80, 1.80</w:t>
            </w:r>
          </w:p>
        </w:tc>
        <w:tc>
          <w:tcPr>
            <w:tcW w:w="1300" w:type="dxa"/>
            <w:noWrap/>
            <w:hideMark/>
          </w:tcPr>
          <w:p w:rsidR="00F72B37" w:rsidRPr="00345641" w:rsidRDefault="00F72B37">
            <w:r w:rsidRPr="00345641">
              <w:t>0.38</w:t>
            </w:r>
          </w:p>
        </w:tc>
      </w:tr>
      <w:tr w:rsidR="00F72B37" w:rsidRPr="00345641" w:rsidTr="00F72B37">
        <w:trPr>
          <w:trHeight w:val="360"/>
        </w:trPr>
        <w:tc>
          <w:tcPr>
            <w:tcW w:w="6350" w:type="dxa"/>
            <w:gridSpan w:val="3"/>
            <w:noWrap/>
            <w:hideMark/>
          </w:tcPr>
          <w:p w:rsidR="00F72B37" w:rsidRPr="00345641" w:rsidRDefault="00F72B37">
            <w:pPr>
              <w:rPr>
                <w:b/>
                <w:bCs/>
              </w:rPr>
            </w:pPr>
            <w:r w:rsidRPr="00345641">
              <w:rPr>
                <w:b/>
                <w:bCs/>
              </w:rPr>
              <w:t>Acute leukemia status</w:t>
            </w:r>
          </w:p>
        </w:tc>
        <w:tc>
          <w:tcPr>
            <w:tcW w:w="1300" w:type="dxa"/>
            <w:noWrap/>
            <w:hideMark/>
          </w:tcPr>
          <w:p w:rsidR="00F72B37" w:rsidRPr="00345641" w:rsidRDefault="00F72B37">
            <w:pPr>
              <w:rPr>
                <w:b/>
                <w:bCs/>
              </w:rPr>
            </w:pPr>
          </w:p>
        </w:tc>
      </w:tr>
      <w:tr w:rsidR="00F72B37" w:rsidRPr="00345641" w:rsidTr="00F72B37">
        <w:trPr>
          <w:trHeight w:val="360"/>
        </w:trPr>
        <w:tc>
          <w:tcPr>
            <w:tcW w:w="3750" w:type="dxa"/>
            <w:noWrap/>
            <w:hideMark/>
          </w:tcPr>
          <w:p w:rsidR="00F72B37" w:rsidRPr="00345641" w:rsidRDefault="00F72B37">
            <w:r w:rsidRPr="00345641">
              <w:t>    Consolidation or Remission</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Diagnosis or Induction</w:t>
            </w:r>
          </w:p>
        </w:tc>
        <w:tc>
          <w:tcPr>
            <w:tcW w:w="1300" w:type="dxa"/>
            <w:noWrap/>
            <w:hideMark/>
          </w:tcPr>
          <w:p w:rsidR="00F72B37" w:rsidRPr="00345641" w:rsidRDefault="00F72B37">
            <w:r w:rsidRPr="00345641">
              <w:t>1.54</w:t>
            </w:r>
          </w:p>
        </w:tc>
        <w:tc>
          <w:tcPr>
            <w:tcW w:w="1300" w:type="dxa"/>
            <w:noWrap/>
            <w:hideMark/>
          </w:tcPr>
          <w:p w:rsidR="00F72B37" w:rsidRPr="00345641" w:rsidRDefault="00F72B37">
            <w:r w:rsidRPr="00345641">
              <w:t>1.04, 2.27</w:t>
            </w:r>
          </w:p>
        </w:tc>
        <w:tc>
          <w:tcPr>
            <w:tcW w:w="1300" w:type="dxa"/>
            <w:noWrap/>
            <w:hideMark/>
          </w:tcPr>
          <w:p w:rsidR="00F72B37" w:rsidRPr="00345641" w:rsidRDefault="00F72B37">
            <w:r w:rsidRPr="00345641">
              <w:t>0.031</w:t>
            </w:r>
          </w:p>
        </w:tc>
      </w:tr>
      <w:tr w:rsidR="00F72B37" w:rsidRPr="00345641" w:rsidTr="00F72B37">
        <w:trPr>
          <w:trHeight w:val="360"/>
        </w:trPr>
        <w:tc>
          <w:tcPr>
            <w:tcW w:w="3750" w:type="dxa"/>
            <w:noWrap/>
            <w:hideMark/>
          </w:tcPr>
          <w:p w:rsidR="00F72B37" w:rsidRPr="00345641" w:rsidRDefault="00F72B37">
            <w:r w:rsidRPr="00345641">
              <w:t>    Relapse or Refractory</w:t>
            </w:r>
          </w:p>
        </w:tc>
        <w:tc>
          <w:tcPr>
            <w:tcW w:w="1300" w:type="dxa"/>
            <w:noWrap/>
            <w:hideMark/>
          </w:tcPr>
          <w:p w:rsidR="00F72B37" w:rsidRPr="00345641" w:rsidRDefault="00F72B37">
            <w:r w:rsidRPr="00345641">
              <w:t>2.93</w:t>
            </w:r>
          </w:p>
        </w:tc>
        <w:tc>
          <w:tcPr>
            <w:tcW w:w="1300" w:type="dxa"/>
            <w:noWrap/>
            <w:hideMark/>
          </w:tcPr>
          <w:p w:rsidR="00F72B37" w:rsidRPr="00345641" w:rsidRDefault="00F72B37">
            <w:r w:rsidRPr="00345641">
              <w:t>1.60, 5.37</w:t>
            </w:r>
          </w:p>
        </w:tc>
        <w:tc>
          <w:tcPr>
            <w:tcW w:w="1300" w:type="dxa"/>
            <w:noWrap/>
            <w:hideMark/>
          </w:tcPr>
          <w:p w:rsidR="00F72B37" w:rsidRPr="00345641" w:rsidRDefault="00F72B37">
            <w:r w:rsidRPr="00345641">
              <w:t>&lt; 0.01</w:t>
            </w:r>
          </w:p>
        </w:tc>
      </w:tr>
      <w:tr w:rsidR="00F72B37" w:rsidRPr="00345641" w:rsidTr="00F72B37">
        <w:trPr>
          <w:trHeight w:val="360"/>
        </w:trPr>
        <w:tc>
          <w:tcPr>
            <w:tcW w:w="6350" w:type="dxa"/>
            <w:gridSpan w:val="3"/>
            <w:noWrap/>
            <w:hideMark/>
          </w:tcPr>
          <w:p w:rsidR="00F72B37" w:rsidRPr="00345641" w:rsidRDefault="00F72B37">
            <w:pPr>
              <w:rPr>
                <w:b/>
                <w:bCs/>
              </w:rPr>
            </w:pPr>
            <w:r w:rsidRPr="00345641">
              <w:rPr>
                <w:b/>
                <w:bCs/>
              </w:rPr>
              <w:t>Age at ICU admission</w:t>
            </w:r>
          </w:p>
        </w:tc>
        <w:tc>
          <w:tcPr>
            <w:tcW w:w="1300" w:type="dxa"/>
            <w:noWrap/>
            <w:hideMark/>
          </w:tcPr>
          <w:p w:rsidR="00F72B37" w:rsidRPr="00345641" w:rsidRDefault="00F72B37">
            <w:pPr>
              <w:rPr>
                <w:b/>
                <w:bCs/>
              </w:rPr>
            </w:pPr>
          </w:p>
        </w:tc>
      </w:tr>
      <w:tr w:rsidR="00F72B37" w:rsidRPr="00345641" w:rsidTr="00F72B37">
        <w:trPr>
          <w:trHeight w:val="360"/>
        </w:trPr>
        <w:tc>
          <w:tcPr>
            <w:tcW w:w="3750" w:type="dxa"/>
            <w:noWrap/>
            <w:hideMark/>
          </w:tcPr>
          <w:p w:rsidR="00F72B37" w:rsidRPr="00345641" w:rsidRDefault="00F72B37">
            <w:r w:rsidRPr="00345641">
              <w:lastRenderedPageBreak/>
              <w:t>    ≤ 65 years</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&gt; 65 years</w:t>
            </w:r>
          </w:p>
        </w:tc>
        <w:tc>
          <w:tcPr>
            <w:tcW w:w="1300" w:type="dxa"/>
            <w:noWrap/>
            <w:hideMark/>
          </w:tcPr>
          <w:p w:rsidR="00F72B37" w:rsidRPr="00345641" w:rsidRDefault="00F72B37">
            <w:r w:rsidRPr="00345641">
              <w:t>1.78</w:t>
            </w:r>
          </w:p>
        </w:tc>
        <w:tc>
          <w:tcPr>
            <w:tcW w:w="1300" w:type="dxa"/>
            <w:noWrap/>
            <w:hideMark/>
          </w:tcPr>
          <w:p w:rsidR="00F72B37" w:rsidRPr="00345641" w:rsidRDefault="00F72B37">
            <w:r w:rsidRPr="00345641">
              <w:t>1.21, 2.61</w:t>
            </w:r>
          </w:p>
        </w:tc>
        <w:tc>
          <w:tcPr>
            <w:tcW w:w="1300" w:type="dxa"/>
            <w:noWrap/>
            <w:hideMark/>
          </w:tcPr>
          <w:p w:rsidR="00F72B37" w:rsidRPr="00345641" w:rsidRDefault="00F72B37">
            <w:r w:rsidRPr="00345641">
              <w:t>&lt; 0.01</w:t>
            </w:r>
          </w:p>
        </w:tc>
      </w:tr>
      <w:tr w:rsidR="00F72B37" w:rsidRPr="00345641" w:rsidTr="00F72B37">
        <w:trPr>
          <w:trHeight w:val="360"/>
        </w:trPr>
        <w:tc>
          <w:tcPr>
            <w:tcW w:w="5050" w:type="dxa"/>
            <w:gridSpan w:val="2"/>
            <w:noWrap/>
            <w:hideMark/>
          </w:tcPr>
          <w:p w:rsidR="00F72B37" w:rsidRPr="00345641" w:rsidRDefault="00F72B37">
            <w:pPr>
              <w:rPr>
                <w:b/>
                <w:bCs/>
              </w:rPr>
            </w:pPr>
            <w:r w:rsidRPr="00345641">
              <w:rPr>
                <w:b/>
                <w:bCs/>
              </w:rPr>
              <w:t>Year of admission</w:t>
            </w:r>
          </w:p>
        </w:tc>
        <w:tc>
          <w:tcPr>
            <w:tcW w:w="1300" w:type="dxa"/>
            <w:noWrap/>
            <w:hideMark/>
          </w:tcPr>
          <w:p w:rsidR="00F72B37" w:rsidRPr="00345641" w:rsidRDefault="00F72B37">
            <w:pPr>
              <w:rPr>
                <w:b/>
                <w:bCs/>
              </w:rPr>
            </w:pP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Before 2010</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After 2010</w:t>
            </w:r>
          </w:p>
        </w:tc>
        <w:tc>
          <w:tcPr>
            <w:tcW w:w="1300" w:type="dxa"/>
            <w:noWrap/>
            <w:hideMark/>
          </w:tcPr>
          <w:p w:rsidR="00F72B37" w:rsidRPr="00345641" w:rsidRDefault="00F72B37">
            <w:r w:rsidRPr="00345641">
              <w:t>0.60</w:t>
            </w:r>
          </w:p>
        </w:tc>
        <w:tc>
          <w:tcPr>
            <w:tcW w:w="1300" w:type="dxa"/>
            <w:noWrap/>
            <w:hideMark/>
          </w:tcPr>
          <w:p w:rsidR="00F72B37" w:rsidRPr="00345641" w:rsidRDefault="00F72B37">
            <w:r w:rsidRPr="00345641">
              <w:t>0.37, 0.98</w:t>
            </w:r>
          </w:p>
        </w:tc>
        <w:tc>
          <w:tcPr>
            <w:tcW w:w="1300" w:type="dxa"/>
            <w:noWrap/>
            <w:hideMark/>
          </w:tcPr>
          <w:p w:rsidR="00F72B37" w:rsidRPr="00345641" w:rsidRDefault="00F72B37">
            <w:r w:rsidRPr="00345641">
              <w:t>0.040</w:t>
            </w:r>
          </w:p>
        </w:tc>
      </w:tr>
      <w:tr w:rsidR="00F72B37" w:rsidRPr="00345641" w:rsidTr="00F72B37">
        <w:trPr>
          <w:trHeight w:val="360"/>
        </w:trPr>
        <w:tc>
          <w:tcPr>
            <w:tcW w:w="7650" w:type="dxa"/>
            <w:gridSpan w:val="4"/>
            <w:noWrap/>
            <w:hideMark/>
          </w:tcPr>
          <w:p w:rsidR="00F72B37" w:rsidRPr="00345641" w:rsidRDefault="00F72B37">
            <w:pPr>
              <w:rPr>
                <w:b/>
                <w:bCs/>
              </w:rPr>
            </w:pPr>
            <w:r w:rsidRPr="00345641">
              <w:rPr>
                <w:b/>
                <w:bCs/>
              </w:rPr>
              <w:t>Need for vasopressors or RRT</w:t>
            </w:r>
          </w:p>
        </w:tc>
      </w:tr>
      <w:tr w:rsidR="00F72B37" w:rsidRPr="00345641" w:rsidTr="00F72B37">
        <w:trPr>
          <w:trHeight w:val="360"/>
        </w:trPr>
        <w:tc>
          <w:tcPr>
            <w:tcW w:w="3750" w:type="dxa"/>
            <w:noWrap/>
            <w:hideMark/>
          </w:tcPr>
          <w:p w:rsidR="00F72B37" w:rsidRPr="00345641" w:rsidRDefault="00F72B37">
            <w:r w:rsidRPr="00345641">
              <w:t>    0</w:t>
            </w:r>
          </w:p>
        </w:tc>
        <w:tc>
          <w:tcPr>
            <w:tcW w:w="1300" w:type="dxa"/>
            <w:noWrap/>
            <w:hideMark/>
          </w:tcPr>
          <w:p w:rsidR="00F72B37" w:rsidRPr="00345641" w:rsidRDefault="00F72B37">
            <w:r w:rsidRPr="00345641">
              <w:t>—</w:t>
            </w:r>
          </w:p>
        </w:tc>
        <w:tc>
          <w:tcPr>
            <w:tcW w:w="1300" w:type="dxa"/>
            <w:noWrap/>
            <w:hideMark/>
          </w:tcPr>
          <w:p w:rsidR="00F72B37" w:rsidRPr="00345641" w:rsidRDefault="00F72B37">
            <w:r w:rsidRPr="00345641">
              <w:t>—</w:t>
            </w:r>
          </w:p>
        </w:tc>
        <w:tc>
          <w:tcPr>
            <w:tcW w:w="1300" w:type="dxa"/>
            <w:noWrap/>
            <w:hideMark/>
          </w:tcPr>
          <w:p w:rsidR="00F72B37" w:rsidRPr="00345641" w:rsidRDefault="00F72B37"/>
        </w:tc>
      </w:tr>
      <w:tr w:rsidR="00F72B37" w:rsidRPr="00345641" w:rsidTr="00F72B37">
        <w:trPr>
          <w:trHeight w:val="360"/>
        </w:trPr>
        <w:tc>
          <w:tcPr>
            <w:tcW w:w="3750" w:type="dxa"/>
            <w:noWrap/>
            <w:hideMark/>
          </w:tcPr>
          <w:p w:rsidR="00F72B37" w:rsidRPr="00345641" w:rsidRDefault="00F72B37">
            <w:r w:rsidRPr="00345641">
              <w:t>    1</w:t>
            </w:r>
          </w:p>
        </w:tc>
        <w:tc>
          <w:tcPr>
            <w:tcW w:w="1300" w:type="dxa"/>
            <w:noWrap/>
            <w:hideMark/>
          </w:tcPr>
          <w:p w:rsidR="00F72B37" w:rsidRPr="00345641" w:rsidRDefault="00F72B37">
            <w:r w:rsidRPr="00345641">
              <w:t>2.87</w:t>
            </w:r>
          </w:p>
        </w:tc>
        <w:tc>
          <w:tcPr>
            <w:tcW w:w="1300" w:type="dxa"/>
            <w:noWrap/>
            <w:hideMark/>
          </w:tcPr>
          <w:p w:rsidR="00F72B37" w:rsidRPr="00345641" w:rsidRDefault="00F72B37">
            <w:r w:rsidRPr="00345641">
              <w:t>1.87, 4.40</w:t>
            </w:r>
          </w:p>
        </w:tc>
        <w:tc>
          <w:tcPr>
            <w:tcW w:w="1300" w:type="dxa"/>
            <w:noWrap/>
            <w:hideMark/>
          </w:tcPr>
          <w:p w:rsidR="00F72B37" w:rsidRPr="00345641" w:rsidRDefault="00F72B37">
            <w:r w:rsidRPr="00345641">
              <w:t>&lt; 0.01</w:t>
            </w:r>
          </w:p>
        </w:tc>
      </w:tr>
      <w:tr w:rsidR="00F72B37" w:rsidRPr="00345641" w:rsidTr="00F72B37">
        <w:trPr>
          <w:trHeight w:val="360"/>
        </w:trPr>
        <w:tc>
          <w:tcPr>
            <w:tcW w:w="7650" w:type="dxa"/>
            <w:gridSpan w:val="4"/>
            <w:noWrap/>
            <w:hideMark/>
          </w:tcPr>
          <w:p w:rsidR="00F72B37" w:rsidRPr="00345641" w:rsidRDefault="00F72B37">
            <w:r w:rsidRPr="00345641">
              <w:t>Abbreviations: CI = Confidence Interval, OR = Odds Ratio</w:t>
            </w:r>
          </w:p>
        </w:tc>
      </w:tr>
    </w:tbl>
    <w:p w:rsidR="003D7831" w:rsidRPr="0071394F" w:rsidRDefault="003D7831" w:rsidP="003D7831">
      <w:pPr>
        <w:jc w:val="left"/>
        <w:rPr>
          <w:i/>
          <w:iCs/>
        </w:rPr>
      </w:pPr>
      <w:r>
        <w:rPr>
          <w:i/>
          <w:iCs/>
        </w:rPr>
        <w:t xml:space="preserve">CI, confidence intervals; </w:t>
      </w:r>
      <w:r w:rsidRPr="00010BB8">
        <w:rPr>
          <w:i/>
          <w:iCs/>
        </w:rPr>
        <w:t xml:space="preserve">ICU, intensive care unit; </w:t>
      </w:r>
      <w:r>
        <w:rPr>
          <w:i/>
          <w:iCs/>
        </w:rPr>
        <w:t>OR, odds ratio</w:t>
      </w:r>
    </w:p>
    <w:p w:rsidR="00F42244" w:rsidRPr="00345641" w:rsidRDefault="00F42244" w:rsidP="00551117"/>
    <w:p w:rsidR="007A5709" w:rsidRDefault="007A5709" w:rsidP="007A5709">
      <w:bookmarkStart w:id="7" w:name="_Toc212854893"/>
      <w:r w:rsidRPr="007A5709">
        <w:rPr>
          <w:b/>
          <w:bCs/>
        </w:rPr>
        <w:t>Table S</w:t>
      </w:r>
      <w:r w:rsidRPr="007A5709">
        <w:rPr>
          <w:b/>
          <w:bCs/>
        </w:rPr>
        <w:fldChar w:fldCharType="begin"/>
      </w:r>
      <w:r w:rsidRPr="007A5709">
        <w:rPr>
          <w:b/>
          <w:bCs/>
        </w:rPr>
        <w:instrText xml:space="preserve"> SEQ Table \* ARABIC </w:instrText>
      </w:r>
      <w:r w:rsidRPr="007A5709">
        <w:rPr>
          <w:b/>
          <w:bCs/>
        </w:rPr>
        <w:fldChar w:fldCharType="separate"/>
      </w:r>
      <w:r w:rsidR="001764B7">
        <w:rPr>
          <w:b/>
          <w:bCs/>
          <w:noProof/>
        </w:rPr>
        <w:t>8</w:t>
      </w:r>
      <w:r w:rsidRPr="007A5709">
        <w:rPr>
          <w:b/>
          <w:bCs/>
        </w:rPr>
        <w:fldChar w:fldCharType="end"/>
      </w:r>
      <w:r w:rsidRPr="007A5709">
        <w:rPr>
          <w:b/>
          <w:bCs/>
        </w:rPr>
        <w:t>. Measurement of goodness</w:t>
      </w:r>
      <w:r w:rsidR="00DE4D22">
        <w:rPr>
          <w:b/>
          <w:bCs/>
        </w:rPr>
        <w:t xml:space="preserve"> </w:t>
      </w:r>
      <w:r w:rsidRPr="007A5709">
        <w:rPr>
          <w:b/>
          <w:bCs/>
        </w:rPr>
        <w:t>of</w:t>
      </w:r>
      <w:r w:rsidR="00DE4D22">
        <w:rPr>
          <w:b/>
          <w:bCs/>
        </w:rPr>
        <w:t xml:space="preserve"> </w:t>
      </w:r>
      <w:r w:rsidRPr="007A5709">
        <w:rPr>
          <w:b/>
          <w:bCs/>
        </w:rPr>
        <w:t>fit across the different models. In a sensitivity analysis we treated year of ICU admission and patient age as continuous variables.</w:t>
      </w:r>
      <w:r>
        <w:t xml:space="preserve"> For overall population and intubated patients, both </w:t>
      </w:r>
      <w:r w:rsidRPr="00010BB8">
        <w:t xml:space="preserve">Akaike information criterion (AIC), and </w:t>
      </w:r>
      <w:r w:rsidR="0071394F">
        <w:t>B</w:t>
      </w:r>
      <w:r w:rsidRPr="00010BB8">
        <w:t>ayesian information criterion (BIC)</w:t>
      </w:r>
      <w:r>
        <w:t xml:space="preserve"> were lower in the main model.</w:t>
      </w:r>
      <w:bookmarkEnd w:id="7"/>
    </w:p>
    <w:tbl>
      <w:tblPr>
        <w:tblStyle w:val="Grilledutableau"/>
        <w:tblW w:w="0" w:type="auto"/>
        <w:tblLook w:val="04A0" w:firstRow="1" w:lastRow="0" w:firstColumn="1" w:lastColumn="0" w:noHBand="0" w:noVBand="1"/>
      </w:tblPr>
      <w:tblGrid>
        <w:gridCol w:w="4306"/>
        <w:gridCol w:w="1189"/>
        <w:gridCol w:w="1189"/>
        <w:gridCol w:w="1107"/>
        <w:gridCol w:w="1271"/>
      </w:tblGrid>
      <w:tr w:rsidR="00F42244" w:rsidRPr="00345641" w:rsidTr="007A5709">
        <w:trPr>
          <w:trHeight w:val="320"/>
        </w:trPr>
        <w:tc>
          <w:tcPr>
            <w:tcW w:w="4306" w:type="dxa"/>
            <w:noWrap/>
            <w:hideMark/>
          </w:tcPr>
          <w:p w:rsidR="00F42244" w:rsidRPr="00345641" w:rsidRDefault="00F42244" w:rsidP="00F42244"/>
        </w:tc>
        <w:tc>
          <w:tcPr>
            <w:tcW w:w="2378" w:type="dxa"/>
            <w:gridSpan w:val="2"/>
            <w:noWrap/>
            <w:hideMark/>
          </w:tcPr>
          <w:p w:rsidR="00F42244" w:rsidRPr="00345641" w:rsidRDefault="00F42244" w:rsidP="00F42244">
            <w:pPr>
              <w:jc w:val="center"/>
              <w:rPr>
                <w:b/>
                <w:bCs/>
              </w:rPr>
            </w:pPr>
            <w:r w:rsidRPr="00345641">
              <w:rPr>
                <w:b/>
                <w:bCs/>
              </w:rPr>
              <w:t>All patients</w:t>
            </w:r>
          </w:p>
        </w:tc>
        <w:tc>
          <w:tcPr>
            <w:tcW w:w="2378" w:type="dxa"/>
            <w:gridSpan w:val="2"/>
            <w:noWrap/>
            <w:hideMark/>
          </w:tcPr>
          <w:p w:rsidR="00F42244" w:rsidRPr="00345641" w:rsidRDefault="00F42244" w:rsidP="00F42244">
            <w:pPr>
              <w:jc w:val="center"/>
              <w:rPr>
                <w:b/>
                <w:bCs/>
              </w:rPr>
            </w:pPr>
            <w:r w:rsidRPr="00345641">
              <w:rPr>
                <w:b/>
                <w:bCs/>
              </w:rPr>
              <w:t>Intubated patients</w:t>
            </w:r>
          </w:p>
        </w:tc>
      </w:tr>
      <w:tr w:rsidR="00F42244" w:rsidRPr="00345641" w:rsidTr="007A5709">
        <w:trPr>
          <w:trHeight w:val="320"/>
        </w:trPr>
        <w:tc>
          <w:tcPr>
            <w:tcW w:w="4306" w:type="dxa"/>
            <w:noWrap/>
            <w:hideMark/>
          </w:tcPr>
          <w:p w:rsidR="00F42244" w:rsidRPr="00345641" w:rsidRDefault="00F42244" w:rsidP="00F42244"/>
        </w:tc>
        <w:tc>
          <w:tcPr>
            <w:tcW w:w="1189" w:type="dxa"/>
            <w:noWrap/>
            <w:hideMark/>
          </w:tcPr>
          <w:p w:rsidR="00F42244" w:rsidRPr="00345641" w:rsidRDefault="00F42244" w:rsidP="00F42244">
            <w:pPr>
              <w:jc w:val="center"/>
            </w:pPr>
            <w:r w:rsidRPr="00345641">
              <w:t>AIC</w:t>
            </w:r>
          </w:p>
        </w:tc>
        <w:tc>
          <w:tcPr>
            <w:tcW w:w="1189" w:type="dxa"/>
            <w:noWrap/>
            <w:hideMark/>
          </w:tcPr>
          <w:p w:rsidR="00F42244" w:rsidRPr="00345641" w:rsidRDefault="00F42244" w:rsidP="00F42244">
            <w:pPr>
              <w:jc w:val="center"/>
            </w:pPr>
            <w:r w:rsidRPr="00345641">
              <w:t>BIC</w:t>
            </w:r>
          </w:p>
        </w:tc>
        <w:tc>
          <w:tcPr>
            <w:tcW w:w="1107" w:type="dxa"/>
            <w:noWrap/>
            <w:hideMark/>
          </w:tcPr>
          <w:p w:rsidR="00F42244" w:rsidRPr="00345641" w:rsidRDefault="00F42244" w:rsidP="00F42244">
            <w:pPr>
              <w:jc w:val="center"/>
            </w:pPr>
            <w:r w:rsidRPr="00345641">
              <w:t>AIC</w:t>
            </w:r>
          </w:p>
        </w:tc>
        <w:tc>
          <w:tcPr>
            <w:tcW w:w="1271" w:type="dxa"/>
            <w:noWrap/>
            <w:hideMark/>
          </w:tcPr>
          <w:p w:rsidR="00F42244" w:rsidRPr="00345641" w:rsidRDefault="00F42244" w:rsidP="00F42244">
            <w:pPr>
              <w:jc w:val="center"/>
            </w:pPr>
            <w:r w:rsidRPr="00345641">
              <w:t>BIC</w:t>
            </w:r>
          </w:p>
        </w:tc>
      </w:tr>
      <w:tr w:rsidR="00F42244" w:rsidRPr="00345641" w:rsidTr="007A5709">
        <w:trPr>
          <w:trHeight w:val="320"/>
        </w:trPr>
        <w:tc>
          <w:tcPr>
            <w:tcW w:w="4306" w:type="dxa"/>
            <w:noWrap/>
            <w:hideMark/>
          </w:tcPr>
          <w:p w:rsidR="00F42244" w:rsidRPr="00345641" w:rsidRDefault="00F42244">
            <w:pPr>
              <w:rPr>
                <w:b/>
                <w:bCs/>
              </w:rPr>
            </w:pPr>
            <w:r w:rsidRPr="00345641">
              <w:rPr>
                <w:b/>
                <w:bCs/>
              </w:rPr>
              <w:t>Age and Year of admission treated as dichotomous variables</w:t>
            </w:r>
            <w:r w:rsidR="007A5709">
              <w:rPr>
                <w:b/>
                <w:bCs/>
              </w:rPr>
              <w:t xml:space="preserve"> (main model)</w:t>
            </w:r>
          </w:p>
        </w:tc>
        <w:tc>
          <w:tcPr>
            <w:tcW w:w="1189" w:type="dxa"/>
            <w:noWrap/>
            <w:hideMark/>
          </w:tcPr>
          <w:p w:rsidR="00F42244" w:rsidRPr="00345641" w:rsidRDefault="00F42244" w:rsidP="00F42244">
            <w:pPr>
              <w:jc w:val="center"/>
            </w:pPr>
            <w:r w:rsidRPr="00345641">
              <w:t>1785.559</w:t>
            </w:r>
          </w:p>
        </w:tc>
        <w:tc>
          <w:tcPr>
            <w:tcW w:w="1189" w:type="dxa"/>
            <w:noWrap/>
            <w:hideMark/>
          </w:tcPr>
          <w:p w:rsidR="00F42244" w:rsidRPr="00345641" w:rsidRDefault="00F42244" w:rsidP="00F42244">
            <w:pPr>
              <w:jc w:val="center"/>
            </w:pPr>
            <w:r w:rsidRPr="00345641">
              <w:t>1828.123</w:t>
            </w:r>
          </w:p>
        </w:tc>
        <w:tc>
          <w:tcPr>
            <w:tcW w:w="1107" w:type="dxa"/>
            <w:noWrap/>
            <w:hideMark/>
          </w:tcPr>
          <w:p w:rsidR="00F42244" w:rsidRPr="00345641" w:rsidRDefault="00F42244" w:rsidP="00F42244">
            <w:pPr>
              <w:jc w:val="center"/>
            </w:pPr>
            <w:r w:rsidRPr="00345641">
              <w:t>979.683</w:t>
            </w:r>
          </w:p>
        </w:tc>
        <w:tc>
          <w:tcPr>
            <w:tcW w:w="1271" w:type="dxa"/>
            <w:noWrap/>
            <w:hideMark/>
          </w:tcPr>
          <w:p w:rsidR="00F42244" w:rsidRPr="00345641" w:rsidRDefault="00F42244" w:rsidP="00F42244">
            <w:pPr>
              <w:jc w:val="center"/>
            </w:pPr>
            <w:r w:rsidRPr="00345641">
              <w:t>1017.120</w:t>
            </w:r>
          </w:p>
        </w:tc>
      </w:tr>
      <w:tr w:rsidR="00F42244" w:rsidRPr="00345641" w:rsidTr="007A5709">
        <w:trPr>
          <w:trHeight w:val="320"/>
        </w:trPr>
        <w:tc>
          <w:tcPr>
            <w:tcW w:w="4306" w:type="dxa"/>
            <w:noWrap/>
            <w:hideMark/>
          </w:tcPr>
          <w:p w:rsidR="00F42244" w:rsidRPr="00345641" w:rsidRDefault="00F42244">
            <w:pPr>
              <w:rPr>
                <w:b/>
                <w:bCs/>
              </w:rPr>
            </w:pPr>
            <w:r w:rsidRPr="00345641">
              <w:rPr>
                <w:b/>
                <w:bCs/>
              </w:rPr>
              <w:t>Age and Year of admission treated as continuous variables</w:t>
            </w:r>
            <w:r w:rsidR="007A5709">
              <w:rPr>
                <w:b/>
                <w:bCs/>
              </w:rPr>
              <w:t xml:space="preserve"> (sensitivity analysis)</w:t>
            </w:r>
          </w:p>
        </w:tc>
        <w:tc>
          <w:tcPr>
            <w:tcW w:w="1189" w:type="dxa"/>
            <w:noWrap/>
            <w:hideMark/>
          </w:tcPr>
          <w:p w:rsidR="00F42244" w:rsidRPr="00345641" w:rsidRDefault="00F42244" w:rsidP="00F42244">
            <w:pPr>
              <w:jc w:val="center"/>
            </w:pPr>
            <w:r w:rsidRPr="00345641">
              <w:t>1797.191</w:t>
            </w:r>
          </w:p>
        </w:tc>
        <w:tc>
          <w:tcPr>
            <w:tcW w:w="1189" w:type="dxa"/>
            <w:noWrap/>
            <w:hideMark/>
          </w:tcPr>
          <w:p w:rsidR="00F42244" w:rsidRPr="00345641" w:rsidRDefault="00F42244" w:rsidP="00F42244">
            <w:pPr>
              <w:jc w:val="center"/>
            </w:pPr>
            <w:r w:rsidRPr="00345641">
              <w:t>1839.755</w:t>
            </w:r>
          </w:p>
        </w:tc>
        <w:tc>
          <w:tcPr>
            <w:tcW w:w="1107" w:type="dxa"/>
            <w:noWrap/>
            <w:hideMark/>
          </w:tcPr>
          <w:p w:rsidR="00F42244" w:rsidRPr="00345641" w:rsidRDefault="00F42244" w:rsidP="00F42244">
            <w:pPr>
              <w:jc w:val="center"/>
            </w:pPr>
            <w:r w:rsidRPr="00345641">
              <w:t>980.073</w:t>
            </w:r>
          </w:p>
        </w:tc>
        <w:tc>
          <w:tcPr>
            <w:tcW w:w="1271" w:type="dxa"/>
            <w:noWrap/>
            <w:hideMark/>
          </w:tcPr>
          <w:p w:rsidR="00F42244" w:rsidRPr="00345641" w:rsidRDefault="00F42244" w:rsidP="00F42244">
            <w:pPr>
              <w:jc w:val="center"/>
            </w:pPr>
            <w:r w:rsidRPr="00345641">
              <w:t>1017.510</w:t>
            </w:r>
          </w:p>
        </w:tc>
      </w:tr>
    </w:tbl>
    <w:p w:rsidR="00F42244" w:rsidRPr="004E6CFB" w:rsidRDefault="007A5709" w:rsidP="00551117">
      <w:pPr>
        <w:rPr>
          <w:i/>
          <w:iCs/>
        </w:rPr>
      </w:pPr>
      <w:r w:rsidRPr="004E6CFB">
        <w:rPr>
          <w:i/>
          <w:iCs/>
        </w:rPr>
        <w:t>AIC, Akaike information criterion;</w:t>
      </w:r>
      <w:r w:rsidR="004E6CFB" w:rsidRPr="004E6CFB">
        <w:rPr>
          <w:i/>
          <w:iCs/>
        </w:rPr>
        <w:t xml:space="preserve"> BIC,</w:t>
      </w:r>
      <w:r w:rsidRPr="004E6CFB">
        <w:rPr>
          <w:i/>
          <w:iCs/>
        </w:rPr>
        <w:t xml:space="preserve"> </w:t>
      </w:r>
      <w:r w:rsidR="0071394F">
        <w:rPr>
          <w:i/>
          <w:iCs/>
        </w:rPr>
        <w:t>B</w:t>
      </w:r>
      <w:r w:rsidRPr="004E6CFB">
        <w:rPr>
          <w:i/>
          <w:iCs/>
        </w:rPr>
        <w:t>ayesian information criterion</w:t>
      </w:r>
    </w:p>
    <w:p w:rsidR="004E6CFB" w:rsidRPr="00345641" w:rsidRDefault="004E6CFB" w:rsidP="00551117"/>
    <w:p w:rsidR="004E6CFB" w:rsidRDefault="004E6CFB" w:rsidP="004E6CFB">
      <w:bookmarkStart w:id="8" w:name="_Toc212854894"/>
      <w:r w:rsidRPr="004E6CFB">
        <w:rPr>
          <w:b/>
          <w:bCs/>
        </w:rPr>
        <w:t xml:space="preserve">Table </w:t>
      </w:r>
      <w:r w:rsidRPr="004E6CFB">
        <w:rPr>
          <w:b/>
          <w:bCs/>
        </w:rPr>
        <w:fldChar w:fldCharType="begin"/>
      </w:r>
      <w:r w:rsidRPr="004E6CFB">
        <w:rPr>
          <w:b/>
          <w:bCs/>
        </w:rPr>
        <w:instrText xml:space="preserve"> SEQ Table \* ARABIC </w:instrText>
      </w:r>
      <w:r w:rsidRPr="004E6CFB">
        <w:rPr>
          <w:b/>
          <w:bCs/>
        </w:rPr>
        <w:fldChar w:fldCharType="separate"/>
      </w:r>
      <w:r w:rsidR="001764B7">
        <w:rPr>
          <w:b/>
          <w:bCs/>
          <w:noProof/>
        </w:rPr>
        <w:t>9</w:t>
      </w:r>
      <w:r w:rsidRPr="004E6CFB">
        <w:rPr>
          <w:b/>
          <w:bCs/>
        </w:rPr>
        <w:fldChar w:fldCharType="end"/>
      </w:r>
      <w:r w:rsidRPr="004E6CFB">
        <w:rPr>
          <w:b/>
          <w:bCs/>
        </w:rPr>
        <w:t xml:space="preserve">. Table summarizing the calculation of </w:t>
      </w:r>
      <w:r w:rsidR="00407EA2">
        <w:rPr>
          <w:b/>
          <w:bCs/>
        </w:rPr>
        <w:t>variance</w:t>
      </w:r>
      <w:r w:rsidRPr="004E6CFB">
        <w:rPr>
          <w:b/>
          <w:bCs/>
        </w:rPr>
        <w:t xml:space="preserve"> inflation factor (VIF) across the different models.</w:t>
      </w:r>
      <w:r>
        <w:t xml:space="preserve"> VIF </w:t>
      </w:r>
      <w:r w:rsidRPr="004E6CFB">
        <w:t>values greater than 5 indicate potential multicollinearity among predictors.</w:t>
      </w:r>
      <w:r>
        <w:t xml:space="preserve"> Variables in our models showed low collinearity.</w:t>
      </w:r>
      <w:bookmarkEnd w:id="8"/>
    </w:p>
    <w:tbl>
      <w:tblPr>
        <w:tblStyle w:val="Grilledutableau"/>
        <w:tblW w:w="0" w:type="auto"/>
        <w:tblLook w:val="04A0" w:firstRow="1" w:lastRow="0" w:firstColumn="1" w:lastColumn="0" w:noHBand="0" w:noVBand="1"/>
      </w:tblPr>
      <w:tblGrid>
        <w:gridCol w:w="1612"/>
        <w:gridCol w:w="783"/>
        <w:gridCol w:w="1023"/>
        <w:gridCol w:w="1082"/>
        <w:gridCol w:w="863"/>
        <w:gridCol w:w="849"/>
        <w:gridCol w:w="1396"/>
        <w:gridCol w:w="1454"/>
      </w:tblGrid>
      <w:tr w:rsidR="004E6CFB" w:rsidRPr="004E6CFB" w:rsidTr="004E6CFB">
        <w:trPr>
          <w:trHeight w:val="300"/>
        </w:trPr>
        <w:tc>
          <w:tcPr>
            <w:tcW w:w="1684" w:type="dxa"/>
            <w:noWrap/>
            <w:hideMark/>
          </w:tcPr>
          <w:p w:rsidR="004E6CFB" w:rsidRPr="004E6CFB" w:rsidRDefault="004E6CFB" w:rsidP="004E6CFB">
            <w:pPr>
              <w:rPr>
                <w:b/>
                <w:bCs/>
                <w:lang w:val="fr-FR"/>
              </w:rPr>
            </w:pPr>
            <w:r w:rsidRPr="004E6CFB">
              <w:rPr>
                <w:b/>
                <w:bCs/>
              </w:rPr>
              <w:t>Term</w:t>
            </w:r>
          </w:p>
        </w:tc>
        <w:tc>
          <w:tcPr>
            <w:tcW w:w="903" w:type="dxa"/>
            <w:noWrap/>
            <w:hideMark/>
          </w:tcPr>
          <w:p w:rsidR="004E6CFB" w:rsidRPr="004E6CFB" w:rsidRDefault="004E6CFB" w:rsidP="004E6CFB">
            <w:pPr>
              <w:rPr>
                <w:b/>
                <w:bCs/>
              </w:rPr>
            </w:pPr>
            <w:r w:rsidRPr="004E6CFB">
              <w:rPr>
                <w:b/>
                <w:bCs/>
              </w:rPr>
              <w:t>VIF</w:t>
            </w:r>
          </w:p>
        </w:tc>
        <w:tc>
          <w:tcPr>
            <w:tcW w:w="903" w:type="dxa"/>
            <w:noWrap/>
            <w:hideMark/>
          </w:tcPr>
          <w:p w:rsidR="004E6CFB" w:rsidRPr="004E6CFB" w:rsidRDefault="004E6CFB" w:rsidP="004E6CFB">
            <w:pPr>
              <w:rPr>
                <w:b/>
                <w:bCs/>
              </w:rPr>
            </w:pPr>
            <w:proofErr w:type="spellStart"/>
            <w:r w:rsidRPr="004E6CFB">
              <w:rPr>
                <w:b/>
                <w:bCs/>
              </w:rPr>
              <w:t>VIF_CI_low</w:t>
            </w:r>
            <w:proofErr w:type="spellEnd"/>
          </w:p>
        </w:tc>
        <w:tc>
          <w:tcPr>
            <w:tcW w:w="944" w:type="dxa"/>
            <w:noWrap/>
            <w:hideMark/>
          </w:tcPr>
          <w:p w:rsidR="004E6CFB" w:rsidRPr="004E6CFB" w:rsidRDefault="004E6CFB" w:rsidP="004E6CFB">
            <w:pPr>
              <w:rPr>
                <w:b/>
                <w:bCs/>
              </w:rPr>
            </w:pPr>
            <w:proofErr w:type="spellStart"/>
            <w:r w:rsidRPr="004E6CFB">
              <w:rPr>
                <w:b/>
                <w:bCs/>
              </w:rPr>
              <w:t>VIF_CI_high</w:t>
            </w:r>
            <w:proofErr w:type="spellEnd"/>
          </w:p>
        </w:tc>
        <w:tc>
          <w:tcPr>
            <w:tcW w:w="903" w:type="dxa"/>
            <w:noWrap/>
            <w:hideMark/>
          </w:tcPr>
          <w:p w:rsidR="004E6CFB" w:rsidRPr="004E6CFB" w:rsidRDefault="004E6CFB" w:rsidP="004E6CFB">
            <w:pPr>
              <w:rPr>
                <w:b/>
                <w:bCs/>
              </w:rPr>
            </w:pPr>
            <w:proofErr w:type="spellStart"/>
            <w:r w:rsidRPr="004E6CFB">
              <w:rPr>
                <w:b/>
                <w:bCs/>
              </w:rPr>
              <w:t>SE_factor</w:t>
            </w:r>
            <w:proofErr w:type="spellEnd"/>
          </w:p>
        </w:tc>
        <w:tc>
          <w:tcPr>
            <w:tcW w:w="903" w:type="dxa"/>
            <w:noWrap/>
            <w:hideMark/>
          </w:tcPr>
          <w:p w:rsidR="004E6CFB" w:rsidRPr="004E6CFB" w:rsidRDefault="004E6CFB" w:rsidP="004E6CFB">
            <w:pPr>
              <w:rPr>
                <w:b/>
                <w:bCs/>
              </w:rPr>
            </w:pPr>
            <w:r w:rsidRPr="004E6CFB">
              <w:rPr>
                <w:b/>
                <w:bCs/>
              </w:rPr>
              <w:t>Tolerance</w:t>
            </w:r>
          </w:p>
        </w:tc>
        <w:tc>
          <w:tcPr>
            <w:tcW w:w="1391" w:type="dxa"/>
            <w:noWrap/>
            <w:hideMark/>
          </w:tcPr>
          <w:p w:rsidR="004E6CFB" w:rsidRPr="004E6CFB" w:rsidRDefault="004E6CFB" w:rsidP="004E6CFB">
            <w:pPr>
              <w:rPr>
                <w:b/>
                <w:bCs/>
              </w:rPr>
            </w:pPr>
            <w:proofErr w:type="spellStart"/>
            <w:r w:rsidRPr="004E6CFB">
              <w:rPr>
                <w:b/>
                <w:bCs/>
              </w:rPr>
              <w:t>Tolerance_CI_low</w:t>
            </w:r>
            <w:proofErr w:type="spellEnd"/>
          </w:p>
        </w:tc>
        <w:tc>
          <w:tcPr>
            <w:tcW w:w="1441" w:type="dxa"/>
            <w:noWrap/>
            <w:hideMark/>
          </w:tcPr>
          <w:p w:rsidR="004E6CFB" w:rsidRPr="004E6CFB" w:rsidRDefault="004E6CFB" w:rsidP="004E6CFB">
            <w:pPr>
              <w:rPr>
                <w:b/>
                <w:bCs/>
              </w:rPr>
            </w:pPr>
            <w:proofErr w:type="spellStart"/>
            <w:r w:rsidRPr="004E6CFB">
              <w:rPr>
                <w:b/>
                <w:bCs/>
              </w:rPr>
              <w:t>Tolerance_CI_high</w:t>
            </w:r>
            <w:proofErr w:type="spellEnd"/>
          </w:p>
        </w:tc>
      </w:tr>
      <w:tr w:rsidR="004E6CFB" w:rsidRPr="004E6CFB" w:rsidTr="004E6CFB">
        <w:trPr>
          <w:trHeight w:val="300"/>
        </w:trPr>
        <w:tc>
          <w:tcPr>
            <w:tcW w:w="9072" w:type="dxa"/>
            <w:gridSpan w:val="8"/>
            <w:noWrap/>
            <w:hideMark/>
          </w:tcPr>
          <w:p w:rsidR="004E6CFB" w:rsidRPr="004E6CFB" w:rsidRDefault="004E6CFB" w:rsidP="004E6CFB">
            <w:pPr>
              <w:rPr>
                <w:b/>
                <w:bCs/>
              </w:rPr>
            </w:pPr>
            <w:r w:rsidRPr="004E6CFB">
              <w:rPr>
                <w:b/>
                <w:bCs/>
              </w:rPr>
              <w:t>Age and year of ICU admission as categori</w:t>
            </w:r>
            <w:r w:rsidR="002219B9">
              <w:rPr>
                <w:b/>
                <w:bCs/>
              </w:rPr>
              <w:t>c</w:t>
            </w:r>
            <w:r w:rsidRPr="004E6CFB">
              <w:rPr>
                <w:b/>
                <w:bCs/>
              </w:rPr>
              <w:t>al variables, overall population</w:t>
            </w:r>
          </w:p>
        </w:tc>
      </w:tr>
      <w:tr w:rsidR="004E6CFB" w:rsidRPr="004E6CFB" w:rsidTr="004E6CFB">
        <w:trPr>
          <w:trHeight w:val="300"/>
        </w:trPr>
        <w:tc>
          <w:tcPr>
            <w:tcW w:w="1684" w:type="dxa"/>
            <w:noWrap/>
            <w:hideMark/>
          </w:tcPr>
          <w:p w:rsidR="004E6CFB" w:rsidRPr="004E6CFB" w:rsidRDefault="004E6CFB" w:rsidP="004E6CFB">
            <w:r w:rsidRPr="004E6CFB">
              <w:t>AML</w:t>
            </w:r>
          </w:p>
        </w:tc>
        <w:tc>
          <w:tcPr>
            <w:tcW w:w="903" w:type="dxa"/>
            <w:noWrap/>
            <w:hideMark/>
          </w:tcPr>
          <w:p w:rsidR="004E6CFB" w:rsidRPr="004E6CFB" w:rsidRDefault="004E6CFB" w:rsidP="004E6CFB">
            <w:r w:rsidRPr="004E6CFB">
              <w:t>1,03135</w:t>
            </w:r>
          </w:p>
        </w:tc>
        <w:tc>
          <w:tcPr>
            <w:tcW w:w="903" w:type="dxa"/>
            <w:noWrap/>
            <w:hideMark/>
          </w:tcPr>
          <w:p w:rsidR="004E6CFB" w:rsidRPr="004E6CFB" w:rsidRDefault="004E6CFB" w:rsidP="004E6CFB">
            <w:r w:rsidRPr="004E6CFB">
              <w:t>1,005736</w:t>
            </w:r>
          </w:p>
        </w:tc>
        <w:tc>
          <w:tcPr>
            <w:tcW w:w="944" w:type="dxa"/>
            <w:noWrap/>
            <w:hideMark/>
          </w:tcPr>
          <w:p w:rsidR="004E6CFB" w:rsidRPr="004E6CFB" w:rsidRDefault="004E6CFB" w:rsidP="004E6CFB">
            <w:r w:rsidRPr="004E6CFB">
              <w:t>1,171343</w:t>
            </w:r>
          </w:p>
        </w:tc>
        <w:tc>
          <w:tcPr>
            <w:tcW w:w="903" w:type="dxa"/>
            <w:noWrap/>
            <w:hideMark/>
          </w:tcPr>
          <w:p w:rsidR="004E6CFB" w:rsidRPr="004E6CFB" w:rsidRDefault="004E6CFB" w:rsidP="004E6CFB">
            <w:r w:rsidRPr="004E6CFB">
              <w:t>1,015554</w:t>
            </w:r>
          </w:p>
        </w:tc>
        <w:tc>
          <w:tcPr>
            <w:tcW w:w="903" w:type="dxa"/>
            <w:noWrap/>
            <w:hideMark/>
          </w:tcPr>
          <w:p w:rsidR="004E6CFB" w:rsidRPr="004E6CFB" w:rsidRDefault="004E6CFB" w:rsidP="004E6CFB">
            <w:r w:rsidRPr="004E6CFB">
              <w:t>0,969603</w:t>
            </w:r>
          </w:p>
        </w:tc>
        <w:tc>
          <w:tcPr>
            <w:tcW w:w="1391" w:type="dxa"/>
            <w:noWrap/>
            <w:hideMark/>
          </w:tcPr>
          <w:p w:rsidR="004E6CFB" w:rsidRPr="004E6CFB" w:rsidRDefault="004E6CFB" w:rsidP="004E6CFB">
            <w:r w:rsidRPr="004E6CFB">
              <w:t>0,853721</w:t>
            </w:r>
          </w:p>
        </w:tc>
        <w:tc>
          <w:tcPr>
            <w:tcW w:w="1441" w:type="dxa"/>
            <w:noWrap/>
            <w:hideMark/>
          </w:tcPr>
          <w:p w:rsidR="004E6CFB" w:rsidRPr="004E6CFB" w:rsidRDefault="004E6CFB" w:rsidP="004E6CFB">
            <w:r w:rsidRPr="004E6CFB">
              <w:t>0,994297</w:t>
            </w:r>
          </w:p>
        </w:tc>
      </w:tr>
      <w:tr w:rsidR="004E6CFB" w:rsidRPr="004E6CFB" w:rsidTr="004E6CFB">
        <w:trPr>
          <w:trHeight w:val="300"/>
        </w:trPr>
        <w:tc>
          <w:tcPr>
            <w:tcW w:w="1684" w:type="dxa"/>
            <w:noWrap/>
            <w:hideMark/>
          </w:tcPr>
          <w:p w:rsidR="004E6CFB" w:rsidRPr="004E6CFB" w:rsidRDefault="004E6CFB" w:rsidP="004E6CFB">
            <w:r w:rsidRPr="004E6CFB">
              <w:t>Status</w:t>
            </w:r>
          </w:p>
        </w:tc>
        <w:tc>
          <w:tcPr>
            <w:tcW w:w="903" w:type="dxa"/>
            <w:noWrap/>
            <w:hideMark/>
          </w:tcPr>
          <w:p w:rsidR="004E6CFB" w:rsidRPr="004E6CFB" w:rsidRDefault="004E6CFB" w:rsidP="004E6CFB">
            <w:r w:rsidRPr="004E6CFB">
              <w:t>1,017589</w:t>
            </w:r>
          </w:p>
        </w:tc>
        <w:tc>
          <w:tcPr>
            <w:tcW w:w="903" w:type="dxa"/>
            <w:noWrap/>
            <w:hideMark/>
          </w:tcPr>
          <w:p w:rsidR="004E6CFB" w:rsidRPr="004E6CFB" w:rsidRDefault="004E6CFB" w:rsidP="004E6CFB">
            <w:r w:rsidRPr="004E6CFB">
              <w:t>1,000922</w:t>
            </w:r>
          </w:p>
        </w:tc>
        <w:tc>
          <w:tcPr>
            <w:tcW w:w="944" w:type="dxa"/>
            <w:noWrap/>
            <w:hideMark/>
          </w:tcPr>
          <w:p w:rsidR="004E6CFB" w:rsidRPr="004E6CFB" w:rsidRDefault="004E6CFB" w:rsidP="004E6CFB">
            <w:r w:rsidRPr="004E6CFB">
              <w:t>1,33568</w:t>
            </w:r>
          </w:p>
        </w:tc>
        <w:tc>
          <w:tcPr>
            <w:tcW w:w="903" w:type="dxa"/>
            <w:noWrap/>
            <w:hideMark/>
          </w:tcPr>
          <w:p w:rsidR="004E6CFB" w:rsidRPr="004E6CFB" w:rsidRDefault="004E6CFB" w:rsidP="004E6CFB">
            <w:r w:rsidRPr="004E6CFB">
              <w:t>1,008756</w:t>
            </w:r>
          </w:p>
        </w:tc>
        <w:tc>
          <w:tcPr>
            <w:tcW w:w="903" w:type="dxa"/>
            <w:noWrap/>
            <w:hideMark/>
          </w:tcPr>
          <w:p w:rsidR="004E6CFB" w:rsidRPr="004E6CFB" w:rsidRDefault="004E6CFB" w:rsidP="004E6CFB">
            <w:r w:rsidRPr="004E6CFB">
              <w:t>0,982715</w:t>
            </w:r>
          </w:p>
        </w:tc>
        <w:tc>
          <w:tcPr>
            <w:tcW w:w="1391" w:type="dxa"/>
            <w:noWrap/>
            <w:hideMark/>
          </w:tcPr>
          <w:p w:rsidR="004E6CFB" w:rsidRPr="004E6CFB" w:rsidRDefault="004E6CFB" w:rsidP="004E6CFB">
            <w:r w:rsidRPr="004E6CFB">
              <w:t>0,748682</w:t>
            </w:r>
          </w:p>
        </w:tc>
        <w:tc>
          <w:tcPr>
            <w:tcW w:w="1441" w:type="dxa"/>
            <w:noWrap/>
            <w:hideMark/>
          </w:tcPr>
          <w:p w:rsidR="004E6CFB" w:rsidRPr="004E6CFB" w:rsidRDefault="004E6CFB" w:rsidP="004E6CFB">
            <w:r w:rsidRPr="004E6CFB">
              <w:t>0,999079</w:t>
            </w:r>
          </w:p>
        </w:tc>
      </w:tr>
      <w:tr w:rsidR="004E6CFB" w:rsidRPr="004E6CFB" w:rsidTr="004E6CFB">
        <w:trPr>
          <w:trHeight w:val="300"/>
        </w:trPr>
        <w:tc>
          <w:tcPr>
            <w:tcW w:w="1684" w:type="dxa"/>
            <w:noWrap/>
            <w:hideMark/>
          </w:tcPr>
          <w:p w:rsidR="004E6CFB" w:rsidRPr="004E6CFB" w:rsidRDefault="004E6CFB" w:rsidP="004E6CFB">
            <w:r w:rsidRPr="004E6CFB">
              <w:t>Age</w:t>
            </w:r>
          </w:p>
        </w:tc>
        <w:tc>
          <w:tcPr>
            <w:tcW w:w="903" w:type="dxa"/>
            <w:noWrap/>
            <w:hideMark/>
          </w:tcPr>
          <w:p w:rsidR="004E6CFB" w:rsidRPr="004E6CFB" w:rsidRDefault="004E6CFB" w:rsidP="004E6CFB">
            <w:r w:rsidRPr="004E6CFB">
              <w:t>1,015378</w:t>
            </w:r>
          </w:p>
        </w:tc>
        <w:tc>
          <w:tcPr>
            <w:tcW w:w="903" w:type="dxa"/>
            <w:noWrap/>
            <w:hideMark/>
          </w:tcPr>
          <w:p w:rsidR="004E6CFB" w:rsidRPr="004E6CFB" w:rsidRDefault="004E6CFB" w:rsidP="004E6CFB">
            <w:r w:rsidRPr="004E6CFB">
              <w:t>1,000535</w:t>
            </w:r>
          </w:p>
        </w:tc>
        <w:tc>
          <w:tcPr>
            <w:tcW w:w="944" w:type="dxa"/>
            <w:noWrap/>
            <w:hideMark/>
          </w:tcPr>
          <w:p w:rsidR="004E6CFB" w:rsidRPr="004E6CFB" w:rsidRDefault="004E6CFB" w:rsidP="004E6CFB">
            <w:r w:rsidRPr="004E6CFB">
              <w:t>1,442046</w:t>
            </w:r>
          </w:p>
        </w:tc>
        <w:tc>
          <w:tcPr>
            <w:tcW w:w="903" w:type="dxa"/>
            <w:noWrap/>
            <w:hideMark/>
          </w:tcPr>
          <w:p w:rsidR="004E6CFB" w:rsidRPr="004E6CFB" w:rsidRDefault="004E6CFB" w:rsidP="004E6CFB">
            <w:r w:rsidRPr="004E6CFB">
              <w:t>1,007659</w:t>
            </w:r>
          </w:p>
        </w:tc>
        <w:tc>
          <w:tcPr>
            <w:tcW w:w="903" w:type="dxa"/>
            <w:noWrap/>
            <w:hideMark/>
          </w:tcPr>
          <w:p w:rsidR="004E6CFB" w:rsidRPr="004E6CFB" w:rsidRDefault="004E6CFB" w:rsidP="004E6CFB">
            <w:r w:rsidRPr="004E6CFB">
              <w:t>0,984855</w:t>
            </w:r>
          </w:p>
        </w:tc>
        <w:tc>
          <w:tcPr>
            <w:tcW w:w="1391" w:type="dxa"/>
            <w:noWrap/>
            <w:hideMark/>
          </w:tcPr>
          <w:p w:rsidR="004E6CFB" w:rsidRPr="004E6CFB" w:rsidRDefault="004E6CFB" w:rsidP="004E6CFB">
            <w:r w:rsidRPr="004E6CFB">
              <w:t>0,693459</w:t>
            </w:r>
          </w:p>
        </w:tc>
        <w:tc>
          <w:tcPr>
            <w:tcW w:w="1441" w:type="dxa"/>
            <w:noWrap/>
            <w:hideMark/>
          </w:tcPr>
          <w:p w:rsidR="004E6CFB" w:rsidRPr="004E6CFB" w:rsidRDefault="004E6CFB" w:rsidP="004E6CFB">
            <w:r w:rsidRPr="004E6CFB">
              <w:t>0,999465</w:t>
            </w:r>
          </w:p>
        </w:tc>
      </w:tr>
      <w:tr w:rsidR="004E6CFB" w:rsidRPr="004E6CFB" w:rsidTr="004E6CFB">
        <w:trPr>
          <w:trHeight w:val="300"/>
        </w:trPr>
        <w:tc>
          <w:tcPr>
            <w:tcW w:w="1684" w:type="dxa"/>
            <w:noWrap/>
            <w:hideMark/>
          </w:tcPr>
          <w:p w:rsidR="004E6CFB" w:rsidRPr="004E6CFB" w:rsidRDefault="004E6CFB" w:rsidP="004E6CFB">
            <w:proofErr w:type="spellStart"/>
            <w:r w:rsidRPr="004E6CFB">
              <w:t>YearAdmission</w:t>
            </w:r>
            <w:proofErr w:type="spellEnd"/>
          </w:p>
        </w:tc>
        <w:tc>
          <w:tcPr>
            <w:tcW w:w="903" w:type="dxa"/>
            <w:noWrap/>
            <w:hideMark/>
          </w:tcPr>
          <w:p w:rsidR="004E6CFB" w:rsidRPr="004E6CFB" w:rsidRDefault="004E6CFB" w:rsidP="004E6CFB">
            <w:r w:rsidRPr="004E6CFB">
              <w:t>1,023681</w:t>
            </w:r>
          </w:p>
        </w:tc>
        <w:tc>
          <w:tcPr>
            <w:tcW w:w="903" w:type="dxa"/>
            <w:noWrap/>
            <w:hideMark/>
          </w:tcPr>
          <w:p w:rsidR="004E6CFB" w:rsidRPr="004E6CFB" w:rsidRDefault="004E6CFB" w:rsidP="004E6CFB">
            <w:r w:rsidRPr="004E6CFB">
              <w:t>1,002582</w:t>
            </w:r>
          </w:p>
        </w:tc>
        <w:tc>
          <w:tcPr>
            <w:tcW w:w="944" w:type="dxa"/>
            <w:noWrap/>
            <w:hideMark/>
          </w:tcPr>
          <w:p w:rsidR="004E6CFB" w:rsidRPr="004E6CFB" w:rsidRDefault="004E6CFB" w:rsidP="004E6CFB">
            <w:r w:rsidRPr="004E6CFB">
              <w:t>1,217172</w:t>
            </w:r>
          </w:p>
        </w:tc>
        <w:tc>
          <w:tcPr>
            <w:tcW w:w="903" w:type="dxa"/>
            <w:noWrap/>
            <w:hideMark/>
          </w:tcPr>
          <w:p w:rsidR="004E6CFB" w:rsidRPr="004E6CFB" w:rsidRDefault="004E6CFB" w:rsidP="004E6CFB">
            <w:r w:rsidRPr="004E6CFB">
              <w:t>1,011771</w:t>
            </w:r>
          </w:p>
        </w:tc>
        <w:tc>
          <w:tcPr>
            <w:tcW w:w="903" w:type="dxa"/>
            <w:noWrap/>
            <w:hideMark/>
          </w:tcPr>
          <w:p w:rsidR="004E6CFB" w:rsidRPr="004E6CFB" w:rsidRDefault="004E6CFB" w:rsidP="004E6CFB">
            <w:r w:rsidRPr="004E6CFB">
              <w:t>0,976866</w:t>
            </w:r>
          </w:p>
        </w:tc>
        <w:tc>
          <w:tcPr>
            <w:tcW w:w="1391" w:type="dxa"/>
            <w:noWrap/>
            <w:hideMark/>
          </w:tcPr>
          <w:p w:rsidR="004E6CFB" w:rsidRPr="004E6CFB" w:rsidRDefault="004E6CFB" w:rsidP="004E6CFB">
            <w:r w:rsidRPr="004E6CFB">
              <w:t>0,821577</w:t>
            </w:r>
          </w:p>
        </w:tc>
        <w:tc>
          <w:tcPr>
            <w:tcW w:w="1441" w:type="dxa"/>
            <w:noWrap/>
            <w:hideMark/>
          </w:tcPr>
          <w:p w:rsidR="004E6CFB" w:rsidRPr="004E6CFB" w:rsidRDefault="004E6CFB" w:rsidP="004E6CFB">
            <w:r w:rsidRPr="004E6CFB">
              <w:t>0,997424</w:t>
            </w:r>
          </w:p>
        </w:tc>
      </w:tr>
      <w:tr w:rsidR="004E6CFB" w:rsidRPr="004E6CFB" w:rsidTr="004E6CFB">
        <w:trPr>
          <w:trHeight w:val="300"/>
        </w:trPr>
        <w:tc>
          <w:tcPr>
            <w:tcW w:w="1684" w:type="dxa"/>
            <w:noWrap/>
            <w:hideMark/>
          </w:tcPr>
          <w:p w:rsidR="004E6CFB" w:rsidRPr="004E6CFB" w:rsidRDefault="004E6CFB" w:rsidP="004E6CFB">
            <w:proofErr w:type="spellStart"/>
            <w:r w:rsidRPr="004E6CFB">
              <w:t>LifeSustainingTherapy</w:t>
            </w:r>
            <w:proofErr w:type="spellEnd"/>
          </w:p>
        </w:tc>
        <w:tc>
          <w:tcPr>
            <w:tcW w:w="903" w:type="dxa"/>
            <w:noWrap/>
            <w:hideMark/>
          </w:tcPr>
          <w:p w:rsidR="004E6CFB" w:rsidRPr="004E6CFB" w:rsidRDefault="004E6CFB" w:rsidP="004E6CFB">
            <w:r w:rsidRPr="004E6CFB">
              <w:t>1,018652</w:t>
            </w:r>
          </w:p>
        </w:tc>
        <w:tc>
          <w:tcPr>
            <w:tcW w:w="903" w:type="dxa"/>
            <w:noWrap/>
            <w:hideMark/>
          </w:tcPr>
          <w:p w:rsidR="004E6CFB" w:rsidRPr="004E6CFB" w:rsidRDefault="004E6CFB" w:rsidP="004E6CFB">
            <w:r w:rsidRPr="004E6CFB">
              <w:t>1,00115</w:t>
            </w:r>
          </w:p>
        </w:tc>
        <w:tc>
          <w:tcPr>
            <w:tcW w:w="944" w:type="dxa"/>
            <w:noWrap/>
            <w:hideMark/>
          </w:tcPr>
          <w:p w:rsidR="004E6CFB" w:rsidRPr="004E6CFB" w:rsidRDefault="004E6CFB" w:rsidP="004E6CFB">
            <w:r w:rsidRPr="004E6CFB">
              <w:t>1,302624</w:t>
            </w:r>
          </w:p>
        </w:tc>
        <w:tc>
          <w:tcPr>
            <w:tcW w:w="903" w:type="dxa"/>
            <w:noWrap/>
            <w:hideMark/>
          </w:tcPr>
          <w:p w:rsidR="004E6CFB" w:rsidRPr="004E6CFB" w:rsidRDefault="004E6CFB" w:rsidP="004E6CFB">
            <w:r w:rsidRPr="004E6CFB">
              <w:t>1,009283</w:t>
            </w:r>
          </w:p>
        </w:tc>
        <w:tc>
          <w:tcPr>
            <w:tcW w:w="903" w:type="dxa"/>
            <w:noWrap/>
            <w:hideMark/>
          </w:tcPr>
          <w:p w:rsidR="004E6CFB" w:rsidRPr="004E6CFB" w:rsidRDefault="004E6CFB" w:rsidP="004E6CFB">
            <w:r w:rsidRPr="004E6CFB">
              <w:t>0,98169</w:t>
            </w:r>
          </w:p>
        </w:tc>
        <w:tc>
          <w:tcPr>
            <w:tcW w:w="1391" w:type="dxa"/>
            <w:noWrap/>
            <w:hideMark/>
          </w:tcPr>
          <w:p w:rsidR="004E6CFB" w:rsidRPr="004E6CFB" w:rsidRDefault="004E6CFB" w:rsidP="004E6CFB">
            <w:r w:rsidRPr="004E6CFB">
              <w:t>0,767681</w:t>
            </w:r>
          </w:p>
        </w:tc>
        <w:tc>
          <w:tcPr>
            <w:tcW w:w="1441" w:type="dxa"/>
            <w:noWrap/>
            <w:hideMark/>
          </w:tcPr>
          <w:p w:rsidR="004E6CFB" w:rsidRPr="004E6CFB" w:rsidRDefault="004E6CFB" w:rsidP="004E6CFB">
            <w:r w:rsidRPr="004E6CFB">
              <w:t>0,998852</w:t>
            </w:r>
          </w:p>
        </w:tc>
      </w:tr>
      <w:tr w:rsidR="004E6CFB" w:rsidRPr="004E6CFB" w:rsidTr="004E6CFB">
        <w:trPr>
          <w:trHeight w:val="300"/>
        </w:trPr>
        <w:tc>
          <w:tcPr>
            <w:tcW w:w="9072" w:type="dxa"/>
            <w:gridSpan w:val="8"/>
            <w:noWrap/>
            <w:hideMark/>
          </w:tcPr>
          <w:p w:rsidR="004E6CFB" w:rsidRPr="004E6CFB" w:rsidRDefault="004E6CFB" w:rsidP="004E6CFB">
            <w:pPr>
              <w:rPr>
                <w:b/>
                <w:bCs/>
              </w:rPr>
            </w:pPr>
            <w:r w:rsidRPr="004E6CFB">
              <w:rPr>
                <w:b/>
                <w:bCs/>
              </w:rPr>
              <w:t>Age and year of ICU admission as categorial variables, intubated patients</w:t>
            </w:r>
          </w:p>
        </w:tc>
      </w:tr>
      <w:tr w:rsidR="004E6CFB" w:rsidRPr="004E6CFB" w:rsidTr="004E6CFB">
        <w:trPr>
          <w:trHeight w:val="300"/>
        </w:trPr>
        <w:tc>
          <w:tcPr>
            <w:tcW w:w="1684" w:type="dxa"/>
            <w:noWrap/>
            <w:hideMark/>
          </w:tcPr>
          <w:p w:rsidR="004E6CFB" w:rsidRPr="004E6CFB" w:rsidRDefault="004E6CFB" w:rsidP="004E6CFB">
            <w:r w:rsidRPr="004E6CFB">
              <w:lastRenderedPageBreak/>
              <w:t>AML</w:t>
            </w:r>
          </w:p>
        </w:tc>
        <w:tc>
          <w:tcPr>
            <w:tcW w:w="903" w:type="dxa"/>
            <w:noWrap/>
            <w:hideMark/>
          </w:tcPr>
          <w:p w:rsidR="004E6CFB" w:rsidRPr="004E6CFB" w:rsidRDefault="004E6CFB" w:rsidP="004E6CFB">
            <w:r w:rsidRPr="004E6CFB">
              <w:t>1,046592</w:t>
            </w:r>
          </w:p>
        </w:tc>
        <w:tc>
          <w:tcPr>
            <w:tcW w:w="903" w:type="dxa"/>
            <w:noWrap/>
            <w:hideMark/>
          </w:tcPr>
          <w:p w:rsidR="004E6CFB" w:rsidRPr="004E6CFB" w:rsidRDefault="004E6CFB" w:rsidP="004E6CFB">
            <w:r w:rsidRPr="004E6CFB">
              <w:t>1,009308</w:t>
            </w:r>
          </w:p>
        </w:tc>
        <w:tc>
          <w:tcPr>
            <w:tcW w:w="944" w:type="dxa"/>
            <w:noWrap/>
            <w:hideMark/>
          </w:tcPr>
          <w:p w:rsidR="004E6CFB" w:rsidRPr="004E6CFB" w:rsidRDefault="004E6CFB" w:rsidP="004E6CFB">
            <w:r w:rsidRPr="004E6CFB">
              <w:t>1,233217</w:t>
            </w:r>
          </w:p>
        </w:tc>
        <w:tc>
          <w:tcPr>
            <w:tcW w:w="903" w:type="dxa"/>
            <w:noWrap/>
            <w:hideMark/>
          </w:tcPr>
          <w:p w:rsidR="004E6CFB" w:rsidRPr="004E6CFB" w:rsidRDefault="004E6CFB" w:rsidP="004E6CFB">
            <w:r w:rsidRPr="004E6CFB">
              <w:t>1,023031</w:t>
            </w:r>
          </w:p>
        </w:tc>
        <w:tc>
          <w:tcPr>
            <w:tcW w:w="903" w:type="dxa"/>
            <w:noWrap/>
            <w:hideMark/>
          </w:tcPr>
          <w:p w:rsidR="004E6CFB" w:rsidRPr="004E6CFB" w:rsidRDefault="004E6CFB" w:rsidP="004E6CFB">
            <w:r w:rsidRPr="004E6CFB">
              <w:t>0,955483</w:t>
            </w:r>
          </w:p>
        </w:tc>
        <w:tc>
          <w:tcPr>
            <w:tcW w:w="1391" w:type="dxa"/>
            <w:noWrap/>
            <w:hideMark/>
          </w:tcPr>
          <w:p w:rsidR="004E6CFB" w:rsidRPr="004E6CFB" w:rsidRDefault="004E6CFB" w:rsidP="004E6CFB">
            <w:r w:rsidRPr="004E6CFB">
              <w:t>0,810888</w:t>
            </w:r>
          </w:p>
        </w:tc>
        <w:tc>
          <w:tcPr>
            <w:tcW w:w="1441" w:type="dxa"/>
            <w:noWrap/>
            <w:hideMark/>
          </w:tcPr>
          <w:p w:rsidR="004E6CFB" w:rsidRPr="004E6CFB" w:rsidRDefault="004E6CFB" w:rsidP="004E6CFB">
            <w:r w:rsidRPr="004E6CFB">
              <w:t>0,990778</w:t>
            </w:r>
          </w:p>
        </w:tc>
      </w:tr>
      <w:tr w:rsidR="004E6CFB" w:rsidRPr="004E6CFB" w:rsidTr="004E6CFB">
        <w:trPr>
          <w:trHeight w:val="300"/>
        </w:trPr>
        <w:tc>
          <w:tcPr>
            <w:tcW w:w="1684" w:type="dxa"/>
            <w:noWrap/>
            <w:hideMark/>
          </w:tcPr>
          <w:p w:rsidR="004E6CFB" w:rsidRPr="004E6CFB" w:rsidRDefault="004E6CFB" w:rsidP="004E6CFB">
            <w:r w:rsidRPr="004E6CFB">
              <w:t>Status</w:t>
            </w:r>
          </w:p>
        </w:tc>
        <w:tc>
          <w:tcPr>
            <w:tcW w:w="903" w:type="dxa"/>
            <w:noWrap/>
            <w:hideMark/>
          </w:tcPr>
          <w:p w:rsidR="004E6CFB" w:rsidRPr="004E6CFB" w:rsidRDefault="004E6CFB" w:rsidP="004E6CFB">
            <w:r w:rsidRPr="004E6CFB">
              <w:t>1,027888</w:t>
            </w:r>
          </w:p>
        </w:tc>
        <w:tc>
          <w:tcPr>
            <w:tcW w:w="903" w:type="dxa"/>
            <w:noWrap/>
            <w:hideMark/>
          </w:tcPr>
          <w:p w:rsidR="004E6CFB" w:rsidRPr="004E6CFB" w:rsidRDefault="004E6CFB" w:rsidP="004E6CFB">
            <w:r w:rsidRPr="004E6CFB">
              <w:t>1,002074</w:t>
            </w:r>
          </w:p>
        </w:tc>
        <w:tc>
          <w:tcPr>
            <w:tcW w:w="944" w:type="dxa"/>
            <w:noWrap/>
            <w:hideMark/>
          </w:tcPr>
          <w:p w:rsidR="004E6CFB" w:rsidRPr="004E6CFB" w:rsidRDefault="004E6CFB" w:rsidP="004E6CFB">
            <w:r w:rsidRPr="004E6CFB">
              <w:t>1,37496</w:t>
            </w:r>
          </w:p>
        </w:tc>
        <w:tc>
          <w:tcPr>
            <w:tcW w:w="903" w:type="dxa"/>
            <w:noWrap/>
            <w:hideMark/>
          </w:tcPr>
          <w:p w:rsidR="004E6CFB" w:rsidRPr="004E6CFB" w:rsidRDefault="004E6CFB" w:rsidP="004E6CFB">
            <w:r w:rsidRPr="004E6CFB">
              <w:t>1,013848</w:t>
            </w:r>
          </w:p>
        </w:tc>
        <w:tc>
          <w:tcPr>
            <w:tcW w:w="903" w:type="dxa"/>
            <w:noWrap/>
            <w:hideMark/>
          </w:tcPr>
          <w:p w:rsidR="004E6CFB" w:rsidRPr="004E6CFB" w:rsidRDefault="004E6CFB" w:rsidP="004E6CFB">
            <w:r w:rsidRPr="004E6CFB">
              <w:t>0,972869</w:t>
            </w:r>
          </w:p>
        </w:tc>
        <w:tc>
          <w:tcPr>
            <w:tcW w:w="1391" w:type="dxa"/>
            <w:noWrap/>
            <w:hideMark/>
          </w:tcPr>
          <w:p w:rsidR="004E6CFB" w:rsidRPr="004E6CFB" w:rsidRDefault="004E6CFB" w:rsidP="004E6CFB">
            <w:r w:rsidRPr="004E6CFB">
              <w:t>0,727294</w:t>
            </w:r>
          </w:p>
        </w:tc>
        <w:tc>
          <w:tcPr>
            <w:tcW w:w="1441" w:type="dxa"/>
            <w:noWrap/>
            <w:hideMark/>
          </w:tcPr>
          <w:p w:rsidR="004E6CFB" w:rsidRPr="004E6CFB" w:rsidRDefault="004E6CFB" w:rsidP="004E6CFB">
            <w:r w:rsidRPr="004E6CFB">
              <w:t>0,99793</w:t>
            </w:r>
          </w:p>
        </w:tc>
      </w:tr>
      <w:tr w:rsidR="004E6CFB" w:rsidRPr="004E6CFB" w:rsidTr="004E6CFB">
        <w:trPr>
          <w:trHeight w:val="300"/>
        </w:trPr>
        <w:tc>
          <w:tcPr>
            <w:tcW w:w="1684" w:type="dxa"/>
            <w:noWrap/>
            <w:hideMark/>
          </w:tcPr>
          <w:p w:rsidR="004E6CFB" w:rsidRPr="004E6CFB" w:rsidRDefault="004E6CFB" w:rsidP="004E6CFB">
            <w:r w:rsidRPr="004E6CFB">
              <w:t>Age</w:t>
            </w:r>
          </w:p>
        </w:tc>
        <w:tc>
          <w:tcPr>
            <w:tcW w:w="903" w:type="dxa"/>
            <w:noWrap/>
            <w:hideMark/>
          </w:tcPr>
          <w:p w:rsidR="004E6CFB" w:rsidRPr="004E6CFB" w:rsidRDefault="004E6CFB" w:rsidP="004E6CFB">
            <w:r w:rsidRPr="004E6CFB">
              <w:t>1,017429</w:t>
            </w:r>
          </w:p>
        </w:tc>
        <w:tc>
          <w:tcPr>
            <w:tcW w:w="903" w:type="dxa"/>
            <w:noWrap/>
            <w:hideMark/>
          </w:tcPr>
          <w:p w:rsidR="004E6CFB" w:rsidRPr="004E6CFB" w:rsidRDefault="004E6CFB" w:rsidP="004E6CFB">
            <w:r w:rsidRPr="004E6CFB">
              <w:t>1,000296</w:t>
            </w:r>
          </w:p>
        </w:tc>
        <w:tc>
          <w:tcPr>
            <w:tcW w:w="944" w:type="dxa"/>
            <w:noWrap/>
            <w:hideMark/>
          </w:tcPr>
          <w:p w:rsidR="004E6CFB" w:rsidRPr="004E6CFB" w:rsidRDefault="004E6CFB" w:rsidP="004E6CFB">
            <w:r w:rsidRPr="004E6CFB">
              <w:t>2,026401</w:t>
            </w:r>
          </w:p>
        </w:tc>
        <w:tc>
          <w:tcPr>
            <w:tcW w:w="903" w:type="dxa"/>
            <w:noWrap/>
            <w:hideMark/>
          </w:tcPr>
          <w:p w:rsidR="004E6CFB" w:rsidRPr="004E6CFB" w:rsidRDefault="004E6CFB" w:rsidP="004E6CFB">
            <w:r w:rsidRPr="004E6CFB">
              <w:t>1,008677</w:t>
            </w:r>
          </w:p>
        </w:tc>
        <w:tc>
          <w:tcPr>
            <w:tcW w:w="903" w:type="dxa"/>
            <w:noWrap/>
            <w:hideMark/>
          </w:tcPr>
          <w:p w:rsidR="004E6CFB" w:rsidRPr="004E6CFB" w:rsidRDefault="004E6CFB" w:rsidP="004E6CFB">
            <w:r w:rsidRPr="004E6CFB">
              <w:t>0,98287</w:t>
            </w:r>
          </w:p>
        </w:tc>
        <w:tc>
          <w:tcPr>
            <w:tcW w:w="1391" w:type="dxa"/>
            <w:noWrap/>
            <w:hideMark/>
          </w:tcPr>
          <w:p w:rsidR="004E6CFB" w:rsidRPr="004E6CFB" w:rsidRDefault="004E6CFB" w:rsidP="004E6CFB">
            <w:r w:rsidRPr="004E6CFB">
              <w:t>0,493486</w:t>
            </w:r>
          </w:p>
        </w:tc>
        <w:tc>
          <w:tcPr>
            <w:tcW w:w="1441" w:type="dxa"/>
            <w:noWrap/>
            <w:hideMark/>
          </w:tcPr>
          <w:p w:rsidR="004E6CFB" w:rsidRPr="004E6CFB" w:rsidRDefault="004E6CFB" w:rsidP="004E6CFB">
            <w:r w:rsidRPr="004E6CFB">
              <w:t>0,999704</w:t>
            </w:r>
          </w:p>
        </w:tc>
      </w:tr>
      <w:tr w:rsidR="004E6CFB" w:rsidRPr="004E6CFB" w:rsidTr="004E6CFB">
        <w:trPr>
          <w:trHeight w:val="300"/>
        </w:trPr>
        <w:tc>
          <w:tcPr>
            <w:tcW w:w="1684" w:type="dxa"/>
            <w:noWrap/>
            <w:hideMark/>
          </w:tcPr>
          <w:p w:rsidR="004E6CFB" w:rsidRPr="004E6CFB" w:rsidRDefault="004E6CFB" w:rsidP="004E6CFB">
            <w:proofErr w:type="spellStart"/>
            <w:r w:rsidRPr="004E6CFB">
              <w:t>YearAdmission</w:t>
            </w:r>
            <w:proofErr w:type="spellEnd"/>
          </w:p>
        </w:tc>
        <w:tc>
          <w:tcPr>
            <w:tcW w:w="903" w:type="dxa"/>
            <w:noWrap/>
            <w:hideMark/>
          </w:tcPr>
          <w:p w:rsidR="004E6CFB" w:rsidRPr="004E6CFB" w:rsidRDefault="004E6CFB" w:rsidP="004E6CFB">
            <w:r w:rsidRPr="004E6CFB">
              <w:t>1,027599</w:t>
            </w:r>
          </w:p>
        </w:tc>
        <w:tc>
          <w:tcPr>
            <w:tcW w:w="903" w:type="dxa"/>
            <w:noWrap/>
            <w:hideMark/>
          </w:tcPr>
          <w:p w:rsidR="004E6CFB" w:rsidRPr="004E6CFB" w:rsidRDefault="004E6CFB" w:rsidP="004E6CFB">
            <w:r w:rsidRPr="004E6CFB">
              <w:t>1,002</w:t>
            </w:r>
          </w:p>
        </w:tc>
        <w:tc>
          <w:tcPr>
            <w:tcW w:w="944" w:type="dxa"/>
            <w:noWrap/>
            <w:hideMark/>
          </w:tcPr>
          <w:p w:rsidR="004E6CFB" w:rsidRPr="004E6CFB" w:rsidRDefault="004E6CFB" w:rsidP="004E6CFB">
            <w:r w:rsidRPr="004E6CFB">
              <w:t>1,380765</w:t>
            </w:r>
          </w:p>
        </w:tc>
        <w:tc>
          <w:tcPr>
            <w:tcW w:w="903" w:type="dxa"/>
            <w:noWrap/>
            <w:hideMark/>
          </w:tcPr>
          <w:p w:rsidR="004E6CFB" w:rsidRPr="004E6CFB" w:rsidRDefault="004E6CFB" w:rsidP="004E6CFB">
            <w:r w:rsidRPr="004E6CFB">
              <w:t>1,013705</w:t>
            </w:r>
          </w:p>
        </w:tc>
        <w:tc>
          <w:tcPr>
            <w:tcW w:w="903" w:type="dxa"/>
            <w:noWrap/>
            <w:hideMark/>
          </w:tcPr>
          <w:p w:rsidR="004E6CFB" w:rsidRPr="004E6CFB" w:rsidRDefault="004E6CFB" w:rsidP="004E6CFB">
            <w:r w:rsidRPr="004E6CFB">
              <w:t>0,973142</w:t>
            </w:r>
          </w:p>
        </w:tc>
        <w:tc>
          <w:tcPr>
            <w:tcW w:w="1391" w:type="dxa"/>
            <w:noWrap/>
            <w:hideMark/>
          </w:tcPr>
          <w:p w:rsidR="004E6CFB" w:rsidRPr="004E6CFB" w:rsidRDefault="004E6CFB" w:rsidP="004E6CFB">
            <w:r w:rsidRPr="004E6CFB">
              <w:t>0,724236</w:t>
            </w:r>
          </w:p>
        </w:tc>
        <w:tc>
          <w:tcPr>
            <w:tcW w:w="1441" w:type="dxa"/>
            <w:noWrap/>
            <w:hideMark/>
          </w:tcPr>
          <w:p w:rsidR="004E6CFB" w:rsidRPr="004E6CFB" w:rsidRDefault="004E6CFB" w:rsidP="004E6CFB">
            <w:r w:rsidRPr="004E6CFB">
              <w:t>0,998004</w:t>
            </w:r>
          </w:p>
        </w:tc>
      </w:tr>
      <w:tr w:rsidR="004E6CFB" w:rsidRPr="004E6CFB" w:rsidTr="004E6CFB">
        <w:trPr>
          <w:trHeight w:val="300"/>
        </w:trPr>
        <w:tc>
          <w:tcPr>
            <w:tcW w:w="1684" w:type="dxa"/>
            <w:noWrap/>
            <w:hideMark/>
          </w:tcPr>
          <w:p w:rsidR="004E6CFB" w:rsidRPr="004E6CFB" w:rsidRDefault="004E6CFB" w:rsidP="004E6CFB">
            <w:proofErr w:type="spellStart"/>
            <w:r w:rsidRPr="004E6CFB">
              <w:t>VasopressorsOrRRT</w:t>
            </w:r>
            <w:proofErr w:type="spellEnd"/>
          </w:p>
        </w:tc>
        <w:tc>
          <w:tcPr>
            <w:tcW w:w="903" w:type="dxa"/>
            <w:noWrap/>
            <w:hideMark/>
          </w:tcPr>
          <w:p w:rsidR="004E6CFB" w:rsidRPr="004E6CFB" w:rsidRDefault="004E6CFB" w:rsidP="004E6CFB">
            <w:r w:rsidRPr="004E6CFB">
              <w:t>1,013905</w:t>
            </w:r>
          </w:p>
        </w:tc>
        <w:tc>
          <w:tcPr>
            <w:tcW w:w="903" w:type="dxa"/>
            <w:noWrap/>
            <w:hideMark/>
          </w:tcPr>
          <w:p w:rsidR="004E6CFB" w:rsidRPr="004E6CFB" w:rsidRDefault="004E6CFB" w:rsidP="004E6CFB">
            <w:r w:rsidRPr="004E6CFB">
              <w:t>1,000087</w:t>
            </w:r>
          </w:p>
        </w:tc>
        <w:tc>
          <w:tcPr>
            <w:tcW w:w="944" w:type="dxa"/>
            <w:noWrap/>
            <w:hideMark/>
          </w:tcPr>
          <w:p w:rsidR="004E6CFB" w:rsidRPr="004E6CFB" w:rsidRDefault="004E6CFB" w:rsidP="004E6CFB">
            <w:r w:rsidRPr="004E6CFB">
              <w:t>3,221916</w:t>
            </w:r>
          </w:p>
        </w:tc>
        <w:tc>
          <w:tcPr>
            <w:tcW w:w="903" w:type="dxa"/>
            <w:noWrap/>
            <w:hideMark/>
          </w:tcPr>
          <w:p w:rsidR="004E6CFB" w:rsidRPr="004E6CFB" w:rsidRDefault="004E6CFB" w:rsidP="004E6CFB">
            <w:r w:rsidRPr="004E6CFB">
              <w:t>1,006928</w:t>
            </w:r>
          </w:p>
        </w:tc>
        <w:tc>
          <w:tcPr>
            <w:tcW w:w="903" w:type="dxa"/>
            <w:noWrap/>
            <w:hideMark/>
          </w:tcPr>
          <w:p w:rsidR="004E6CFB" w:rsidRPr="004E6CFB" w:rsidRDefault="004E6CFB" w:rsidP="004E6CFB">
            <w:r w:rsidRPr="004E6CFB">
              <w:t>0,986286</w:t>
            </w:r>
          </w:p>
        </w:tc>
        <w:tc>
          <w:tcPr>
            <w:tcW w:w="1391" w:type="dxa"/>
            <w:noWrap/>
            <w:hideMark/>
          </w:tcPr>
          <w:p w:rsidR="004E6CFB" w:rsidRPr="004E6CFB" w:rsidRDefault="004E6CFB" w:rsidP="004E6CFB">
            <w:r w:rsidRPr="004E6CFB">
              <w:t>0,310374</w:t>
            </w:r>
          </w:p>
        </w:tc>
        <w:tc>
          <w:tcPr>
            <w:tcW w:w="1441" w:type="dxa"/>
            <w:noWrap/>
            <w:hideMark/>
          </w:tcPr>
          <w:p w:rsidR="004E6CFB" w:rsidRPr="004E6CFB" w:rsidRDefault="004E6CFB" w:rsidP="004E6CFB">
            <w:r w:rsidRPr="004E6CFB">
              <w:t>0,999913</w:t>
            </w:r>
          </w:p>
        </w:tc>
      </w:tr>
      <w:tr w:rsidR="004E6CFB" w:rsidRPr="004E6CFB" w:rsidTr="004E6CFB">
        <w:trPr>
          <w:trHeight w:val="300"/>
        </w:trPr>
        <w:tc>
          <w:tcPr>
            <w:tcW w:w="9072" w:type="dxa"/>
            <w:gridSpan w:val="8"/>
            <w:noWrap/>
            <w:hideMark/>
          </w:tcPr>
          <w:p w:rsidR="004E6CFB" w:rsidRPr="004E6CFB" w:rsidRDefault="004E6CFB" w:rsidP="004E6CFB">
            <w:pPr>
              <w:rPr>
                <w:b/>
                <w:bCs/>
              </w:rPr>
            </w:pPr>
            <w:r w:rsidRPr="004E6CFB">
              <w:rPr>
                <w:b/>
                <w:bCs/>
              </w:rPr>
              <w:t>Age and year of ICU admission as continuous variables, overall population</w:t>
            </w:r>
          </w:p>
        </w:tc>
      </w:tr>
      <w:tr w:rsidR="004E6CFB" w:rsidRPr="004E6CFB" w:rsidTr="004E6CFB">
        <w:trPr>
          <w:trHeight w:val="300"/>
        </w:trPr>
        <w:tc>
          <w:tcPr>
            <w:tcW w:w="1684" w:type="dxa"/>
            <w:noWrap/>
            <w:hideMark/>
          </w:tcPr>
          <w:p w:rsidR="004E6CFB" w:rsidRPr="004E6CFB" w:rsidRDefault="004E6CFB" w:rsidP="004E6CFB">
            <w:r w:rsidRPr="004E6CFB">
              <w:t>AML</w:t>
            </w:r>
          </w:p>
        </w:tc>
        <w:tc>
          <w:tcPr>
            <w:tcW w:w="903" w:type="dxa"/>
            <w:noWrap/>
            <w:hideMark/>
          </w:tcPr>
          <w:p w:rsidR="004E6CFB" w:rsidRPr="004E6CFB" w:rsidRDefault="004E6CFB" w:rsidP="004E6CFB">
            <w:r w:rsidRPr="004E6CFB">
              <w:t>1,013901</w:t>
            </w:r>
          </w:p>
        </w:tc>
        <w:tc>
          <w:tcPr>
            <w:tcW w:w="903" w:type="dxa"/>
            <w:noWrap/>
            <w:hideMark/>
          </w:tcPr>
          <w:p w:rsidR="004E6CFB" w:rsidRPr="004E6CFB" w:rsidRDefault="004E6CFB" w:rsidP="004E6CFB">
            <w:r w:rsidRPr="004E6CFB">
              <w:t>1,000342</w:t>
            </w:r>
          </w:p>
        </w:tc>
        <w:tc>
          <w:tcPr>
            <w:tcW w:w="944" w:type="dxa"/>
            <w:noWrap/>
            <w:hideMark/>
          </w:tcPr>
          <w:p w:rsidR="004E6CFB" w:rsidRPr="004E6CFB" w:rsidRDefault="004E6CFB" w:rsidP="004E6CFB">
            <w:r w:rsidRPr="004E6CFB">
              <w:t>1,564912</w:t>
            </w:r>
          </w:p>
        </w:tc>
        <w:tc>
          <w:tcPr>
            <w:tcW w:w="903" w:type="dxa"/>
            <w:noWrap/>
            <w:hideMark/>
          </w:tcPr>
          <w:p w:rsidR="004E6CFB" w:rsidRPr="004E6CFB" w:rsidRDefault="004E6CFB" w:rsidP="004E6CFB">
            <w:r w:rsidRPr="004E6CFB">
              <w:t>1,006926</w:t>
            </w:r>
          </w:p>
        </w:tc>
        <w:tc>
          <w:tcPr>
            <w:tcW w:w="903" w:type="dxa"/>
            <w:noWrap/>
            <w:hideMark/>
          </w:tcPr>
          <w:p w:rsidR="004E6CFB" w:rsidRPr="004E6CFB" w:rsidRDefault="004E6CFB" w:rsidP="004E6CFB">
            <w:r w:rsidRPr="004E6CFB">
              <w:t>0,98629</w:t>
            </w:r>
          </w:p>
        </w:tc>
        <w:tc>
          <w:tcPr>
            <w:tcW w:w="1391" w:type="dxa"/>
            <w:noWrap/>
            <w:hideMark/>
          </w:tcPr>
          <w:p w:rsidR="004E6CFB" w:rsidRPr="004E6CFB" w:rsidRDefault="004E6CFB" w:rsidP="004E6CFB">
            <w:r w:rsidRPr="004E6CFB">
              <w:t>0,639014</w:t>
            </w:r>
          </w:p>
        </w:tc>
        <w:tc>
          <w:tcPr>
            <w:tcW w:w="1441" w:type="dxa"/>
            <w:noWrap/>
            <w:hideMark/>
          </w:tcPr>
          <w:p w:rsidR="004E6CFB" w:rsidRPr="004E6CFB" w:rsidRDefault="004E6CFB" w:rsidP="004E6CFB">
            <w:r w:rsidRPr="004E6CFB">
              <w:t>0,999658</w:t>
            </w:r>
          </w:p>
        </w:tc>
      </w:tr>
      <w:tr w:rsidR="004E6CFB" w:rsidRPr="004E6CFB" w:rsidTr="004E6CFB">
        <w:trPr>
          <w:trHeight w:val="300"/>
        </w:trPr>
        <w:tc>
          <w:tcPr>
            <w:tcW w:w="1684" w:type="dxa"/>
            <w:noWrap/>
            <w:hideMark/>
          </w:tcPr>
          <w:p w:rsidR="004E6CFB" w:rsidRPr="004E6CFB" w:rsidRDefault="004E6CFB" w:rsidP="004E6CFB">
            <w:r w:rsidRPr="004E6CFB">
              <w:t>Status</w:t>
            </w:r>
          </w:p>
        </w:tc>
        <w:tc>
          <w:tcPr>
            <w:tcW w:w="903" w:type="dxa"/>
            <w:noWrap/>
            <w:hideMark/>
          </w:tcPr>
          <w:p w:rsidR="004E6CFB" w:rsidRPr="004E6CFB" w:rsidRDefault="004E6CFB" w:rsidP="004E6CFB">
            <w:r w:rsidRPr="004E6CFB">
              <w:t>1,019252</w:t>
            </w:r>
          </w:p>
        </w:tc>
        <w:tc>
          <w:tcPr>
            <w:tcW w:w="903" w:type="dxa"/>
            <w:noWrap/>
            <w:hideMark/>
          </w:tcPr>
          <w:p w:rsidR="004E6CFB" w:rsidRPr="004E6CFB" w:rsidRDefault="004E6CFB" w:rsidP="004E6CFB">
            <w:r w:rsidRPr="004E6CFB">
              <w:t>1,00129</w:t>
            </w:r>
          </w:p>
        </w:tc>
        <w:tc>
          <w:tcPr>
            <w:tcW w:w="944" w:type="dxa"/>
            <w:noWrap/>
            <w:hideMark/>
          </w:tcPr>
          <w:p w:rsidR="004E6CFB" w:rsidRPr="004E6CFB" w:rsidRDefault="004E6CFB" w:rsidP="004E6CFB">
            <w:r w:rsidRPr="004E6CFB">
              <w:t>1,287257</w:t>
            </w:r>
          </w:p>
        </w:tc>
        <w:tc>
          <w:tcPr>
            <w:tcW w:w="903" w:type="dxa"/>
            <w:noWrap/>
            <w:hideMark/>
          </w:tcPr>
          <w:p w:rsidR="004E6CFB" w:rsidRPr="004E6CFB" w:rsidRDefault="004E6CFB" w:rsidP="004E6CFB">
            <w:r w:rsidRPr="004E6CFB">
              <w:t>1,00958</w:t>
            </w:r>
          </w:p>
        </w:tc>
        <w:tc>
          <w:tcPr>
            <w:tcW w:w="903" w:type="dxa"/>
            <w:noWrap/>
            <w:hideMark/>
          </w:tcPr>
          <w:p w:rsidR="004E6CFB" w:rsidRPr="004E6CFB" w:rsidRDefault="004E6CFB" w:rsidP="004E6CFB">
            <w:r w:rsidRPr="004E6CFB">
              <w:t>0,981111</w:t>
            </w:r>
          </w:p>
        </w:tc>
        <w:tc>
          <w:tcPr>
            <w:tcW w:w="1391" w:type="dxa"/>
            <w:noWrap/>
            <w:hideMark/>
          </w:tcPr>
          <w:p w:rsidR="004E6CFB" w:rsidRPr="004E6CFB" w:rsidRDefault="004E6CFB" w:rsidP="004E6CFB">
            <w:r w:rsidRPr="004E6CFB">
              <w:t>0,776845</w:t>
            </w:r>
          </w:p>
        </w:tc>
        <w:tc>
          <w:tcPr>
            <w:tcW w:w="1441" w:type="dxa"/>
            <w:noWrap/>
            <w:hideMark/>
          </w:tcPr>
          <w:p w:rsidR="004E6CFB" w:rsidRPr="004E6CFB" w:rsidRDefault="004E6CFB" w:rsidP="004E6CFB">
            <w:r w:rsidRPr="004E6CFB">
              <w:t>0,998711</w:t>
            </w:r>
          </w:p>
        </w:tc>
      </w:tr>
      <w:tr w:rsidR="004E6CFB" w:rsidRPr="004E6CFB" w:rsidTr="004E6CFB">
        <w:trPr>
          <w:trHeight w:val="300"/>
        </w:trPr>
        <w:tc>
          <w:tcPr>
            <w:tcW w:w="1684" w:type="dxa"/>
            <w:noWrap/>
            <w:hideMark/>
          </w:tcPr>
          <w:p w:rsidR="004E6CFB" w:rsidRPr="004E6CFB" w:rsidRDefault="004E6CFB" w:rsidP="004E6CFB">
            <w:r w:rsidRPr="004E6CFB">
              <w:t>Age</w:t>
            </w:r>
          </w:p>
        </w:tc>
        <w:tc>
          <w:tcPr>
            <w:tcW w:w="903" w:type="dxa"/>
            <w:noWrap/>
            <w:hideMark/>
          </w:tcPr>
          <w:p w:rsidR="004E6CFB" w:rsidRPr="004E6CFB" w:rsidRDefault="004E6CFB" w:rsidP="004E6CFB">
            <w:r w:rsidRPr="004E6CFB">
              <w:t>1,011515</w:t>
            </w:r>
          </w:p>
        </w:tc>
        <w:tc>
          <w:tcPr>
            <w:tcW w:w="903" w:type="dxa"/>
            <w:noWrap/>
            <w:hideMark/>
          </w:tcPr>
          <w:p w:rsidR="004E6CFB" w:rsidRPr="004E6CFB" w:rsidRDefault="004E6CFB" w:rsidP="004E6CFB">
            <w:r w:rsidRPr="004E6CFB">
              <w:t>1,000134</w:t>
            </w:r>
          </w:p>
        </w:tc>
        <w:tc>
          <w:tcPr>
            <w:tcW w:w="944" w:type="dxa"/>
            <w:noWrap/>
            <w:hideMark/>
          </w:tcPr>
          <w:p w:rsidR="004E6CFB" w:rsidRPr="004E6CFB" w:rsidRDefault="004E6CFB" w:rsidP="004E6CFB">
            <w:r w:rsidRPr="004E6CFB">
              <w:t>1,987365</w:t>
            </w:r>
          </w:p>
        </w:tc>
        <w:tc>
          <w:tcPr>
            <w:tcW w:w="903" w:type="dxa"/>
            <w:noWrap/>
            <w:hideMark/>
          </w:tcPr>
          <w:p w:rsidR="004E6CFB" w:rsidRPr="004E6CFB" w:rsidRDefault="004E6CFB" w:rsidP="004E6CFB">
            <w:r w:rsidRPr="004E6CFB">
              <w:t>1,005741</w:t>
            </w:r>
          </w:p>
        </w:tc>
        <w:tc>
          <w:tcPr>
            <w:tcW w:w="903" w:type="dxa"/>
            <w:noWrap/>
            <w:hideMark/>
          </w:tcPr>
          <w:p w:rsidR="004E6CFB" w:rsidRPr="004E6CFB" w:rsidRDefault="004E6CFB" w:rsidP="004E6CFB">
            <w:r w:rsidRPr="004E6CFB">
              <w:t>0,988616</w:t>
            </w:r>
          </w:p>
        </w:tc>
        <w:tc>
          <w:tcPr>
            <w:tcW w:w="1391" w:type="dxa"/>
            <w:noWrap/>
            <w:hideMark/>
          </w:tcPr>
          <w:p w:rsidR="004E6CFB" w:rsidRPr="004E6CFB" w:rsidRDefault="004E6CFB" w:rsidP="004E6CFB">
            <w:r w:rsidRPr="004E6CFB">
              <w:t>0,503179</w:t>
            </w:r>
          </w:p>
        </w:tc>
        <w:tc>
          <w:tcPr>
            <w:tcW w:w="1441" w:type="dxa"/>
            <w:noWrap/>
            <w:hideMark/>
          </w:tcPr>
          <w:p w:rsidR="004E6CFB" w:rsidRPr="004E6CFB" w:rsidRDefault="004E6CFB" w:rsidP="004E6CFB">
            <w:r w:rsidRPr="004E6CFB">
              <w:t>0,999866</w:t>
            </w:r>
          </w:p>
        </w:tc>
      </w:tr>
      <w:tr w:rsidR="004E6CFB" w:rsidRPr="004E6CFB" w:rsidTr="004E6CFB">
        <w:trPr>
          <w:trHeight w:val="300"/>
        </w:trPr>
        <w:tc>
          <w:tcPr>
            <w:tcW w:w="1684" w:type="dxa"/>
            <w:noWrap/>
            <w:hideMark/>
          </w:tcPr>
          <w:p w:rsidR="004E6CFB" w:rsidRPr="004E6CFB" w:rsidRDefault="004E6CFB" w:rsidP="004E6CFB">
            <w:proofErr w:type="spellStart"/>
            <w:r w:rsidRPr="004E6CFB">
              <w:t>YearAdmission</w:t>
            </w:r>
            <w:proofErr w:type="spellEnd"/>
          </w:p>
        </w:tc>
        <w:tc>
          <w:tcPr>
            <w:tcW w:w="903" w:type="dxa"/>
            <w:noWrap/>
            <w:hideMark/>
          </w:tcPr>
          <w:p w:rsidR="004E6CFB" w:rsidRPr="004E6CFB" w:rsidRDefault="004E6CFB" w:rsidP="004E6CFB">
            <w:r w:rsidRPr="004E6CFB">
              <w:t>1,001769</w:t>
            </w:r>
          </w:p>
        </w:tc>
        <w:tc>
          <w:tcPr>
            <w:tcW w:w="903" w:type="dxa"/>
            <w:noWrap/>
            <w:hideMark/>
          </w:tcPr>
          <w:p w:rsidR="004E6CFB" w:rsidRPr="004E6CFB" w:rsidRDefault="004E6CFB" w:rsidP="004E6CFB">
            <w:r w:rsidRPr="004E6CFB">
              <w:t>1</w:t>
            </w:r>
          </w:p>
        </w:tc>
        <w:tc>
          <w:tcPr>
            <w:tcW w:w="944" w:type="dxa"/>
            <w:noWrap/>
            <w:hideMark/>
          </w:tcPr>
          <w:p w:rsidR="004E6CFB" w:rsidRPr="004E6CFB" w:rsidRDefault="004E6CFB" w:rsidP="004E6CFB">
            <w:r w:rsidRPr="004E6CFB">
              <w:t>3,88E+09</w:t>
            </w:r>
          </w:p>
        </w:tc>
        <w:tc>
          <w:tcPr>
            <w:tcW w:w="903" w:type="dxa"/>
            <w:noWrap/>
            <w:hideMark/>
          </w:tcPr>
          <w:p w:rsidR="004E6CFB" w:rsidRPr="004E6CFB" w:rsidRDefault="004E6CFB" w:rsidP="004E6CFB">
            <w:r w:rsidRPr="004E6CFB">
              <w:t>1,000884</w:t>
            </w:r>
          </w:p>
        </w:tc>
        <w:tc>
          <w:tcPr>
            <w:tcW w:w="903" w:type="dxa"/>
            <w:noWrap/>
            <w:hideMark/>
          </w:tcPr>
          <w:p w:rsidR="004E6CFB" w:rsidRPr="004E6CFB" w:rsidRDefault="004E6CFB" w:rsidP="004E6CFB">
            <w:r w:rsidRPr="004E6CFB">
              <w:t>0,998234</w:t>
            </w:r>
          </w:p>
        </w:tc>
        <w:tc>
          <w:tcPr>
            <w:tcW w:w="1391" w:type="dxa"/>
            <w:noWrap/>
            <w:hideMark/>
          </w:tcPr>
          <w:p w:rsidR="004E6CFB" w:rsidRPr="004E6CFB" w:rsidRDefault="004E6CFB" w:rsidP="004E6CFB">
            <w:r w:rsidRPr="004E6CFB">
              <w:t>2,58E-10</w:t>
            </w:r>
          </w:p>
        </w:tc>
        <w:tc>
          <w:tcPr>
            <w:tcW w:w="1441" w:type="dxa"/>
            <w:noWrap/>
            <w:hideMark/>
          </w:tcPr>
          <w:p w:rsidR="004E6CFB" w:rsidRPr="004E6CFB" w:rsidRDefault="004E6CFB" w:rsidP="004E6CFB">
            <w:r w:rsidRPr="004E6CFB">
              <w:t>1</w:t>
            </w:r>
          </w:p>
        </w:tc>
      </w:tr>
      <w:tr w:rsidR="004E6CFB" w:rsidRPr="004E6CFB" w:rsidTr="004E6CFB">
        <w:trPr>
          <w:trHeight w:val="300"/>
        </w:trPr>
        <w:tc>
          <w:tcPr>
            <w:tcW w:w="1684" w:type="dxa"/>
            <w:noWrap/>
            <w:hideMark/>
          </w:tcPr>
          <w:p w:rsidR="004E6CFB" w:rsidRPr="004E6CFB" w:rsidRDefault="004E6CFB" w:rsidP="004E6CFB">
            <w:proofErr w:type="spellStart"/>
            <w:r w:rsidRPr="004E6CFB">
              <w:t>LifeSustainingTherapy</w:t>
            </w:r>
            <w:proofErr w:type="spellEnd"/>
          </w:p>
        </w:tc>
        <w:tc>
          <w:tcPr>
            <w:tcW w:w="903" w:type="dxa"/>
            <w:noWrap/>
            <w:hideMark/>
          </w:tcPr>
          <w:p w:rsidR="004E6CFB" w:rsidRPr="004E6CFB" w:rsidRDefault="004E6CFB" w:rsidP="004E6CFB">
            <w:r w:rsidRPr="004E6CFB">
              <w:t>1,012009</w:t>
            </w:r>
          </w:p>
        </w:tc>
        <w:tc>
          <w:tcPr>
            <w:tcW w:w="903" w:type="dxa"/>
            <w:noWrap/>
            <w:hideMark/>
          </w:tcPr>
          <w:p w:rsidR="004E6CFB" w:rsidRPr="004E6CFB" w:rsidRDefault="004E6CFB" w:rsidP="004E6CFB">
            <w:r w:rsidRPr="004E6CFB">
              <w:t>1,000167</w:t>
            </w:r>
          </w:p>
        </w:tc>
        <w:tc>
          <w:tcPr>
            <w:tcW w:w="944" w:type="dxa"/>
            <w:noWrap/>
            <w:hideMark/>
          </w:tcPr>
          <w:p w:rsidR="004E6CFB" w:rsidRPr="004E6CFB" w:rsidRDefault="004E6CFB" w:rsidP="004E6CFB">
            <w:r w:rsidRPr="004E6CFB">
              <w:t>1,861152</w:t>
            </w:r>
          </w:p>
        </w:tc>
        <w:tc>
          <w:tcPr>
            <w:tcW w:w="903" w:type="dxa"/>
            <w:noWrap/>
            <w:hideMark/>
          </w:tcPr>
          <w:p w:rsidR="004E6CFB" w:rsidRPr="004E6CFB" w:rsidRDefault="004E6CFB" w:rsidP="004E6CFB">
            <w:r w:rsidRPr="004E6CFB">
              <w:t>1,005986</w:t>
            </w:r>
          </w:p>
        </w:tc>
        <w:tc>
          <w:tcPr>
            <w:tcW w:w="903" w:type="dxa"/>
            <w:noWrap/>
            <w:hideMark/>
          </w:tcPr>
          <w:p w:rsidR="004E6CFB" w:rsidRPr="004E6CFB" w:rsidRDefault="004E6CFB" w:rsidP="004E6CFB">
            <w:r w:rsidRPr="004E6CFB">
              <w:t>0,988134</w:t>
            </w:r>
          </w:p>
        </w:tc>
        <w:tc>
          <w:tcPr>
            <w:tcW w:w="1391" w:type="dxa"/>
            <w:noWrap/>
            <w:hideMark/>
          </w:tcPr>
          <w:p w:rsidR="004E6CFB" w:rsidRPr="004E6CFB" w:rsidRDefault="004E6CFB" w:rsidP="004E6CFB">
            <w:r w:rsidRPr="004E6CFB">
              <w:t>0,537302</w:t>
            </w:r>
          </w:p>
        </w:tc>
        <w:tc>
          <w:tcPr>
            <w:tcW w:w="1441" w:type="dxa"/>
            <w:noWrap/>
            <w:hideMark/>
          </w:tcPr>
          <w:p w:rsidR="004E6CFB" w:rsidRPr="004E6CFB" w:rsidRDefault="004E6CFB" w:rsidP="004E6CFB">
            <w:r w:rsidRPr="004E6CFB">
              <w:t>0,999833</w:t>
            </w:r>
          </w:p>
        </w:tc>
      </w:tr>
      <w:tr w:rsidR="004E6CFB" w:rsidRPr="004E6CFB" w:rsidTr="004E6CFB">
        <w:trPr>
          <w:trHeight w:val="300"/>
        </w:trPr>
        <w:tc>
          <w:tcPr>
            <w:tcW w:w="9072" w:type="dxa"/>
            <w:gridSpan w:val="8"/>
            <w:noWrap/>
            <w:hideMark/>
          </w:tcPr>
          <w:p w:rsidR="004E6CFB" w:rsidRPr="004E6CFB" w:rsidRDefault="004E6CFB" w:rsidP="004E6CFB">
            <w:pPr>
              <w:rPr>
                <w:b/>
                <w:bCs/>
              </w:rPr>
            </w:pPr>
            <w:r w:rsidRPr="004E6CFB">
              <w:rPr>
                <w:b/>
                <w:bCs/>
              </w:rPr>
              <w:t>Age and year of ICU admission as continuous variables, intubated patients</w:t>
            </w:r>
          </w:p>
        </w:tc>
      </w:tr>
      <w:tr w:rsidR="004E6CFB" w:rsidRPr="004E6CFB" w:rsidTr="004E6CFB">
        <w:trPr>
          <w:trHeight w:val="300"/>
        </w:trPr>
        <w:tc>
          <w:tcPr>
            <w:tcW w:w="1684" w:type="dxa"/>
            <w:noWrap/>
            <w:hideMark/>
          </w:tcPr>
          <w:p w:rsidR="004E6CFB" w:rsidRPr="004E6CFB" w:rsidRDefault="004E6CFB" w:rsidP="004E6CFB">
            <w:r w:rsidRPr="004E6CFB">
              <w:t>AML</w:t>
            </w:r>
          </w:p>
        </w:tc>
        <w:tc>
          <w:tcPr>
            <w:tcW w:w="903" w:type="dxa"/>
            <w:noWrap/>
            <w:hideMark/>
          </w:tcPr>
          <w:p w:rsidR="004E6CFB" w:rsidRPr="004E6CFB" w:rsidRDefault="004E6CFB" w:rsidP="004E6CFB">
            <w:r w:rsidRPr="004E6CFB">
              <w:t>1,02939</w:t>
            </w:r>
          </w:p>
        </w:tc>
        <w:tc>
          <w:tcPr>
            <w:tcW w:w="903" w:type="dxa"/>
            <w:noWrap/>
            <w:hideMark/>
          </w:tcPr>
          <w:p w:rsidR="004E6CFB" w:rsidRPr="004E6CFB" w:rsidRDefault="004E6CFB" w:rsidP="004E6CFB">
            <w:r w:rsidRPr="004E6CFB">
              <w:t>1,002479</w:t>
            </w:r>
          </w:p>
        </w:tc>
        <w:tc>
          <w:tcPr>
            <w:tcW w:w="944" w:type="dxa"/>
            <w:noWrap/>
            <w:hideMark/>
          </w:tcPr>
          <w:p w:rsidR="004E6CFB" w:rsidRPr="004E6CFB" w:rsidRDefault="004E6CFB" w:rsidP="004E6CFB">
            <w:r w:rsidRPr="004E6CFB">
              <w:t>1,348454</w:t>
            </w:r>
          </w:p>
        </w:tc>
        <w:tc>
          <w:tcPr>
            <w:tcW w:w="903" w:type="dxa"/>
            <w:noWrap/>
            <w:hideMark/>
          </w:tcPr>
          <w:p w:rsidR="004E6CFB" w:rsidRPr="004E6CFB" w:rsidRDefault="004E6CFB" w:rsidP="004E6CFB">
            <w:r w:rsidRPr="004E6CFB">
              <w:t>1,014588</w:t>
            </w:r>
          </w:p>
        </w:tc>
        <w:tc>
          <w:tcPr>
            <w:tcW w:w="903" w:type="dxa"/>
            <w:noWrap/>
            <w:hideMark/>
          </w:tcPr>
          <w:p w:rsidR="004E6CFB" w:rsidRPr="004E6CFB" w:rsidRDefault="004E6CFB" w:rsidP="004E6CFB">
            <w:r w:rsidRPr="004E6CFB">
              <w:t>0,97145</w:t>
            </w:r>
          </w:p>
        </w:tc>
        <w:tc>
          <w:tcPr>
            <w:tcW w:w="1391" w:type="dxa"/>
            <w:noWrap/>
            <w:hideMark/>
          </w:tcPr>
          <w:p w:rsidR="004E6CFB" w:rsidRPr="004E6CFB" w:rsidRDefault="004E6CFB" w:rsidP="004E6CFB">
            <w:r w:rsidRPr="004E6CFB">
              <w:t>0,74159</w:t>
            </w:r>
          </w:p>
        </w:tc>
        <w:tc>
          <w:tcPr>
            <w:tcW w:w="1441" w:type="dxa"/>
            <w:noWrap/>
            <w:hideMark/>
          </w:tcPr>
          <w:p w:rsidR="004E6CFB" w:rsidRPr="004E6CFB" w:rsidRDefault="004E6CFB" w:rsidP="004E6CFB">
            <w:r w:rsidRPr="004E6CFB">
              <w:t>0,997527</w:t>
            </w:r>
          </w:p>
        </w:tc>
      </w:tr>
      <w:tr w:rsidR="004E6CFB" w:rsidRPr="004E6CFB" w:rsidTr="004E6CFB">
        <w:trPr>
          <w:trHeight w:val="300"/>
        </w:trPr>
        <w:tc>
          <w:tcPr>
            <w:tcW w:w="1684" w:type="dxa"/>
            <w:noWrap/>
            <w:hideMark/>
          </w:tcPr>
          <w:p w:rsidR="004E6CFB" w:rsidRPr="004E6CFB" w:rsidRDefault="004E6CFB" w:rsidP="004E6CFB">
            <w:r w:rsidRPr="004E6CFB">
              <w:t>Status</w:t>
            </w:r>
          </w:p>
        </w:tc>
        <w:tc>
          <w:tcPr>
            <w:tcW w:w="903" w:type="dxa"/>
            <w:noWrap/>
            <w:hideMark/>
          </w:tcPr>
          <w:p w:rsidR="004E6CFB" w:rsidRPr="004E6CFB" w:rsidRDefault="004E6CFB" w:rsidP="004E6CFB">
            <w:r w:rsidRPr="004E6CFB">
              <w:t>1,029679</w:t>
            </w:r>
          </w:p>
        </w:tc>
        <w:tc>
          <w:tcPr>
            <w:tcW w:w="903" w:type="dxa"/>
            <w:noWrap/>
            <w:hideMark/>
          </w:tcPr>
          <w:p w:rsidR="004E6CFB" w:rsidRPr="004E6CFB" w:rsidRDefault="004E6CFB" w:rsidP="004E6CFB">
            <w:r w:rsidRPr="004E6CFB">
              <w:t>1,002561</w:t>
            </w:r>
          </w:p>
        </w:tc>
        <w:tc>
          <w:tcPr>
            <w:tcW w:w="944" w:type="dxa"/>
            <w:noWrap/>
            <w:hideMark/>
          </w:tcPr>
          <w:p w:rsidR="004E6CFB" w:rsidRPr="004E6CFB" w:rsidRDefault="004E6CFB" w:rsidP="004E6CFB">
            <w:r w:rsidRPr="004E6CFB">
              <w:t>1,343962</w:t>
            </w:r>
          </w:p>
        </w:tc>
        <w:tc>
          <w:tcPr>
            <w:tcW w:w="903" w:type="dxa"/>
            <w:noWrap/>
            <w:hideMark/>
          </w:tcPr>
          <w:p w:rsidR="004E6CFB" w:rsidRPr="004E6CFB" w:rsidRDefault="004E6CFB" w:rsidP="004E6CFB">
            <w:r w:rsidRPr="004E6CFB">
              <w:t>1,014731</w:t>
            </w:r>
          </w:p>
        </w:tc>
        <w:tc>
          <w:tcPr>
            <w:tcW w:w="903" w:type="dxa"/>
            <w:noWrap/>
            <w:hideMark/>
          </w:tcPr>
          <w:p w:rsidR="004E6CFB" w:rsidRPr="004E6CFB" w:rsidRDefault="004E6CFB" w:rsidP="004E6CFB">
            <w:r w:rsidRPr="004E6CFB">
              <w:t>0,971177</w:t>
            </w:r>
          </w:p>
        </w:tc>
        <w:tc>
          <w:tcPr>
            <w:tcW w:w="1391" w:type="dxa"/>
            <w:noWrap/>
            <w:hideMark/>
          </w:tcPr>
          <w:p w:rsidR="004E6CFB" w:rsidRPr="004E6CFB" w:rsidRDefault="004E6CFB" w:rsidP="004E6CFB">
            <w:r w:rsidRPr="004E6CFB">
              <w:t>0,744068</w:t>
            </w:r>
          </w:p>
        </w:tc>
        <w:tc>
          <w:tcPr>
            <w:tcW w:w="1441" w:type="dxa"/>
            <w:noWrap/>
            <w:hideMark/>
          </w:tcPr>
          <w:p w:rsidR="004E6CFB" w:rsidRPr="004E6CFB" w:rsidRDefault="004E6CFB" w:rsidP="004E6CFB">
            <w:r w:rsidRPr="004E6CFB">
              <w:t>0,997446</w:t>
            </w:r>
          </w:p>
        </w:tc>
      </w:tr>
      <w:tr w:rsidR="004E6CFB" w:rsidRPr="004E6CFB" w:rsidTr="004E6CFB">
        <w:trPr>
          <w:trHeight w:val="300"/>
        </w:trPr>
        <w:tc>
          <w:tcPr>
            <w:tcW w:w="1684" w:type="dxa"/>
            <w:noWrap/>
            <w:hideMark/>
          </w:tcPr>
          <w:p w:rsidR="004E6CFB" w:rsidRPr="004E6CFB" w:rsidRDefault="004E6CFB" w:rsidP="004E6CFB">
            <w:r w:rsidRPr="004E6CFB">
              <w:t>Age</w:t>
            </w:r>
          </w:p>
        </w:tc>
        <w:tc>
          <w:tcPr>
            <w:tcW w:w="903" w:type="dxa"/>
            <w:noWrap/>
            <w:hideMark/>
          </w:tcPr>
          <w:p w:rsidR="004E6CFB" w:rsidRPr="004E6CFB" w:rsidRDefault="004E6CFB" w:rsidP="004E6CFB">
            <w:r w:rsidRPr="004E6CFB">
              <w:t>1,009239</w:t>
            </w:r>
          </w:p>
        </w:tc>
        <w:tc>
          <w:tcPr>
            <w:tcW w:w="903" w:type="dxa"/>
            <w:noWrap/>
            <w:hideMark/>
          </w:tcPr>
          <w:p w:rsidR="004E6CFB" w:rsidRPr="004E6CFB" w:rsidRDefault="004E6CFB" w:rsidP="004E6CFB">
            <w:r w:rsidRPr="004E6CFB">
              <w:t>1,000005</w:t>
            </w:r>
          </w:p>
        </w:tc>
        <w:tc>
          <w:tcPr>
            <w:tcW w:w="944" w:type="dxa"/>
            <w:noWrap/>
            <w:hideMark/>
          </w:tcPr>
          <w:p w:rsidR="004E6CFB" w:rsidRPr="004E6CFB" w:rsidRDefault="004E6CFB" w:rsidP="004E6CFB">
            <w:r w:rsidRPr="004E6CFB">
              <w:t>18,85776</w:t>
            </w:r>
          </w:p>
        </w:tc>
        <w:tc>
          <w:tcPr>
            <w:tcW w:w="903" w:type="dxa"/>
            <w:noWrap/>
            <w:hideMark/>
          </w:tcPr>
          <w:p w:rsidR="004E6CFB" w:rsidRPr="004E6CFB" w:rsidRDefault="004E6CFB" w:rsidP="004E6CFB">
            <w:r w:rsidRPr="004E6CFB">
              <w:t>1,004609</w:t>
            </w:r>
          </w:p>
        </w:tc>
        <w:tc>
          <w:tcPr>
            <w:tcW w:w="903" w:type="dxa"/>
            <w:noWrap/>
            <w:hideMark/>
          </w:tcPr>
          <w:p w:rsidR="004E6CFB" w:rsidRPr="004E6CFB" w:rsidRDefault="004E6CFB" w:rsidP="004E6CFB">
            <w:r w:rsidRPr="004E6CFB">
              <w:t>0,990845</w:t>
            </w:r>
          </w:p>
        </w:tc>
        <w:tc>
          <w:tcPr>
            <w:tcW w:w="1391" w:type="dxa"/>
            <w:noWrap/>
            <w:hideMark/>
          </w:tcPr>
          <w:p w:rsidR="004E6CFB" w:rsidRPr="004E6CFB" w:rsidRDefault="004E6CFB" w:rsidP="004E6CFB">
            <w:r w:rsidRPr="004E6CFB">
              <w:t>0,053029</w:t>
            </w:r>
          </w:p>
        </w:tc>
        <w:tc>
          <w:tcPr>
            <w:tcW w:w="1441" w:type="dxa"/>
            <w:noWrap/>
            <w:hideMark/>
          </w:tcPr>
          <w:p w:rsidR="004E6CFB" w:rsidRPr="004E6CFB" w:rsidRDefault="004E6CFB" w:rsidP="004E6CFB">
            <w:r w:rsidRPr="004E6CFB">
              <w:t>0,999995</w:t>
            </w:r>
          </w:p>
        </w:tc>
      </w:tr>
      <w:tr w:rsidR="004E6CFB" w:rsidRPr="004E6CFB" w:rsidTr="004E6CFB">
        <w:trPr>
          <w:trHeight w:val="300"/>
        </w:trPr>
        <w:tc>
          <w:tcPr>
            <w:tcW w:w="1684" w:type="dxa"/>
            <w:noWrap/>
            <w:hideMark/>
          </w:tcPr>
          <w:p w:rsidR="004E6CFB" w:rsidRPr="004E6CFB" w:rsidRDefault="004E6CFB" w:rsidP="004E6CFB">
            <w:proofErr w:type="spellStart"/>
            <w:r w:rsidRPr="004E6CFB">
              <w:t>YearAdmission</w:t>
            </w:r>
            <w:proofErr w:type="spellEnd"/>
          </w:p>
        </w:tc>
        <w:tc>
          <w:tcPr>
            <w:tcW w:w="903" w:type="dxa"/>
            <w:noWrap/>
            <w:hideMark/>
          </w:tcPr>
          <w:p w:rsidR="004E6CFB" w:rsidRPr="004E6CFB" w:rsidRDefault="004E6CFB" w:rsidP="004E6CFB">
            <w:r w:rsidRPr="004E6CFB">
              <w:t>1,000359</w:t>
            </w:r>
          </w:p>
        </w:tc>
        <w:tc>
          <w:tcPr>
            <w:tcW w:w="903" w:type="dxa"/>
            <w:noWrap/>
            <w:hideMark/>
          </w:tcPr>
          <w:p w:rsidR="004E6CFB" w:rsidRPr="004E6CFB" w:rsidRDefault="004E6CFB" w:rsidP="004E6CFB">
            <w:r w:rsidRPr="004E6CFB">
              <w:t>1</w:t>
            </w:r>
          </w:p>
        </w:tc>
        <w:tc>
          <w:tcPr>
            <w:tcW w:w="944" w:type="dxa"/>
            <w:noWrap/>
            <w:hideMark/>
          </w:tcPr>
          <w:p w:rsidR="004E6CFB" w:rsidRPr="004E6CFB" w:rsidRDefault="004E6CFB" w:rsidP="004E6CFB">
            <w:r w:rsidRPr="004E6CFB">
              <w:t>Inf</w:t>
            </w:r>
          </w:p>
        </w:tc>
        <w:tc>
          <w:tcPr>
            <w:tcW w:w="903" w:type="dxa"/>
            <w:noWrap/>
            <w:hideMark/>
          </w:tcPr>
          <w:p w:rsidR="004E6CFB" w:rsidRPr="004E6CFB" w:rsidRDefault="004E6CFB" w:rsidP="004E6CFB">
            <w:r w:rsidRPr="004E6CFB">
              <w:t>1,000179</w:t>
            </w:r>
          </w:p>
        </w:tc>
        <w:tc>
          <w:tcPr>
            <w:tcW w:w="903" w:type="dxa"/>
            <w:noWrap/>
            <w:hideMark/>
          </w:tcPr>
          <w:p w:rsidR="004E6CFB" w:rsidRPr="004E6CFB" w:rsidRDefault="004E6CFB" w:rsidP="004E6CFB">
            <w:r w:rsidRPr="004E6CFB">
              <w:t>0,999641</w:t>
            </w:r>
          </w:p>
        </w:tc>
        <w:tc>
          <w:tcPr>
            <w:tcW w:w="1391" w:type="dxa"/>
            <w:noWrap/>
            <w:hideMark/>
          </w:tcPr>
          <w:p w:rsidR="004E6CFB" w:rsidRPr="004E6CFB" w:rsidRDefault="004E6CFB" w:rsidP="004E6CFB">
            <w:r w:rsidRPr="004E6CFB">
              <w:t>0</w:t>
            </w:r>
          </w:p>
        </w:tc>
        <w:tc>
          <w:tcPr>
            <w:tcW w:w="1441" w:type="dxa"/>
            <w:noWrap/>
            <w:hideMark/>
          </w:tcPr>
          <w:p w:rsidR="004E6CFB" w:rsidRPr="004E6CFB" w:rsidRDefault="004E6CFB" w:rsidP="004E6CFB">
            <w:r w:rsidRPr="004E6CFB">
              <w:t>1</w:t>
            </w:r>
          </w:p>
        </w:tc>
      </w:tr>
      <w:tr w:rsidR="004E6CFB" w:rsidRPr="004E6CFB" w:rsidTr="004E6CFB">
        <w:trPr>
          <w:trHeight w:val="300"/>
        </w:trPr>
        <w:tc>
          <w:tcPr>
            <w:tcW w:w="1684" w:type="dxa"/>
            <w:noWrap/>
            <w:hideMark/>
          </w:tcPr>
          <w:p w:rsidR="004E6CFB" w:rsidRPr="004E6CFB" w:rsidRDefault="004E6CFB" w:rsidP="004E6CFB">
            <w:proofErr w:type="spellStart"/>
            <w:r w:rsidRPr="004E6CFB">
              <w:t>VasopressorsOrRRT</w:t>
            </w:r>
            <w:proofErr w:type="spellEnd"/>
          </w:p>
        </w:tc>
        <w:tc>
          <w:tcPr>
            <w:tcW w:w="903" w:type="dxa"/>
            <w:noWrap/>
            <w:hideMark/>
          </w:tcPr>
          <w:p w:rsidR="004E6CFB" w:rsidRPr="004E6CFB" w:rsidRDefault="004E6CFB" w:rsidP="004E6CFB">
            <w:r w:rsidRPr="004E6CFB">
              <w:t>1,009997</w:t>
            </w:r>
          </w:p>
        </w:tc>
        <w:tc>
          <w:tcPr>
            <w:tcW w:w="903" w:type="dxa"/>
            <w:noWrap/>
            <w:hideMark/>
          </w:tcPr>
          <w:p w:rsidR="004E6CFB" w:rsidRPr="004E6CFB" w:rsidRDefault="004E6CFB" w:rsidP="004E6CFB">
            <w:r w:rsidRPr="004E6CFB">
              <w:t>1,000009</w:t>
            </w:r>
          </w:p>
        </w:tc>
        <w:tc>
          <w:tcPr>
            <w:tcW w:w="944" w:type="dxa"/>
            <w:noWrap/>
            <w:hideMark/>
          </w:tcPr>
          <w:p w:rsidR="004E6CFB" w:rsidRPr="004E6CFB" w:rsidRDefault="004E6CFB" w:rsidP="004E6CFB">
            <w:r w:rsidRPr="004E6CFB">
              <w:t>12,00298</w:t>
            </w:r>
          </w:p>
        </w:tc>
        <w:tc>
          <w:tcPr>
            <w:tcW w:w="903" w:type="dxa"/>
            <w:noWrap/>
            <w:hideMark/>
          </w:tcPr>
          <w:p w:rsidR="004E6CFB" w:rsidRPr="004E6CFB" w:rsidRDefault="004E6CFB" w:rsidP="004E6CFB">
            <w:r w:rsidRPr="004E6CFB">
              <w:t>1,004986</w:t>
            </w:r>
          </w:p>
        </w:tc>
        <w:tc>
          <w:tcPr>
            <w:tcW w:w="903" w:type="dxa"/>
            <w:noWrap/>
            <w:hideMark/>
          </w:tcPr>
          <w:p w:rsidR="004E6CFB" w:rsidRPr="004E6CFB" w:rsidRDefault="004E6CFB" w:rsidP="004E6CFB">
            <w:r w:rsidRPr="004E6CFB">
              <w:t>0,990102</w:t>
            </w:r>
          </w:p>
        </w:tc>
        <w:tc>
          <w:tcPr>
            <w:tcW w:w="1391" w:type="dxa"/>
            <w:noWrap/>
            <w:hideMark/>
          </w:tcPr>
          <w:p w:rsidR="004E6CFB" w:rsidRPr="004E6CFB" w:rsidRDefault="004E6CFB" w:rsidP="004E6CFB">
            <w:r w:rsidRPr="004E6CFB">
              <w:t>0,083313</w:t>
            </w:r>
          </w:p>
        </w:tc>
        <w:tc>
          <w:tcPr>
            <w:tcW w:w="1441" w:type="dxa"/>
            <w:noWrap/>
            <w:hideMark/>
          </w:tcPr>
          <w:p w:rsidR="004E6CFB" w:rsidRPr="004E6CFB" w:rsidRDefault="004E6CFB" w:rsidP="004E6CFB">
            <w:r w:rsidRPr="004E6CFB">
              <w:t>0,999991</w:t>
            </w:r>
          </w:p>
        </w:tc>
      </w:tr>
    </w:tbl>
    <w:p w:rsidR="004D7BEC" w:rsidRPr="004E6CFB" w:rsidRDefault="003D7831" w:rsidP="00551117">
      <w:pPr>
        <w:rPr>
          <w:i/>
          <w:iCs/>
        </w:rPr>
      </w:pPr>
      <w:r>
        <w:rPr>
          <w:i/>
          <w:iCs/>
        </w:rPr>
        <w:t xml:space="preserve">AML, acute myeloid leukemia; CI, confidence intervals; </w:t>
      </w:r>
      <w:r w:rsidR="004E6CFB">
        <w:rPr>
          <w:i/>
          <w:iCs/>
        </w:rPr>
        <w:t xml:space="preserve">ICU, intensive care unit; </w:t>
      </w:r>
      <w:r>
        <w:rPr>
          <w:i/>
          <w:iCs/>
        </w:rPr>
        <w:t xml:space="preserve">RRT, renal replacement therapy; </w:t>
      </w:r>
      <w:r w:rsidR="004E6CFB" w:rsidRPr="004E6CFB">
        <w:rPr>
          <w:i/>
          <w:iCs/>
        </w:rPr>
        <w:t>VIF, variance inflation factor</w:t>
      </w:r>
    </w:p>
    <w:p w:rsidR="00624BA8" w:rsidRPr="00345641" w:rsidRDefault="00624BA8" w:rsidP="00551117"/>
    <w:p w:rsidR="00341208" w:rsidRPr="00345641" w:rsidRDefault="00341208" w:rsidP="00551117"/>
    <w:p w:rsidR="00551117" w:rsidRPr="00345641" w:rsidRDefault="00290D70" w:rsidP="005D435A">
      <w:pPr>
        <w:jc w:val="left"/>
      </w:pPr>
      <w:r w:rsidRPr="00345641">
        <w:br w:type="page"/>
      </w:r>
    </w:p>
    <w:p w:rsidR="005D435A" w:rsidRDefault="00FB06AA" w:rsidP="005D435A">
      <w:pPr>
        <w:keepNext/>
      </w:pPr>
      <w:r w:rsidRPr="00345641">
        <w:rPr>
          <w:noProof/>
        </w:rPr>
        <w:lastRenderedPageBreak/>
        <w:drawing>
          <wp:inline distT="0" distB="0" distL="0" distR="0" wp14:anchorId="290F65A3" wp14:editId="512B2851">
            <wp:extent cx="4899992" cy="3248297"/>
            <wp:effectExtent l="0" t="0" r="2540" b="3175"/>
            <wp:docPr id="11507525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752527" name=""/>
                    <pic:cNvPicPr/>
                  </pic:nvPicPr>
                  <pic:blipFill>
                    <a:blip r:embed="rId10"/>
                    <a:stretch>
                      <a:fillRect/>
                    </a:stretch>
                  </pic:blipFill>
                  <pic:spPr>
                    <a:xfrm>
                      <a:off x="0" y="0"/>
                      <a:ext cx="4944368" cy="3277714"/>
                    </a:xfrm>
                    <a:prstGeom prst="rect">
                      <a:avLst/>
                    </a:prstGeom>
                  </pic:spPr>
                </pic:pic>
              </a:graphicData>
            </a:graphic>
          </wp:inline>
        </w:drawing>
      </w:r>
    </w:p>
    <w:p w:rsidR="00290D70" w:rsidRPr="00345641" w:rsidRDefault="005D435A" w:rsidP="005D435A">
      <w:bookmarkStart w:id="9" w:name="_Toc212854918"/>
      <w:r w:rsidRPr="005D435A">
        <w:rPr>
          <w:b/>
          <w:bCs/>
        </w:rPr>
        <w:t>Figure S</w:t>
      </w:r>
      <w:r w:rsidRPr="005D435A">
        <w:rPr>
          <w:b/>
          <w:bCs/>
        </w:rPr>
        <w:fldChar w:fldCharType="begin"/>
      </w:r>
      <w:r w:rsidRPr="005D435A">
        <w:rPr>
          <w:b/>
          <w:bCs/>
        </w:rPr>
        <w:instrText xml:space="preserve"> SEQ Figure \* ARABIC </w:instrText>
      </w:r>
      <w:r w:rsidRPr="005D435A">
        <w:rPr>
          <w:b/>
          <w:bCs/>
        </w:rPr>
        <w:fldChar w:fldCharType="separate"/>
      </w:r>
      <w:r w:rsidR="00173803">
        <w:rPr>
          <w:b/>
          <w:bCs/>
          <w:noProof/>
        </w:rPr>
        <w:t>1</w:t>
      </w:r>
      <w:r w:rsidRPr="005D435A">
        <w:rPr>
          <w:b/>
          <w:bCs/>
        </w:rPr>
        <w:fldChar w:fldCharType="end"/>
      </w:r>
      <w:r w:rsidRPr="005D435A">
        <w:rPr>
          <w:b/>
          <w:bCs/>
        </w:rPr>
        <w:t>. Patient age repartition stratified on year of intensive care unit (ICU) admission, in the overall population.</w:t>
      </w:r>
      <w:r>
        <w:t xml:space="preserve"> Proportions of elderly patients (aged &gt; 65 years) were significantly higher after 2010. P-value was calculated using Fisher’s exact test.</w:t>
      </w:r>
      <w:bookmarkEnd w:id="9"/>
    </w:p>
    <w:p w:rsidR="005D435A" w:rsidRDefault="00FB06AA" w:rsidP="005D435A">
      <w:pPr>
        <w:keepNext/>
      </w:pPr>
      <w:r w:rsidRPr="00345641">
        <w:rPr>
          <w:noProof/>
        </w:rPr>
        <w:drawing>
          <wp:inline distT="0" distB="0" distL="0" distR="0" wp14:anchorId="2ED9489B" wp14:editId="10878003">
            <wp:extent cx="4873719" cy="3230880"/>
            <wp:effectExtent l="0" t="0" r="3175" b="0"/>
            <wp:docPr id="8990390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39092" name=""/>
                    <pic:cNvPicPr/>
                  </pic:nvPicPr>
                  <pic:blipFill>
                    <a:blip r:embed="rId11"/>
                    <a:stretch>
                      <a:fillRect/>
                    </a:stretch>
                  </pic:blipFill>
                  <pic:spPr>
                    <a:xfrm>
                      <a:off x="0" y="0"/>
                      <a:ext cx="4899625" cy="3248054"/>
                    </a:xfrm>
                    <a:prstGeom prst="rect">
                      <a:avLst/>
                    </a:prstGeom>
                  </pic:spPr>
                </pic:pic>
              </a:graphicData>
            </a:graphic>
          </wp:inline>
        </w:drawing>
      </w:r>
    </w:p>
    <w:p w:rsidR="007516E3" w:rsidRPr="00345641" w:rsidRDefault="005D435A" w:rsidP="005D435A">
      <w:bookmarkStart w:id="10" w:name="_Toc212854919"/>
      <w:r w:rsidRPr="005D435A">
        <w:rPr>
          <w:b/>
          <w:bCs/>
        </w:rPr>
        <w:t>Figure S</w:t>
      </w:r>
      <w:r w:rsidRPr="005D435A">
        <w:rPr>
          <w:b/>
          <w:bCs/>
        </w:rPr>
        <w:fldChar w:fldCharType="begin"/>
      </w:r>
      <w:r w:rsidRPr="005D435A">
        <w:rPr>
          <w:b/>
          <w:bCs/>
        </w:rPr>
        <w:instrText xml:space="preserve"> SEQ Figure \* ARABIC </w:instrText>
      </w:r>
      <w:r w:rsidRPr="005D435A">
        <w:rPr>
          <w:b/>
          <w:bCs/>
        </w:rPr>
        <w:fldChar w:fldCharType="separate"/>
      </w:r>
      <w:r w:rsidR="00173803">
        <w:rPr>
          <w:b/>
          <w:bCs/>
          <w:noProof/>
        </w:rPr>
        <w:t>2</w:t>
      </w:r>
      <w:r w:rsidRPr="005D435A">
        <w:rPr>
          <w:b/>
          <w:bCs/>
        </w:rPr>
        <w:fldChar w:fldCharType="end"/>
      </w:r>
      <w:r w:rsidRPr="005D435A">
        <w:rPr>
          <w:b/>
          <w:bCs/>
        </w:rPr>
        <w:t>. Boxplot representing the patient age distribution stratified on year of intensive care unit (ICU) admission, in the overall population.</w:t>
      </w:r>
      <w:r>
        <w:t xml:space="preserve"> Patient age was significantly higher after (median </w:t>
      </w:r>
      <w:r w:rsidRPr="00010BB8">
        <w:t>59 years (</w:t>
      </w:r>
      <w:r>
        <w:t xml:space="preserve">interquartile range </w:t>
      </w:r>
      <w:r w:rsidRPr="00010BB8">
        <w:t>49-68)</w:t>
      </w:r>
      <w:r>
        <w:t>) than before 2010 (</w:t>
      </w:r>
      <w:r w:rsidRPr="00010BB8">
        <w:t>51 years (38-62)</w:t>
      </w:r>
      <w:r>
        <w:t>). P-value was calculated using Wilcoxon rank sum test.</w:t>
      </w:r>
      <w:bookmarkEnd w:id="10"/>
    </w:p>
    <w:p w:rsidR="005D435A" w:rsidRDefault="00FB06AA" w:rsidP="005D435A">
      <w:pPr>
        <w:keepNext/>
      </w:pPr>
      <w:r w:rsidRPr="00345641">
        <w:rPr>
          <w:noProof/>
        </w:rPr>
        <w:lastRenderedPageBreak/>
        <w:drawing>
          <wp:inline distT="0" distB="0" distL="0" distR="0" wp14:anchorId="13A1A825" wp14:editId="3CDF2937">
            <wp:extent cx="4873719" cy="3230880"/>
            <wp:effectExtent l="0" t="0" r="3175" b="0"/>
            <wp:docPr id="9110400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040091" name=""/>
                    <pic:cNvPicPr/>
                  </pic:nvPicPr>
                  <pic:blipFill>
                    <a:blip r:embed="rId12"/>
                    <a:stretch>
                      <a:fillRect/>
                    </a:stretch>
                  </pic:blipFill>
                  <pic:spPr>
                    <a:xfrm>
                      <a:off x="0" y="0"/>
                      <a:ext cx="4889559" cy="3241381"/>
                    </a:xfrm>
                    <a:prstGeom prst="rect">
                      <a:avLst/>
                    </a:prstGeom>
                  </pic:spPr>
                </pic:pic>
              </a:graphicData>
            </a:graphic>
          </wp:inline>
        </w:drawing>
      </w:r>
    </w:p>
    <w:p w:rsidR="00290D70" w:rsidRPr="00345641" w:rsidRDefault="005D435A" w:rsidP="005D435A">
      <w:bookmarkStart w:id="11" w:name="_Toc212854920"/>
      <w:r w:rsidRPr="005D435A">
        <w:rPr>
          <w:b/>
          <w:bCs/>
        </w:rPr>
        <w:t>Figure S</w:t>
      </w:r>
      <w:r w:rsidRPr="005D435A">
        <w:rPr>
          <w:b/>
          <w:bCs/>
        </w:rPr>
        <w:fldChar w:fldCharType="begin"/>
      </w:r>
      <w:r w:rsidRPr="005D435A">
        <w:rPr>
          <w:b/>
          <w:bCs/>
        </w:rPr>
        <w:instrText xml:space="preserve"> SEQ Figure \* ARABIC </w:instrText>
      </w:r>
      <w:r w:rsidRPr="005D435A">
        <w:rPr>
          <w:b/>
          <w:bCs/>
        </w:rPr>
        <w:fldChar w:fldCharType="separate"/>
      </w:r>
      <w:r w:rsidR="00173803">
        <w:rPr>
          <w:b/>
          <w:bCs/>
          <w:noProof/>
        </w:rPr>
        <w:t>3</w:t>
      </w:r>
      <w:r w:rsidRPr="005D435A">
        <w:rPr>
          <w:b/>
          <w:bCs/>
        </w:rPr>
        <w:fldChar w:fldCharType="end"/>
      </w:r>
      <w:r w:rsidRPr="005D435A">
        <w:rPr>
          <w:b/>
          <w:bCs/>
        </w:rPr>
        <w:t>. Patient age repartition stratified on year of intensive care unit (ICU) admission, in patients who required invasive mechanical ventilation.</w:t>
      </w:r>
      <w:r>
        <w:t xml:space="preserve"> Proportions of elderly patients (aged &gt; 65 years) were significantly higher after 2010. P-value was calculated using Fisher’s exact test.</w:t>
      </w:r>
      <w:bookmarkEnd w:id="11"/>
    </w:p>
    <w:p w:rsidR="00290D70" w:rsidRPr="00345641" w:rsidRDefault="00290D70" w:rsidP="00551117"/>
    <w:p w:rsidR="005D435A" w:rsidRDefault="00FB06AA" w:rsidP="005D435A">
      <w:pPr>
        <w:keepNext/>
      </w:pPr>
      <w:r w:rsidRPr="00345641">
        <w:rPr>
          <w:noProof/>
        </w:rPr>
        <w:drawing>
          <wp:inline distT="0" distB="0" distL="0" distR="0" wp14:anchorId="032AC7C1" wp14:editId="37695112">
            <wp:extent cx="4886856" cy="3239589"/>
            <wp:effectExtent l="0" t="0" r="3175" b="0"/>
            <wp:docPr id="1162357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35772" name=""/>
                    <pic:cNvPicPr/>
                  </pic:nvPicPr>
                  <pic:blipFill>
                    <a:blip r:embed="rId13"/>
                    <a:stretch>
                      <a:fillRect/>
                    </a:stretch>
                  </pic:blipFill>
                  <pic:spPr>
                    <a:xfrm>
                      <a:off x="0" y="0"/>
                      <a:ext cx="4893763" cy="3244168"/>
                    </a:xfrm>
                    <a:prstGeom prst="rect">
                      <a:avLst/>
                    </a:prstGeom>
                  </pic:spPr>
                </pic:pic>
              </a:graphicData>
            </a:graphic>
          </wp:inline>
        </w:drawing>
      </w:r>
    </w:p>
    <w:p w:rsidR="00290D70" w:rsidRPr="00345641" w:rsidRDefault="005D435A" w:rsidP="00551117">
      <w:bookmarkStart w:id="12" w:name="_Toc212854921"/>
      <w:r w:rsidRPr="002E43AE">
        <w:rPr>
          <w:b/>
          <w:bCs/>
        </w:rPr>
        <w:t>Figure S</w:t>
      </w:r>
      <w:r w:rsidRPr="002E43AE">
        <w:rPr>
          <w:b/>
          <w:bCs/>
        </w:rPr>
        <w:fldChar w:fldCharType="begin"/>
      </w:r>
      <w:r w:rsidRPr="002E43AE">
        <w:rPr>
          <w:b/>
          <w:bCs/>
        </w:rPr>
        <w:instrText xml:space="preserve"> SEQ Figure \* ARABIC </w:instrText>
      </w:r>
      <w:r w:rsidRPr="002E43AE">
        <w:rPr>
          <w:b/>
          <w:bCs/>
        </w:rPr>
        <w:fldChar w:fldCharType="separate"/>
      </w:r>
      <w:r w:rsidR="00173803">
        <w:rPr>
          <w:b/>
          <w:bCs/>
          <w:noProof/>
        </w:rPr>
        <w:t>4</w:t>
      </w:r>
      <w:r w:rsidRPr="002E43AE">
        <w:rPr>
          <w:b/>
          <w:bCs/>
        </w:rPr>
        <w:fldChar w:fldCharType="end"/>
      </w:r>
      <w:r w:rsidRPr="002E43AE">
        <w:rPr>
          <w:b/>
          <w:bCs/>
        </w:rPr>
        <w:t>. Boxplot representing the patient age distribution stratified on year of intensive care unit (ICU) admission, in patients who required invasive mechanical ventilation</w:t>
      </w:r>
      <w:r w:rsidRPr="005D435A">
        <w:rPr>
          <w:b/>
          <w:bCs/>
        </w:rPr>
        <w:t>.</w:t>
      </w:r>
      <w:r>
        <w:t xml:space="preserve"> Patient age was significantly higher after (median </w:t>
      </w:r>
      <w:r w:rsidR="002E43AE" w:rsidRPr="00010BB8">
        <w:t>58 years (</w:t>
      </w:r>
      <w:r w:rsidR="002E43AE">
        <w:t xml:space="preserve">interquartile range </w:t>
      </w:r>
      <w:r w:rsidR="002E43AE" w:rsidRPr="00010BB8">
        <w:t>47-67)</w:t>
      </w:r>
      <w:r w:rsidR="002E43AE">
        <w:t xml:space="preserve">) </w:t>
      </w:r>
      <w:r>
        <w:t>than before 2010 (</w:t>
      </w:r>
      <w:r w:rsidR="002E43AE" w:rsidRPr="00010BB8">
        <w:t>51 years (38-62)</w:t>
      </w:r>
      <w:r>
        <w:t>). P-value was calculated using Wilcoxon rank sum test.</w:t>
      </w:r>
      <w:bookmarkEnd w:id="12"/>
    </w:p>
    <w:p w:rsidR="002E43AE" w:rsidRDefault="00FB06AA" w:rsidP="002E43AE">
      <w:pPr>
        <w:keepNext/>
      </w:pPr>
      <w:r w:rsidRPr="00345641">
        <w:rPr>
          <w:noProof/>
        </w:rPr>
        <w:lastRenderedPageBreak/>
        <w:drawing>
          <wp:inline distT="0" distB="0" distL="0" distR="0" wp14:anchorId="73714AEA" wp14:editId="75FF1F81">
            <wp:extent cx="4893424" cy="3243943"/>
            <wp:effectExtent l="0" t="0" r="0" b="0"/>
            <wp:docPr id="19636648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664848" name=""/>
                    <pic:cNvPicPr/>
                  </pic:nvPicPr>
                  <pic:blipFill>
                    <a:blip r:embed="rId14"/>
                    <a:stretch>
                      <a:fillRect/>
                    </a:stretch>
                  </pic:blipFill>
                  <pic:spPr>
                    <a:xfrm>
                      <a:off x="0" y="0"/>
                      <a:ext cx="4918362" cy="3260475"/>
                    </a:xfrm>
                    <a:prstGeom prst="rect">
                      <a:avLst/>
                    </a:prstGeom>
                  </pic:spPr>
                </pic:pic>
              </a:graphicData>
            </a:graphic>
          </wp:inline>
        </w:drawing>
      </w:r>
    </w:p>
    <w:p w:rsidR="00290D70" w:rsidRPr="00345641" w:rsidRDefault="002E43AE" w:rsidP="002E43AE">
      <w:bookmarkStart w:id="13" w:name="_Toc212854922"/>
      <w:r w:rsidRPr="002E43AE">
        <w:rPr>
          <w:b/>
          <w:bCs/>
        </w:rPr>
        <w:t>Figure S</w:t>
      </w:r>
      <w:r w:rsidRPr="002E43AE">
        <w:rPr>
          <w:b/>
          <w:bCs/>
        </w:rPr>
        <w:fldChar w:fldCharType="begin"/>
      </w:r>
      <w:r w:rsidRPr="002E43AE">
        <w:rPr>
          <w:b/>
          <w:bCs/>
        </w:rPr>
        <w:instrText xml:space="preserve"> SEQ Figure \* ARABIC </w:instrText>
      </w:r>
      <w:r w:rsidRPr="002E43AE">
        <w:rPr>
          <w:b/>
          <w:bCs/>
        </w:rPr>
        <w:fldChar w:fldCharType="separate"/>
      </w:r>
      <w:r w:rsidR="00173803">
        <w:rPr>
          <w:b/>
          <w:bCs/>
          <w:noProof/>
        </w:rPr>
        <w:t>5</w:t>
      </w:r>
      <w:r w:rsidRPr="002E43AE">
        <w:rPr>
          <w:b/>
          <w:bCs/>
        </w:rPr>
        <w:fldChar w:fldCharType="end"/>
      </w:r>
      <w:r w:rsidRPr="002E43AE">
        <w:rPr>
          <w:b/>
          <w:bCs/>
        </w:rPr>
        <w:t>. Repartition of palliative patients stratified on year of intensive care unit (ICU) admission.</w:t>
      </w:r>
      <w:r>
        <w:t xml:space="preserve"> Palliative were defined as patients who died in the ICU without being intubated. Other patients are referred as “full code ICU” patients. The proportion of palliative patients was significantly higher after than before 2010. P-value was calculated using Fisher’s exact test.</w:t>
      </w:r>
      <w:bookmarkEnd w:id="13"/>
    </w:p>
    <w:p w:rsidR="002E43AE" w:rsidRDefault="002E43AE" w:rsidP="002E43AE">
      <w:pPr>
        <w:keepNext/>
      </w:pPr>
    </w:p>
    <w:p w:rsidR="002E43AE" w:rsidRDefault="00FB06AA" w:rsidP="002E43AE">
      <w:pPr>
        <w:keepNext/>
      </w:pPr>
      <w:r w:rsidRPr="00345641">
        <w:rPr>
          <w:noProof/>
        </w:rPr>
        <w:drawing>
          <wp:inline distT="0" distB="0" distL="0" distR="0" wp14:anchorId="2441EE2A" wp14:editId="45F810CE">
            <wp:extent cx="4893310" cy="3243868"/>
            <wp:effectExtent l="0" t="0" r="0" b="0"/>
            <wp:docPr id="17795579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557986" name=""/>
                    <pic:cNvPicPr/>
                  </pic:nvPicPr>
                  <pic:blipFill>
                    <a:blip r:embed="rId15"/>
                    <a:stretch>
                      <a:fillRect/>
                    </a:stretch>
                  </pic:blipFill>
                  <pic:spPr>
                    <a:xfrm>
                      <a:off x="0" y="0"/>
                      <a:ext cx="4917292" cy="3259766"/>
                    </a:xfrm>
                    <a:prstGeom prst="rect">
                      <a:avLst/>
                    </a:prstGeom>
                  </pic:spPr>
                </pic:pic>
              </a:graphicData>
            </a:graphic>
          </wp:inline>
        </w:drawing>
      </w:r>
    </w:p>
    <w:p w:rsidR="00D563BE" w:rsidRDefault="002E43AE" w:rsidP="002E43AE">
      <w:bookmarkStart w:id="14" w:name="_Toc212854923"/>
      <w:r w:rsidRPr="002E43AE">
        <w:rPr>
          <w:b/>
          <w:bCs/>
        </w:rPr>
        <w:t>Figure S</w:t>
      </w:r>
      <w:r w:rsidRPr="002E43AE">
        <w:rPr>
          <w:b/>
          <w:bCs/>
        </w:rPr>
        <w:fldChar w:fldCharType="begin"/>
      </w:r>
      <w:r w:rsidRPr="002E43AE">
        <w:rPr>
          <w:b/>
          <w:bCs/>
        </w:rPr>
        <w:instrText xml:space="preserve"> SEQ Figure \* ARABIC </w:instrText>
      </w:r>
      <w:r w:rsidRPr="002E43AE">
        <w:rPr>
          <w:b/>
          <w:bCs/>
        </w:rPr>
        <w:fldChar w:fldCharType="separate"/>
      </w:r>
      <w:r w:rsidR="00173803">
        <w:rPr>
          <w:b/>
          <w:bCs/>
          <w:noProof/>
        </w:rPr>
        <w:t>6</w:t>
      </w:r>
      <w:r w:rsidRPr="002E43AE">
        <w:rPr>
          <w:b/>
          <w:bCs/>
        </w:rPr>
        <w:fldChar w:fldCharType="end"/>
      </w:r>
      <w:r w:rsidRPr="002E43AE">
        <w:rPr>
          <w:b/>
          <w:bCs/>
        </w:rPr>
        <w:t>. Repartition of patients who required invasive mechanical ventilation stratified according to year of intensive care unit (ICU) admission.</w:t>
      </w:r>
      <w:r>
        <w:t xml:space="preserve"> There was no significant difference between patients admitted before versus after 2010. P-value was calculated using Fisher’s exact test.</w:t>
      </w:r>
      <w:bookmarkEnd w:id="14"/>
    </w:p>
    <w:p w:rsidR="00173803" w:rsidRDefault="00D024A7" w:rsidP="00173803">
      <w:pPr>
        <w:keepNext/>
      </w:pPr>
      <w:r w:rsidRPr="00D024A7">
        <w:rPr>
          <w:noProof/>
        </w:rPr>
        <w:lastRenderedPageBreak/>
        <w:drawing>
          <wp:inline distT="0" distB="0" distL="0" distR="0" wp14:anchorId="662ED586" wp14:editId="17879868">
            <wp:extent cx="4742443" cy="3239310"/>
            <wp:effectExtent l="0" t="0" r="0" b="0"/>
            <wp:docPr id="7694315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431545" name=""/>
                    <pic:cNvPicPr/>
                  </pic:nvPicPr>
                  <pic:blipFill>
                    <a:blip r:embed="rId16"/>
                    <a:stretch>
                      <a:fillRect/>
                    </a:stretch>
                  </pic:blipFill>
                  <pic:spPr>
                    <a:xfrm>
                      <a:off x="0" y="0"/>
                      <a:ext cx="4761104" cy="3252056"/>
                    </a:xfrm>
                    <a:prstGeom prst="rect">
                      <a:avLst/>
                    </a:prstGeom>
                  </pic:spPr>
                </pic:pic>
              </a:graphicData>
            </a:graphic>
          </wp:inline>
        </w:drawing>
      </w:r>
    </w:p>
    <w:p w:rsidR="00173803" w:rsidRDefault="00173803" w:rsidP="00173803">
      <w:bookmarkStart w:id="15" w:name="_Toc212854924"/>
      <w:r w:rsidRPr="00173803">
        <w:rPr>
          <w:b/>
          <w:bCs/>
        </w:rPr>
        <w:t>Figure S</w:t>
      </w:r>
      <w:r w:rsidRPr="00173803">
        <w:rPr>
          <w:b/>
          <w:bCs/>
        </w:rPr>
        <w:fldChar w:fldCharType="begin"/>
      </w:r>
      <w:r w:rsidRPr="00173803">
        <w:rPr>
          <w:b/>
          <w:bCs/>
        </w:rPr>
        <w:instrText xml:space="preserve"> SEQ Figure \* ARABIC </w:instrText>
      </w:r>
      <w:r w:rsidRPr="00173803">
        <w:rPr>
          <w:b/>
          <w:bCs/>
        </w:rPr>
        <w:fldChar w:fldCharType="separate"/>
      </w:r>
      <w:r w:rsidRPr="00173803">
        <w:rPr>
          <w:b/>
          <w:bCs/>
          <w:noProof/>
        </w:rPr>
        <w:t>7</w:t>
      </w:r>
      <w:r w:rsidRPr="00173803">
        <w:rPr>
          <w:b/>
          <w:bCs/>
        </w:rPr>
        <w:fldChar w:fldCharType="end"/>
      </w:r>
      <w:r w:rsidRPr="00173803">
        <w:rPr>
          <w:b/>
          <w:bCs/>
        </w:rPr>
        <w:t>. Crude intensive care unit (ICU) mortality in high-income and upper-middle countries. ICU mortality was lower in high-income countries.</w:t>
      </w:r>
      <w:r>
        <w:t xml:space="preserve"> P-value was calculated using Fisher’s exact test.</w:t>
      </w:r>
      <w:bookmarkEnd w:id="15"/>
    </w:p>
    <w:p w:rsidR="00173803" w:rsidRDefault="00173803" w:rsidP="002E43AE"/>
    <w:p w:rsidR="00173803" w:rsidRDefault="00D024A7" w:rsidP="00173803">
      <w:pPr>
        <w:keepNext/>
      </w:pPr>
      <w:r w:rsidRPr="00D024A7">
        <w:rPr>
          <w:noProof/>
        </w:rPr>
        <w:drawing>
          <wp:inline distT="0" distB="0" distL="0" distR="0" wp14:anchorId="3F118C1C" wp14:editId="6357E1B6">
            <wp:extent cx="4705564" cy="3237987"/>
            <wp:effectExtent l="0" t="0" r="0" b="0"/>
            <wp:docPr id="9420898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089865" name=""/>
                    <pic:cNvPicPr/>
                  </pic:nvPicPr>
                  <pic:blipFill>
                    <a:blip r:embed="rId17"/>
                    <a:stretch>
                      <a:fillRect/>
                    </a:stretch>
                  </pic:blipFill>
                  <pic:spPr>
                    <a:xfrm>
                      <a:off x="0" y="0"/>
                      <a:ext cx="4724952" cy="3251328"/>
                    </a:xfrm>
                    <a:prstGeom prst="rect">
                      <a:avLst/>
                    </a:prstGeom>
                  </pic:spPr>
                </pic:pic>
              </a:graphicData>
            </a:graphic>
          </wp:inline>
        </w:drawing>
      </w:r>
    </w:p>
    <w:p w:rsidR="00173803" w:rsidRDefault="00173803" w:rsidP="00173803">
      <w:bookmarkStart w:id="16" w:name="_Toc212854925"/>
      <w:r w:rsidRPr="00173803">
        <w:rPr>
          <w:b/>
          <w:bCs/>
        </w:rPr>
        <w:t>Figure S</w:t>
      </w:r>
      <w:r w:rsidRPr="00173803">
        <w:rPr>
          <w:b/>
          <w:bCs/>
        </w:rPr>
        <w:fldChar w:fldCharType="begin"/>
      </w:r>
      <w:r w:rsidRPr="00173803">
        <w:rPr>
          <w:b/>
          <w:bCs/>
        </w:rPr>
        <w:instrText xml:space="preserve"> SEQ Figure \* ARABIC </w:instrText>
      </w:r>
      <w:r w:rsidRPr="00173803">
        <w:rPr>
          <w:b/>
          <w:bCs/>
        </w:rPr>
        <w:fldChar w:fldCharType="separate"/>
      </w:r>
      <w:r w:rsidRPr="00173803">
        <w:rPr>
          <w:b/>
          <w:bCs/>
          <w:noProof/>
        </w:rPr>
        <w:t>8</w:t>
      </w:r>
      <w:r w:rsidRPr="00173803">
        <w:rPr>
          <w:b/>
          <w:bCs/>
        </w:rPr>
        <w:fldChar w:fldCharType="end"/>
      </w:r>
      <w:r w:rsidRPr="00173803">
        <w:rPr>
          <w:b/>
          <w:bCs/>
        </w:rPr>
        <w:t>. Crude intensive care unit (ICU) mortality of intubated patients in high-income and upper-middle countries.</w:t>
      </w:r>
      <w:r w:rsidRPr="00173803">
        <w:t xml:space="preserve"> ICU mortality was lower in high-income countries.</w:t>
      </w:r>
      <w:r>
        <w:t xml:space="preserve"> P-value was calculated using Fisher’s exact test.</w:t>
      </w:r>
      <w:bookmarkEnd w:id="16"/>
    </w:p>
    <w:p w:rsidR="002E43AE" w:rsidRPr="00345641" w:rsidRDefault="002E43AE" w:rsidP="002E43AE"/>
    <w:p w:rsidR="002E43AE" w:rsidRDefault="00C71EF8" w:rsidP="002E43AE">
      <w:pPr>
        <w:keepNext/>
      </w:pPr>
      <w:r w:rsidRPr="00C71EF8">
        <w:rPr>
          <w:noProof/>
        </w:rPr>
        <w:lastRenderedPageBreak/>
        <w:drawing>
          <wp:inline distT="0" distB="0" distL="0" distR="0" wp14:anchorId="5C1B8FBE" wp14:editId="418C5C9B">
            <wp:extent cx="5142464" cy="3205537"/>
            <wp:effectExtent l="0" t="0" r="0" b="0"/>
            <wp:docPr id="1964580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58095" name=""/>
                    <pic:cNvPicPr/>
                  </pic:nvPicPr>
                  <pic:blipFill>
                    <a:blip r:embed="rId18"/>
                    <a:stretch>
                      <a:fillRect/>
                    </a:stretch>
                  </pic:blipFill>
                  <pic:spPr>
                    <a:xfrm>
                      <a:off x="0" y="0"/>
                      <a:ext cx="5160644" cy="3216869"/>
                    </a:xfrm>
                    <a:prstGeom prst="rect">
                      <a:avLst/>
                    </a:prstGeom>
                  </pic:spPr>
                </pic:pic>
              </a:graphicData>
            </a:graphic>
          </wp:inline>
        </w:drawing>
      </w:r>
    </w:p>
    <w:p w:rsidR="004D7BEC" w:rsidRPr="00345641" w:rsidRDefault="002E43AE" w:rsidP="00744C11">
      <w:bookmarkStart w:id="17" w:name="_Toc212854926"/>
      <w:r w:rsidRPr="00744C11">
        <w:rPr>
          <w:b/>
          <w:bCs/>
        </w:rPr>
        <w:t>Figure S</w:t>
      </w:r>
      <w:r w:rsidRPr="00744C11">
        <w:rPr>
          <w:b/>
          <w:bCs/>
        </w:rPr>
        <w:fldChar w:fldCharType="begin"/>
      </w:r>
      <w:r w:rsidRPr="00744C11">
        <w:rPr>
          <w:b/>
          <w:bCs/>
        </w:rPr>
        <w:instrText xml:space="preserve"> SEQ Figure \* ARABIC </w:instrText>
      </w:r>
      <w:r w:rsidRPr="00744C11">
        <w:rPr>
          <w:b/>
          <w:bCs/>
        </w:rPr>
        <w:fldChar w:fldCharType="separate"/>
      </w:r>
      <w:r w:rsidR="00173803">
        <w:rPr>
          <w:b/>
          <w:bCs/>
          <w:noProof/>
        </w:rPr>
        <w:t>9</w:t>
      </w:r>
      <w:r w:rsidRPr="00744C11">
        <w:rPr>
          <w:b/>
          <w:bCs/>
        </w:rPr>
        <w:fldChar w:fldCharType="end"/>
      </w:r>
      <w:r w:rsidRPr="00744C11">
        <w:rPr>
          <w:b/>
          <w:bCs/>
        </w:rPr>
        <w:t>. Visual representation of the association between intensive care unit (ICU) mortality, age, and year of admission, in the overall population.</w:t>
      </w:r>
      <w:r w:rsidRPr="00010BB8">
        <w:t xml:space="preserve"> This representation was modeled using a spline regression model. Patients admitted before 2010 and patients admitted after 2010 are modeled in blue and orange</w:t>
      </w:r>
      <w:r w:rsidR="00C71EF8">
        <w:t xml:space="preserve"> with confidence intervals</w:t>
      </w:r>
      <w:r w:rsidRPr="00010BB8">
        <w:t>, respectively.</w:t>
      </w:r>
      <w:bookmarkEnd w:id="17"/>
    </w:p>
    <w:p w:rsidR="00744C11" w:rsidRDefault="00744C11" w:rsidP="00BF3BF4">
      <w:pPr>
        <w:keepNext/>
        <w:jc w:val="left"/>
      </w:pPr>
    </w:p>
    <w:p w:rsidR="00BF3BF4" w:rsidRPr="00345641" w:rsidRDefault="00C71EF8" w:rsidP="00BF3BF4">
      <w:pPr>
        <w:keepNext/>
        <w:jc w:val="left"/>
      </w:pPr>
      <w:r w:rsidRPr="00C71EF8">
        <w:rPr>
          <w:noProof/>
        </w:rPr>
        <w:drawing>
          <wp:inline distT="0" distB="0" distL="0" distR="0" wp14:anchorId="331DF134" wp14:editId="1BE01528">
            <wp:extent cx="5044611" cy="3231287"/>
            <wp:effectExtent l="0" t="0" r="0" b="0"/>
            <wp:docPr id="5131368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36830" name=""/>
                    <pic:cNvPicPr/>
                  </pic:nvPicPr>
                  <pic:blipFill>
                    <a:blip r:embed="rId19"/>
                    <a:stretch>
                      <a:fillRect/>
                    </a:stretch>
                  </pic:blipFill>
                  <pic:spPr>
                    <a:xfrm>
                      <a:off x="0" y="0"/>
                      <a:ext cx="5054405" cy="3237561"/>
                    </a:xfrm>
                    <a:prstGeom prst="rect">
                      <a:avLst/>
                    </a:prstGeom>
                  </pic:spPr>
                </pic:pic>
              </a:graphicData>
            </a:graphic>
          </wp:inline>
        </w:drawing>
      </w:r>
    </w:p>
    <w:p w:rsidR="00BF3BF4" w:rsidRPr="00345641" w:rsidRDefault="00BF3BF4" w:rsidP="00BF3BF4">
      <w:bookmarkStart w:id="18" w:name="_Toc212854927"/>
      <w:r w:rsidRPr="00345641">
        <w:rPr>
          <w:b/>
          <w:bCs/>
        </w:rPr>
        <w:t>Figure S</w:t>
      </w:r>
      <w:r w:rsidRPr="00345641">
        <w:rPr>
          <w:b/>
          <w:bCs/>
        </w:rPr>
        <w:fldChar w:fldCharType="begin"/>
      </w:r>
      <w:r w:rsidRPr="00345641">
        <w:rPr>
          <w:b/>
          <w:bCs/>
        </w:rPr>
        <w:instrText xml:space="preserve"> SEQ Figure \* ARABIC </w:instrText>
      </w:r>
      <w:r w:rsidRPr="00345641">
        <w:rPr>
          <w:b/>
          <w:bCs/>
        </w:rPr>
        <w:fldChar w:fldCharType="separate"/>
      </w:r>
      <w:r w:rsidR="00173803">
        <w:rPr>
          <w:b/>
          <w:bCs/>
          <w:noProof/>
        </w:rPr>
        <w:t>10</w:t>
      </w:r>
      <w:r w:rsidRPr="00345641">
        <w:rPr>
          <w:b/>
          <w:bCs/>
        </w:rPr>
        <w:fldChar w:fldCharType="end"/>
      </w:r>
      <w:r w:rsidRPr="00345641">
        <w:rPr>
          <w:b/>
          <w:bCs/>
        </w:rPr>
        <w:t>. Visual representation of intensive care unit (ICU) mortality across the years in patients who required invasive mechanical ventilation.</w:t>
      </w:r>
      <w:r w:rsidRPr="00345641">
        <w:t xml:space="preserve"> This representation was modeled using a spline regression model.</w:t>
      </w:r>
      <w:r w:rsidR="00C71EF8">
        <w:t xml:space="preserve"> Confidence intervals are represented.</w:t>
      </w:r>
      <w:bookmarkEnd w:id="18"/>
    </w:p>
    <w:p w:rsidR="00BF3BF4" w:rsidRPr="00345641" w:rsidRDefault="00BF3BF4" w:rsidP="00551117"/>
    <w:p w:rsidR="00744C11" w:rsidRDefault="00D563BE" w:rsidP="00744C11">
      <w:pPr>
        <w:keepNext/>
      </w:pPr>
      <w:r w:rsidRPr="00345641">
        <w:rPr>
          <w:noProof/>
        </w:rPr>
        <w:lastRenderedPageBreak/>
        <w:drawing>
          <wp:inline distT="0" distB="0" distL="0" distR="0" wp14:anchorId="28E164C4" wp14:editId="576AAA67">
            <wp:extent cx="5511800" cy="3708400"/>
            <wp:effectExtent l="0" t="0" r="0" b="0"/>
            <wp:docPr id="4479135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913558" name=""/>
                    <pic:cNvPicPr/>
                  </pic:nvPicPr>
                  <pic:blipFill>
                    <a:blip r:embed="rId20"/>
                    <a:stretch>
                      <a:fillRect/>
                    </a:stretch>
                  </pic:blipFill>
                  <pic:spPr>
                    <a:xfrm>
                      <a:off x="0" y="0"/>
                      <a:ext cx="5511800" cy="3708400"/>
                    </a:xfrm>
                    <a:prstGeom prst="rect">
                      <a:avLst/>
                    </a:prstGeom>
                  </pic:spPr>
                </pic:pic>
              </a:graphicData>
            </a:graphic>
          </wp:inline>
        </w:drawing>
      </w:r>
    </w:p>
    <w:p w:rsidR="00D563BE" w:rsidRPr="00345641" w:rsidRDefault="00744C11" w:rsidP="00744C11">
      <w:bookmarkStart w:id="19" w:name="_Toc212854928"/>
      <w:r w:rsidRPr="00744C11">
        <w:rPr>
          <w:b/>
          <w:bCs/>
        </w:rPr>
        <w:t>Figure S</w:t>
      </w:r>
      <w:r w:rsidRPr="00744C11">
        <w:rPr>
          <w:b/>
          <w:bCs/>
        </w:rPr>
        <w:fldChar w:fldCharType="begin"/>
      </w:r>
      <w:r w:rsidRPr="00744C11">
        <w:rPr>
          <w:b/>
          <w:bCs/>
        </w:rPr>
        <w:instrText xml:space="preserve"> SEQ Figure \* ARABIC </w:instrText>
      </w:r>
      <w:r w:rsidRPr="00744C11">
        <w:rPr>
          <w:b/>
          <w:bCs/>
        </w:rPr>
        <w:fldChar w:fldCharType="separate"/>
      </w:r>
      <w:r w:rsidR="00173803">
        <w:rPr>
          <w:b/>
          <w:bCs/>
          <w:noProof/>
        </w:rPr>
        <w:t>11</w:t>
      </w:r>
      <w:r w:rsidRPr="00744C11">
        <w:rPr>
          <w:b/>
          <w:bCs/>
        </w:rPr>
        <w:fldChar w:fldCharType="end"/>
      </w:r>
      <w:r w:rsidRPr="00744C11">
        <w:rPr>
          <w:b/>
          <w:bCs/>
        </w:rPr>
        <w:t>. Forest</w:t>
      </w:r>
      <w:r w:rsidRPr="00010BB8">
        <w:rPr>
          <w:b/>
          <w:bCs/>
        </w:rPr>
        <w:t xml:space="preserve"> plots of results from mixed-effects logistic regression models.</w:t>
      </w:r>
      <w:r w:rsidRPr="00010BB8">
        <w:t xml:space="preserve"> </w:t>
      </w:r>
      <w:r>
        <w:t xml:space="preserve">In these sensitivity analyses, age and year of </w:t>
      </w:r>
      <w:r w:rsidR="004A19E4">
        <w:t>i</w:t>
      </w:r>
      <w:r w:rsidRPr="00010BB8">
        <w:t>ntensive care unit (ICU)</w:t>
      </w:r>
      <w:r>
        <w:t xml:space="preserve"> were modeled as continuous variables.</w:t>
      </w:r>
      <w:bookmarkEnd w:id="19"/>
      <w:r w:rsidR="004A19E4">
        <w:t xml:space="preserve"> Center of ICU</w:t>
      </w:r>
      <w:r w:rsidR="004A19E4" w:rsidRPr="00010BB8">
        <w:t xml:space="preserve"> </w:t>
      </w:r>
      <w:r w:rsidR="004A19E4">
        <w:t xml:space="preserve">admission </w:t>
      </w:r>
      <w:r w:rsidR="004A19E4" w:rsidRPr="00010BB8">
        <w:t>was mode</w:t>
      </w:r>
      <w:r w:rsidR="004A19E4">
        <w:t>l</w:t>
      </w:r>
      <w:r w:rsidR="004A19E4" w:rsidRPr="00010BB8">
        <w:t xml:space="preserve">ed as a random variable with random intercept. Results are represented as odds ratios (OR) with 95% confidence intervals (95% CI) </w:t>
      </w:r>
      <w:r w:rsidR="004A19E4">
        <w:t xml:space="preserve">using a log scale </w:t>
      </w:r>
      <w:r w:rsidR="004A19E4" w:rsidRPr="00010BB8">
        <w:t xml:space="preserve">in the forest plot. OR with their 95% CI are presented </w:t>
      </w:r>
      <w:r w:rsidR="004A19E4">
        <w:t>on</w:t>
      </w:r>
      <w:r w:rsidR="004A19E4" w:rsidRPr="00010BB8">
        <w:t xml:space="preserve"> the right</w:t>
      </w:r>
      <w:r w:rsidR="004A19E4">
        <w:t>-side</w:t>
      </w:r>
      <w:r w:rsidR="004A19E4" w:rsidRPr="00010BB8">
        <w:t xml:space="preserve"> part of each panel. </w:t>
      </w:r>
      <w:r w:rsidR="004A19E4" w:rsidRPr="0090107A">
        <w:rPr>
          <w:b/>
          <w:bCs/>
        </w:rPr>
        <w:t>Panel A</w:t>
      </w:r>
      <w:r w:rsidR="004A19E4" w:rsidRPr="00010BB8">
        <w:t xml:space="preserve"> presents the results for all included patients. </w:t>
      </w:r>
      <w:r w:rsidR="004A19E4" w:rsidRPr="0090107A">
        <w:rPr>
          <w:b/>
          <w:bCs/>
        </w:rPr>
        <w:t>Panel B</w:t>
      </w:r>
      <w:r w:rsidR="004A19E4" w:rsidRPr="00010BB8">
        <w:t xml:space="preserve"> presents the results for patients who required invasive mechanical ventilation. P-value &lt; 0.05 indicates that the explanatory variable is associated with ICU mortality.</w:t>
      </w:r>
      <w:r w:rsidR="004A19E4">
        <w:t xml:space="preserve"> RRT stands for renal replacement therapy.</w:t>
      </w:r>
    </w:p>
    <w:p w:rsidR="00D563BE" w:rsidRPr="00345641" w:rsidRDefault="00D563BE" w:rsidP="00551117"/>
    <w:p w:rsidR="00624BA8" w:rsidRPr="00345641" w:rsidRDefault="00624BA8" w:rsidP="00551117"/>
    <w:p w:rsidR="00624BA8" w:rsidRPr="00345641" w:rsidRDefault="00624BA8" w:rsidP="00551117"/>
    <w:p w:rsidR="00D563BE" w:rsidRPr="00345641" w:rsidRDefault="00D563BE" w:rsidP="00551117"/>
    <w:p w:rsidR="00744C11" w:rsidRDefault="004D7BEC" w:rsidP="00744C11">
      <w:pPr>
        <w:keepNext/>
      </w:pPr>
      <w:r w:rsidRPr="00345641">
        <w:rPr>
          <w:noProof/>
        </w:rPr>
        <w:lastRenderedPageBreak/>
        <w:drawing>
          <wp:inline distT="0" distB="0" distL="0" distR="0" wp14:anchorId="25332E76" wp14:editId="378A1A4B">
            <wp:extent cx="5245100" cy="4419600"/>
            <wp:effectExtent l="0" t="0" r="0" b="0"/>
            <wp:docPr id="9933915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91520" name=""/>
                    <pic:cNvPicPr/>
                  </pic:nvPicPr>
                  <pic:blipFill>
                    <a:blip r:embed="rId21"/>
                    <a:stretch>
                      <a:fillRect/>
                    </a:stretch>
                  </pic:blipFill>
                  <pic:spPr>
                    <a:xfrm>
                      <a:off x="0" y="0"/>
                      <a:ext cx="5245100" cy="4419600"/>
                    </a:xfrm>
                    <a:prstGeom prst="rect">
                      <a:avLst/>
                    </a:prstGeom>
                  </pic:spPr>
                </pic:pic>
              </a:graphicData>
            </a:graphic>
          </wp:inline>
        </w:drawing>
      </w:r>
    </w:p>
    <w:p w:rsidR="004D7BEC" w:rsidRPr="00345641" w:rsidRDefault="00744C11" w:rsidP="006164BE">
      <w:bookmarkStart w:id="20" w:name="_Toc212854929"/>
      <w:r w:rsidRPr="006164BE">
        <w:rPr>
          <w:b/>
          <w:bCs/>
        </w:rPr>
        <w:t>Figure S</w:t>
      </w:r>
      <w:r w:rsidRPr="006164BE">
        <w:rPr>
          <w:b/>
          <w:bCs/>
        </w:rPr>
        <w:fldChar w:fldCharType="begin"/>
      </w:r>
      <w:r w:rsidRPr="006164BE">
        <w:rPr>
          <w:b/>
          <w:bCs/>
        </w:rPr>
        <w:instrText xml:space="preserve"> SEQ Figure \* ARABIC </w:instrText>
      </w:r>
      <w:r w:rsidRPr="006164BE">
        <w:rPr>
          <w:b/>
          <w:bCs/>
        </w:rPr>
        <w:fldChar w:fldCharType="separate"/>
      </w:r>
      <w:r w:rsidR="00173803">
        <w:rPr>
          <w:b/>
          <w:bCs/>
          <w:noProof/>
        </w:rPr>
        <w:t>12</w:t>
      </w:r>
      <w:r w:rsidRPr="006164BE">
        <w:rPr>
          <w:b/>
          <w:bCs/>
        </w:rPr>
        <w:fldChar w:fldCharType="end"/>
      </w:r>
      <w:r w:rsidRPr="006164BE">
        <w:rPr>
          <w:b/>
          <w:bCs/>
        </w:rPr>
        <w:t>. Receiver operating characteristic (ROC) curves for each mixed-effects logistic regression model.</w:t>
      </w:r>
      <w:r>
        <w:t xml:space="preserve"> ROC curve of model for the overall population and for intubated patients are represented in blue and red, respectively. Areas under the curve (AUC) are presented on the top of each ROC curve. P-value were calculated using the </w:t>
      </w:r>
      <w:r w:rsidRPr="00010BB8">
        <w:t>Homer-</w:t>
      </w:r>
      <w:proofErr w:type="spellStart"/>
      <w:r w:rsidRPr="00010BB8">
        <w:t>Lemeshow</w:t>
      </w:r>
      <w:proofErr w:type="spellEnd"/>
      <w:r>
        <w:t xml:space="preserve"> test (H-L test). P-values &lt; 0.05 indicates a poor goodness</w:t>
      </w:r>
      <w:r w:rsidR="00DE4D22">
        <w:t xml:space="preserve"> </w:t>
      </w:r>
      <w:r>
        <w:t>of</w:t>
      </w:r>
      <w:r w:rsidR="00DE4D22">
        <w:t xml:space="preserve"> </w:t>
      </w:r>
      <w:r>
        <w:t>fit. Panel A and Panel B represent ROC curve</w:t>
      </w:r>
      <w:r w:rsidR="006164BE">
        <w:t>s</w:t>
      </w:r>
      <w:r>
        <w:t xml:space="preserve"> for models using </w:t>
      </w:r>
      <w:r w:rsidR="006164BE">
        <w:t>age and year of intensive care unit (ICU) admission as categori</w:t>
      </w:r>
      <w:r w:rsidR="002219B9">
        <w:t>c</w:t>
      </w:r>
      <w:r w:rsidR="006164BE">
        <w:t>al variables. Panel C and Panel D represent ROC curves for models using age and year of ICU admission as continuous variables.</w:t>
      </w:r>
      <w:bookmarkEnd w:id="20"/>
    </w:p>
    <w:p w:rsidR="00D563BE" w:rsidRPr="00345641" w:rsidRDefault="00D563BE" w:rsidP="00551117"/>
    <w:p w:rsidR="00D21559" w:rsidRDefault="00D21559" w:rsidP="00D21559"/>
    <w:p w:rsidR="00744C11" w:rsidRDefault="00744C11">
      <w:pPr>
        <w:jc w:val="left"/>
        <w:rPr>
          <w:b/>
          <w:bCs/>
        </w:rPr>
      </w:pPr>
      <w:r>
        <w:rPr>
          <w:b/>
          <w:bCs/>
        </w:rPr>
        <w:br w:type="page"/>
      </w:r>
    </w:p>
    <w:p w:rsidR="00D563BE" w:rsidRPr="00D21559" w:rsidRDefault="00D21559" w:rsidP="00551117">
      <w:pPr>
        <w:rPr>
          <w:b/>
          <w:bCs/>
        </w:rPr>
      </w:pPr>
      <w:r w:rsidRPr="00D21559">
        <w:rPr>
          <w:b/>
          <w:bCs/>
        </w:rPr>
        <w:lastRenderedPageBreak/>
        <w:t>References</w:t>
      </w:r>
    </w:p>
    <w:p w:rsidR="00987282" w:rsidRPr="00987282" w:rsidRDefault="00730B42" w:rsidP="00987282">
      <w:pPr>
        <w:pStyle w:val="Bibliographie1"/>
        <w:rPr>
          <w:rFonts w:cs="Times New Roman"/>
        </w:rPr>
      </w:pPr>
      <w:r>
        <w:fldChar w:fldCharType="begin"/>
      </w:r>
      <w:r>
        <w:instrText xml:space="preserve"> ADDIN ZOTERO_BIBL {"uncited":[],"omitted":[],"custom":[]} CSL_BIBLIOGRAPHY </w:instrText>
      </w:r>
      <w:r>
        <w:fldChar w:fldCharType="separate"/>
      </w:r>
      <w:r w:rsidR="00987282" w:rsidRPr="00987282">
        <w:rPr>
          <w:rFonts w:cs="Times New Roman"/>
        </w:rPr>
        <w:t>1.</w:t>
      </w:r>
      <w:r w:rsidR="00987282" w:rsidRPr="00987282">
        <w:rPr>
          <w:rFonts w:cs="Times New Roman"/>
        </w:rPr>
        <w:tab/>
        <w:t xml:space="preserve">Chean D, Luque-Paz D, Poole D, Fodil S, Lengliné E, Dupont T, et al. Critically ill adult patients with acute leukemia: a systematic review and meta-analysis. Ann Intensive Care. 2025 Jan 16;15(1):9. </w:t>
      </w:r>
    </w:p>
    <w:p w:rsidR="00987282" w:rsidRPr="00987282" w:rsidRDefault="00987282" w:rsidP="00987282">
      <w:pPr>
        <w:pStyle w:val="Bibliographie1"/>
        <w:rPr>
          <w:rFonts w:cs="Times New Roman"/>
        </w:rPr>
      </w:pPr>
      <w:r w:rsidRPr="00987282">
        <w:rPr>
          <w:rFonts w:cs="Times New Roman"/>
        </w:rPr>
        <w:t>2.</w:t>
      </w:r>
      <w:r w:rsidRPr="00987282">
        <w:rPr>
          <w:rFonts w:cs="Times New Roman"/>
        </w:rPr>
        <w:tab/>
        <w:t xml:space="preserve">Adda M, Coquet I, Darmon M, Thiery G, Schlemmer B, Azoulay E. Predictors of noninvasive ventilation failure in patients with hematologic malignancy and acute respiratory failure. Crit Care Med. 2008 Oct;36(10):2766–72. </w:t>
      </w:r>
    </w:p>
    <w:p w:rsidR="00987282" w:rsidRPr="00987282" w:rsidRDefault="00987282" w:rsidP="00987282">
      <w:pPr>
        <w:pStyle w:val="Bibliographie1"/>
        <w:rPr>
          <w:rFonts w:cs="Times New Roman"/>
        </w:rPr>
      </w:pPr>
      <w:r w:rsidRPr="00987282">
        <w:rPr>
          <w:rFonts w:cs="Times New Roman"/>
        </w:rPr>
        <w:t>3.</w:t>
      </w:r>
      <w:r w:rsidRPr="00987282">
        <w:rPr>
          <w:rFonts w:cs="Times New Roman"/>
        </w:rPr>
        <w:tab/>
        <w:t xml:space="preserve">Azoulay E, Darmon M, Delclaux C, Fieux F, Bornstain C, Moreau D, et al. Deterioration of previous acute lung injury during neutropenia recovery. Crit Care Med. 2002 Apr;30(4):781–6. </w:t>
      </w:r>
    </w:p>
    <w:p w:rsidR="00987282" w:rsidRPr="00987282" w:rsidRDefault="00987282" w:rsidP="00987282">
      <w:pPr>
        <w:pStyle w:val="Bibliographie1"/>
        <w:rPr>
          <w:rFonts w:cs="Times New Roman"/>
        </w:rPr>
      </w:pPr>
      <w:r w:rsidRPr="00987282">
        <w:rPr>
          <w:rFonts w:cs="Times New Roman"/>
        </w:rPr>
        <w:t>4.</w:t>
      </w:r>
      <w:r w:rsidRPr="00987282">
        <w:rPr>
          <w:rFonts w:cs="Times New Roman"/>
        </w:rPr>
        <w:tab/>
        <w:t xml:space="preserve">Azoulay É, Thiéry G, Chevret S, Moreau D, Darmon M, Bergeron A, et al. The prognosis of acute respiratory failure in critically ill cancer patients. Medicine (Baltimore). 2004 Nov;83(6):360–70. </w:t>
      </w:r>
    </w:p>
    <w:p w:rsidR="00987282" w:rsidRPr="00987282" w:rsidRDefault="00987282" w:rsidP="00987282">
      <w:pPr>
        <w:pStyle w:val="Bibliographie1"/>
        <w:rPr>
          <w:rFonts w:cs="Times New Roman"/>
        </w:rPr>
      </w:pPr>
      <w:r w:rsidRPr="00987282">
        <w:rPr>
          <w:rFonts w:cs="Times New Roman"/>
        </w:rPr>
        <w:t>5.</w:t>
      </w:r>
      <w:r w:rsidRPr="00987282">
        <w:rPr>
          <w:rFonts w:cs="Times New Roman"/>
        </w:rPr>
        <w:tab/>
        <w:t xml:space="preserve">Azoulay É, Canet E, Raffoux E, Lengliné E, Lemiale V, Vincent F, et al. Dexamethasone in patients with acute lung injury from acute monocytic leukaemia. Eur Respir J. 2012 Mar;39(3):648–53. </w:t>
      </w:r>
    </w:p>
    <w:p w:rsidR="00987282" w:rsidRPr="00987282" w:rsidRDefault="00987282" w:rsidP="00987282">
      <w:pPr>
        <w:pStyle w:val="Bibliographie1"/>
        <w:rPr>
          <w:rFonts w:cs="Times New Roman"/>
        </w:rPr>
      </w:pPr>
      <w:r w:rsidRPr="00987282">
        <w:rPr>
          <w:rFonts w:cs="Times New Roman"/>
        </w:rPr>
        <w:t>6.</w:t>
      </w:r>
      <w:r w:rsidRPr="00987282">
        <w:rPr>
          <w:rFonts w:cs="Times New Roman"/>
        </w:rPr>
        <w:tab/>
        <w:t xml:space="preserve">Azoulay E, Mokart D, Pène F, Lambert J, Kouatchet A, Mayaux J, et al. Outcomes of critically ill patients with hematologic malignancies: prospective multicenter data from France and Belgium--a groupe de recherche respiratoire en réanimation onco-hématologique study. J Clin Oncol. 2013 Aug 1;31(22):2810–8. </w:t>
      </w:r>
    </w:p>
    <w:p w:rsidR="00987282" w:rsidRPr="00987282" w:rsidRDefault="00987282" w:rsidP="00987282">
      <w:pPr>
        <w:pStyle w:val="Bibliographie1"/>
        <w:rPr>
          <w:rFonts w:cs="Times New Roman"/>
        </w:rPr>
      </w:pPr>
      <w:r w:rsidRPr="00987282">
        <w:rPr>
          <w:rFonts w:cs="Times New Roman"/>
        </w:rPr>
        <w:t>7.</w:t>
      </w:r>
      <w:r w:rsidRPr="00987282">
        <w:rPr>
          <w:rFonts w:cs="Times New Roman"/>
        </w:rPr>
        <w:tab/>
        <w:t xml:space="preserve">Tavares M, Lemiale V, Mokart D, Pène F, Lengliné E, Kouatchet A, et al. Determinants of 1-year survival in critically ill acute leukemia patients: a GRRR-OH study. Leuk Lymphoma. 2018;59(6):1323–31. </w:t>
      </w:r>
    </w:p>
    <w:p w:rsidR="00987282" w:rsidRPr="00987282" w:rsidRDefault="00987282" w:rsidP="00987282">
      <w:pPr>
        <w:pStyle w:val="Bibliographie1"/>
        <w:rPr>
          <w:rFonts w:cs="Times New Roman"/>
        </w:rPr>
      </w:pPr>
      <w:r w:rsidRPr="00987282">
        <w:rPr>
          <w:rFonts w:cs="Times New Roman"/>
        </w:rPr>
        <w:t>8.</w:t>
      </w:r>
      <w:r w:rsidRPr="00987282">
        <w:rPr>
          <w:rFonts w:cs="Times New Roman"/>
        </w:rPr>
        <w:tab/>
        <w:t xml:space="preserve">Vijenthira A, Chiu N, Jacobson D, Freedman Z, Cheung MC, Goddard S, et al. Predictors of intensive care unit admission in patients with hematologic malignancy. Sci Rep. 2020 Dec 3;10(1):21145. </w:t>
      </w:r>
    </w:p>
    <w:p w:rsidR="00987282" w:rsidRPr="00987282" w:rsidRDefault="00987282" w:rsidP="00987282">
      <w:pPr>
        <w:pStyle w:val="Bibliographie1"/>
        <w:rPr>
          <w:rFonts w:cs="Times New Roman"/>
        </w:rPr>
      </w:pPr>
      <w:r w:rsidRPr="00987282">
        <w:rPr>
          <w:rFonts w:cs="Times New Roman"/>
        </w:rPr>
        <w:t>9.</w:t>
      </w:r>
      <w:r w:rsidRPr="00987282">
        <w:rPr>
          <w:rFonts w:cs="Times New Roman"/>
        </w:rPr>
        <w:tab/>
        <w:t xml:space="preserve">Cornejo-Juárez P, Vilar-Compte D, García-Horton A, López-Velázquez M, Ñamendys-Silva S, Volkow-Fernández P. Hospital-acquired infections at an oncological intensive care cancer unit: differences between solid and hematological cancer patients. BMC Infect Dis. 2016 10;16:274. </w:t>
      </w:r>
    </w:p>
    <w:p w:rsidR="00987282" w:rsidRPr="00987282" w:rsidRDefault="00987282" w:rsidP="00987282">
      <w:pPr>
        <w:pStyle w:val="Bibliographie1"/>
        <w:rPr>
          <w:rFonts w:cs="Times New Roman"/>
        </w:rPr>
      </w:pPr>
      <w:r w:rsidRPr="00987282">
        <w:rPr>
          <w:rFonts w:cs="Times New Roman"/>
        </w:rPr>
        <w:t>10.</w:t>
      </w:r>
      <w:r w:rsidRPr="00987282">
        <w:rPr>
          <w:rFonts w:cs="Times New Roman"/>
        </w:rPr>
        <w:tab/>
        <w:t xml:space="preserve">Darmon M, Thiery G, Ciroldi M, de Miranda S, Galicier L, Raffoux E, et al. Intensive care in patients with newly diagnosed malignancies and a need for cancer chemotherapy. Crit Care Med. 2005 Nov;33(11):2488–93. </w:t>
      </w:r>
    </w:p>
    <w:p w:rsidR="00987282" w:rsidRPr="00987282" w:rsidRDefault="00987282" w:rsidP="00987282">
      <w:pPr>
        <w:pStyle w:val="Bibliographie1"/>
        <w:rPr>
          <w:rFonts w:cs="Times New Roman"/>
        </w:rPr>
      </w:pPr>
      <w:r w:rsidRPr="00987282">
        <w:rPr>
          <w:rFonts w:cs="Times New Roman"/>
        </w:rPr>
        <w:t>11.</w:t>
      </w:r>
      <w:r w:rsidRPr="00987282">
        <w:rPr>
          <w:rFonts w:cs="Times New Roman"/>
        </w:rPr>
        <w:tab/>
        <w:t xml:space="preserve">Schnell D, Legoff J, Mariotte E, Seguin A, Canet E, Lemiale V, et al. Molecular detection of respiratory viruses in immunocopromised ICU patients: Incidence and meaning. Respir Med. 2012 Aug;106(8):1184–91. </w:t>
      </w:r>
    </w:p>
    <w:p w:rsidR="00987282" w:rsidRPr="00987282" w:rsidRDefault="00987282" w:rsidP="00987282">
      <w:pPr>
        <w:pStyle w:val="Bibliographie1"/>
        <w:rPr>
          <w:rFonts w:cs="Times New Roman"/>
        </w:rPr>
      </w:pPr>
      <w:r w:rsidRPr="00987282">
        <w:rPr>
          <w:rFonts w:cs="Times New Roman"/>
        </w:rPr>
        <w:t>12.</w:t>
      </w:r>
      <w:r w:rsidRPr="00987282">
        <w:rPr>
          <w:rFonts w:cs="Times New Roman"/>
        </w:rPr>
        <w:tab/>
        <w:t xml:space="preserve">Fassbind P, Jeker B, Mueller BU, Bacher U, Zimmerli S, Endrich O, et al. Improved survival rates of AML patients following admission to the intensive care unit. Leuk Lymphoma. 2019 Oct;60(10):2423–31. </w:t>
      </w:r>
    </w:p>
    <w:p w:rsidR="00987282" w:rsidRPr="00987282" w:rsidRDefault="00987282" w:rsidP="00987282">
      <w:pPr>
        <w:pStyle w:val="Bibliographie1"/>
        <w:rPr>
          <w:rFonts w:cs="Times New Roman"/>
        </w:rPr>
      </w:pPr>
      <w:r w:rsidRPr="00987282">
        <w:rPr>
          <w:rFonts w:cs="Times New Roman"/>
        </w:rPr>
        <w:lastRenderedPageBreak/>
        <w:t>13.</w:t>
      </w:r>
      <w:r w:rsidRPr="00987282">
        <w:rPr>
          <w:rFonts w:cs="Times New Roman"/>
        </w:rPr>
        <w:tab/>
        <w:t xml:space="preserve">Aygencel G, Turkoglu M, Turkoz Sucak G, Benekli M. Prognostic factors in critically ill cancer patients admitted to the intensive care unit. J Crit Care. 2014 Aug;29(4):618–26. </w:t>
      </w:r>
    </w:p>
    <w:p w:rsidR="00987282" w:rsidRPr="00987282" w:rsidRDefault="00987282" w:rsidP="00987282">
      <w:pPr>
        <w:pStyle w:val="Bibliographie1"/>
        <w:rPr>
          <w:rFonts w:cs="Times New Roman"/>
        </w:rPr>
      </w:pPr>
      <w:r w:rsidRPr="00987282">
        <w:rPr>
          <w:rFonts w:cs="Times New Roman"/>
        </w:rPr>
        <w:t>14.</w:t>
      </w:r>
      <w:r w:rsidRPr="00987282">
        <w:rPr>
          <w:rFonts w:cs="Times New Roman"/>
        </w:rPr>
        <w:tab/>
        <w:t xml:space="preserve">Aygencel G, Boyacı Dündar N, Türkoğlu M, Yegin ZA, Özkurt ZN, Yağcı AM. Can treating critically-ill haematological malignancy patients in a separate intensive care unit decrease intensive care unit mortality? Turk J Med Sci. 2021 Aug 30;51(4):2095–100. </w:t>
      </w:r>
    </w:p>
    <w:p w:rsidR="00987282" w:rsidRPr="00987282" w:rsidRDefault="00987282" w:rsidP="00987282">
      <w:pPr>
        <w:pStyle w:val="Bibliographie1"/>
        <w:rPr>
          <w:rFonts w:cs="Times New Roman"/>
        </w:rPr>
      </w:pPr>
      <w:r w:rsidRPr="00987282">
        <w:rPr>
          <w:rFonts w:cs="Times New Roman"/>
        </w:rPr>
        <w:t>15.</w:t>
      </w:r>
      <w:r w:rsidRPr="00987282">
        <w:rPr>
          <w:rFonts w:cs="Times New Roman"/>
        </w:rPr>
        <w:tab/>
        <w:t xml:space="preserve">Lahmer T, Neuenhahn M, Held J, Rasch S, Schmid RM, Huber W. Comparison of 1,3-β-d-glucan with galactomannan in serum and bronchoalveolar fluid for the detection of Aspergillus species in immunosuppressed mechanical ventilated critically ill patients. J Crit Care. 2016 Dec;36:259–64. </w:t>
      </w:r>
    </w:p>
    <w:p w:rsidR="00987282" w:rsidRPr="00987282" w:rsidRDefault="00987282" w:rsidP="00987282">
      <w:pPr>
        <w:pStyle w:val="Bibliographie1"/>
        <w:rPr>
          <w:rFonts w:cs="Times New Roman"/>
        </w:rPr>
      </w:pPr>
      <w:r w:rsidRPr="00987282">
        <w:rPr>
          <w:rFonts w:cs="Times New Roman"/>
        </w:rPr>
        <w:t>16.</w:t>
      </w:r>
      <w:r w:rsidRPr="00987282">
        <w:rPr>
          <w:rFonts w:cs="Times New Roman"/>
        </w:rPr>
        <w:tab/>
        <w:t xml:space="preserve">Legrand M, Max A, Peigne V, Mariotte E, Canet E, Debrumetz A, et al. Survival in neutropenic patients with severe sepsis or septic shock. Crit Care Med. 2012 Jan;40(1):43–9. </w:t>
      </w:r>
    </w:p>
    <w:p w:rsidR="00987282" w:rsidRPr="00987282" w:rsidRDefault="00987282" w:rsidP="00987282">
      <w:pPr>
        <w:pStyle w:val="Bibliographie1"/>
        <w:rPr>
          <w:rFonts w:cs="Times New Roman"/>
        </w:rPr>
      </w:pPr>
      <w:r w:rsidRPr="00987282">
        <w:rPr>
          <w:rFonts w:cs="Times New Roman"/>
        </w:rPr>
        <w:t>17.</w:t>
      </w:r>
      <w:r w:rsidRPr="00987282">
        <w:rPr>
          <w:rFonts w:cs="Times New Roman"/>
        </w:rPr>
        <w:tab/>
        <w:t xml:space="preserve">Lemiale V, Pons S, Mirouse A, Tudesq JJ, Hourmant Y, Mokart D, et al. Sepsis and Septic Shock in Patients With Malignancies: A Groupe de Recherche Respiratoire en Réanimation Onco-Hématologique Study. Crit Care Med. 2020 Jun;48(6):822–9. </w:t>
      </w:r>
    </w:p>
    <w:p w:rsidR="00987282" w:rsidRPr="00987282" w:rsidRDefault="00987282" w:rsidP="00987282">
      <w:pPr>
        <w:pStyle w:val="Bibliographie1"/>
        <w:rPr>
          <w:rFonts w:cs="Times New Roman"/>
        </w:rPr>
      </w:pPr>
      <w:r w:rsidRPr="00987282">
        <w:rPr>
          <w:rFonts w:cs="Times New Roman"/>
        </w:rPr>
        <w:t>18.</w:t>
      </w:r>
      <w:r w:rsidRPr="00987282">
        <w:rPr>
          <w:rFonts w:cs="Times New Roman"/>
        </w:rPr>
        <w:tab/>
        <w:t xml:space="preserve">Lengliné E, Raffoux E, Lemiale V, Darmon M, Canet E, Boissel N, et al. Intensive care unit management of patients with newly diagnosed acute myeloid leukemia with no organ failure. Leuk Lymphoma. 2012 Jul;53(7):1352–9. </w:t>
      </w:r>
    </w:p>
    <w:p w:rsidR="00987282" w:rsidRPr="00987282" w:rsidRDefault="00987282" w:rsidP="00987282">
      <w:pPr>
        <w:pStyle w:val="Bibliographie1"/>
        <w:rPr>
          <w:rFonts w:cs="Times New Roman"/>
        </w:rPr>
      </w:pPr>
      <w:r w:rsidRPr="00987282">
        <w:rPr>
          <w:rFonts w:cs="Times New Roman"/>
        </w:rPr>
        <w:t>19.</w:t>
      </w:r>
      <w:r w:rsidRPr="00987282">
        <w:rPr>
          <w:rFonts w:cs="Times New Roman"/>
        </w:rPr>
        <w:tab/>
        <w:t xml:space="preserve">Soares M, Caruso P, Silva E, Teles JMM, Lobo SMA, Friedman G, et al. Characteristics and outcomes of patients with cancer requiring admission to intensive care units: a prospective multicenter study. Critical Care Medicine. 2010 Jan;38(1):9–15. </w:t>
      </w:r>
    </w:p>
    <w:p w:rsidR="00987282" w:rsidRPr="00987282" w:rsidRDefault="00987282" w:rsidP="00987282">
      <w:pPr>
        <w:pStyle w:val="Bibliographie1"/>
        <w:rPr>
          <w:rFonts w:cs="Times New Roman"/>
        </w:rPr>
      </w:pPr>
      <w:r w:rsidRPr="00987282">
        <w:rPr>
          <w:rFonts w:cs="Times New Roman"/>
        </w:rPr>
        <w:t>20.</w:t>
      </w:r>
      <w:r w:rsidRPr="00987282">
        <w:rPr>
          <w:rFonts w:cs="Times New Roman"/>
        </w:rPr>
        <w:tab/>
        <w:t xml:space="preserve">Torres VBL, Vassalo J, Silva UVA, Caruso P, Torelly AP, Silva E, et al. Outcomes in Critically Ill Patients with Cancer-Related Complications. PloS One. 2016;11(10):e0164537. </w:t>
      </w:r>
    </w:p>
    <w:p w:rsidR="00987282" w:rsidRPr="00987282" w:rsidRDefault="00987282" w:rsidP="00987282">
      <w:pPr>
        <w:pStyle w:val="Bibliographie1"/>
        <w:rPr>
          <w:rFonts w:cs="Times New Roman"/>
        </w:rPr>
      </w:pPr>
      <w:r w:rsidRPr="00987282">
        <w:rPr>
          <w:rFonts w:cs="Times New Roman"/>
        </w:rPr>
        <w:t>21.</w:t>
      </w:r>
      <w:r w:rsidRPr="00987282">
        <w:rPr>
          <w:rFonts w:cs="Times New Roman"/>
        </w:rPr>
        <w:tab/>
        <w:t xml:space="preserve">Grgić Medić M, Gornik I, Gašparović V. Hematologic malignancies in the medical intensive care unit--Outcomes and prognostic factors. Hematology. 2015 Jun;20(5):247–53. </w:t>
      </w:r>
    </w:p>
    <w:p w:rsidR="00987282" w:rsidRPr="00987282" w:rsidRDefault="00987282" w:rsidP="00987282">
      <w:pPr>
        <w:pStyle w:val="Bibliographie1"/>
        <w:rPr>
          <w:rFonts w:cs="Times New Roman"/>
        </w:rPr>
      </w:pPr>
      <w:r w:rsidRPr="00987282">
        <w:rPr>
          <w:rFonts w:cs="Times New Roman"/>
        </w:rPr>
        <w:t>22.</w:t>
      </w:r>
      <w:r w:rsidRPr="00987282">
        <w:rPr>
          <w:rFonts w:cs="Times New Roman"/>
        </w:rPr>
        <w:tab/>
        <w:t xml:space="preserve">McGrath S, Chatterjee F, Whiteley C, Ostermann M. ICU and 6-month outcome of oncology patients in the intensive care unit. QJM. 2010 Jun;103(6):397–403. </w:t>
      </w:r>
    </w:p>
    <w:p w:rsidR="00987282" w:rsidRPr="00987282" w:rsidRDefault="00987282" w:rsidP="00987282">
      <w:pPr>
        <w:pStyle w:val="Bibliographie1"/>
        <w:rPr>
          <w:rFonts w:cs="Times New Roman"/>
        </w:rPr>
      </w:pPr>
      <w:r w:rsidRPr="00987282">
        <w:rPr>
          <w:rFonts w:cs="Times New Roman"/>
        </w:rPr>
        <w:t>23.</w:t>
      </w:r>
      <w:r w:rsidRPr="00987282">
        <w:rPr>
          <w:rFonts w:cs="Times New Roman"/>
        </w:rPr>
        <w:tab/>
        <w:t xml:space="preserve">Manjappachar NK, Cuenca JA, Ramírez CM, Hernandez M, Martin P, Reyes MP, et al. Outcomes and Predictors of 28-Day Mortality in Patients With Hematologic Malignancies and Septic Shock Defined by Sepsis-3 Criteria. J Natl Compr Canc Netw. 2022 Jan;20(1):45–53. </w:t>
      </w:r>
    </w:p>
    <w:p w:rsidR="00987282" w:rsidRPr="00987282" w:rsidRDefault="00987282" w:rsidP="00987282">
      <w:pPr>
        <w:pStyle w:val="Bibliographie1"/>
        <w:rPr>
          <w:rFonts w:cs="Times New Roman"/>
        </w:rPr>
      </w:pPr>
      <w:r w:rsidRPr="00987282">
        <w:rPr>
          <w:rFonts w:cs="Times New Roman"/>
        </w:rPr>
        <w:t>24.</w:t>
      </w:r>
      <w:r w:rsidRPr="00987282">
        <w:rPr>
          <w:rFonts w:cs="Times New Roman"/>
        </w:rPr>
        <w:tab/>
        <w:t xml:space="preserve">Camou F, Didier M, Leguay T, Milpied N, Daste A, Ravaud A, et al. Long-term prognosis of septic shock in cancer patients. Support Care Cancer. 2020 Mar;28(3):1325–33. </w:t>
      </w:r>
    </w:p>
    <w:p w:rsidR="00987282" w:rsidRPr="00987282" w:rsidRDefault="00987282" w:rsidP="00987282">
      <w:pPr>
        <w:pStyle w:val="Bibliographie1"/>
        <w:rPr>
          <w:rFonts w:cs="Times New Roman"/>
        </w:rPr>
      </w:pPr>
      <w:r w:rsidRPr="00987282">
        <w:rPr>
          <w:rFonts w:cs="Times New Roman"/>
        </w:rPr>
        <w:t>25.</w:t>
      </w:r>
      <w:r w:rsidRPr="00987282">
        <w:rPr>
          <w:rFonts w:cs="Times New Roman"/>
        </w:rPr>
        <w:tab/>
        <w:t xml:space="preserve">Desprez C, Kouatchet A, Marchand T, Mear JB, Tadié JM, Peterlin P, et al. Outcome of patients with newly diagnosed AML admitted to the ICU, including preemptive admission - a multi-center study. Ann Hematol. 2023 Jun;102(6):1383–93. </w:t>
      </w:r>
    </w:p>
    <w:p w:rsidR="00987282" w:rsidRPr="00987282" w:rsidRDefault="00987282" w:rsidP="00987282">
      <w:pPr>
        <w:pStyle w:val="Bibliographie1"/>
        <w:rPr>
          <w:rFonts w:cs="Times New Roman"/>
        </w:rPr>
      </w:pPr>
      <w:r w:rsidRPr="00987282">
        <w:rPr>
          <w:rFonts w:cs="Times New Roman"/>
        </w:rPr>
        <w:lastRenderedPageBreak/>
        <w:t>26.</w:t>
      </w:r>
      <w:r w:rsidRPr="00987282">
        <w:rPr>
          <w:rFonts w:cs="Times New Roman"/>
        </w:rPr>
        <w:tab/>
        <w:t xml:space="preserve">de Oliveira MCF, Ferreira JC, Nassar Junior AP, Dettino ALA, Caruso P. Impact of Urgent Chemotherapy in Critically Ill Patients. J Intensive Care Med. 2020 Apr;35(4):347–53. </w:t>
      </w:r>
    </w:p>
    <w:p w:rsidR="00987282" w:rsidRPr="00987282" w:rsidRDefault="00987282" w:rsidP="00987282">
      <w:pPr>
        <w:pStyle w:val="Bibliographie1"/>
        <w:rPr>
          <w:rFonts w:cs="Times New Roman"/>
        </w:rPr>
      </w:pPr>
      <w:r w:rsidRPr="00987282">
        <w:rPr>
          <w:rFonts w:cs="Times New Roman"/>
        </w:rPr>
        <w:t>27.</w:t>
      </w:r>
      <w:r w:rsidRPr="00987282">
        <w:rPr>
          <w:rFonts w:cs="Times New Roman"/>
        </w:rPr>
        <w:tab/>
        <w:t xml:space="preserve">Russell L, Madsen MB, Dahl M, Kampmann P, Perner A. Prediction of bleeding and thrombosis by standard biochemical coagulation variables in haematological intensive care patients. Acta Anaesthesiol Scand. 2018 Feb;62(2):196–206. </w:t>
      </w:r>
    </w:p>
    <w:p w:rsidR="00987282" w:rsidRPr="00987282" w:rsidRDefault="00987282" w:rsidP="00987282">
      <w:pPr>
        <w:pStyle w:val="Bibliographie1"/>
        <w:rPr>
          <w:rFonts w:cs="Times New Roman"/>
        </w:rPr>
      </w:pPr>
      <w:r w:rsidRPr="00987282">
        <w:rPr>
          <w:rFonts w:cs="Times New Roman"/>
        </w:rPr>
        <w:t>28.</w:t>
      </w:r>
      <w:r w:rsidRPr="00987282">
        <w:rPr>
          <w:rFonts w:cs="Times New Roman"/>
        </w:rPr>
        <w:tab/>
        <w:t xml:space="preserve">Sheshadri A, Godoy M, Erasmus JJ, Gruschkus S, Hasan A, Evans SE, et al. Progression of the Radiologic Severity Index is associated with increased mortality and healthcare resource utilisation in acute leukaemia patients with pneumonia. BMJ Open Respir Res. 2019;6(1):e000471. </w:t>
      </w:r>
    </w:p>
    <w:p w:rsidR="00987282" w:rsidRPr="00987282" w:rsidRDefault="00987282" w:rsidP="00987282">
      <w:pPr>
        <w:pStyle w:val="Bibliographie1"/>
        <w:rPr>
          <w:rFonts w:cs="Times New Roman"/>
        </w:rPr>
      </w:pPr>
      <w:r w:rsidRPr="00987282">
        <w:rPr>
          <w:rFonts w:cs="Times New Roman"/>
        </w:rPr>
        <w:t>29.</w:t>
      </w:r>
      <w:r w:rsidRPr="00987282">
        <w:rPr>
          <w:rFonts w:cs="Times New Roman"/>
        </w:rPr>
        <w:tab/>
        <w:t xml:space="preserve">Cetintepe T, Cetintepe L, Solmaz S, Calık S, Ugur MC, Gediz F, et al. Determination of the relationship between mortality and SOFA, qSOFA, MASCC scores in febrile neutropenic patients monitored in the intensive care unit. Support Care Cancer. 2021 Jul;29(7):4089–94. </w:t>
      </w:r>
    </w:p>
    <w:p w:rsidR="00987282" w:rsidRPr="00987282" w:rsidRDefault="00987282" w:rsidP="00987282">
      <w:pPr>
        <w:pStyle w:val="Bibliographie1"/>
        <w:rPr>
          <w:rFonts w:cs="Times New Roman"/>
        </w:rPr>
      </w:pPr>
      <w:r w:rsidRPr="00987282">
        <w:rPr>
          <w:rFonts w:cs="Times New Roman"/>
        </w:rPr>
        <w:t>30.</w:t>
      </w:r>
      <w:r w:rsidRPr="00987282">
        <w:rPr>
          <w:rFonts w:cs="Times New Roman"/>
        </w:rPr>
        <w:tab/>
        <w:t xml:space="preserve">Türkoğlu M, Erdem GU, Suyanı E, Sancar ME, Yalçın MM, Aygencel G, et al. Acute respiratory distress syndrome in patients with hematological malignancies. Hematology. 2013 May;18(3):123–30. </w:t>
      </w:r>
    </w:p>
    <w:p w:rsidR="00987282" w:rsidRPr="00987282" w:rsidRDefault="00987282" w:rsidP="00987282">
      <w:pPr>
        <w:pStyle w:val="Bibliographie1"/>
        <w:rPr>
          <w:rFonts w:cs="Times New Roman"/>
        </w:rPr>
      </w:pPr>
      <w:r w:rsidRPr="00987282">
        <w:rPr>
          <w:rFonts w:cs="Times New Roman"/>
        </w:rPr>
        <w:t>31.</w:t>
      </w:r>
      <w:r w:rsidRPr="00987282">
        <w:rPr>
          <w:rFonts w:cs="Times New Roman"/>
        </w:rPr>
        <w:tab/>
        <w:t xml:space="preserve">Wells G, Shea B, O’Connell D, Robertson J, Peterson J, Losos M, et al. The Newcastle-Ottawa Scale (NOS) for Assessing the Quality of Nonrandomized Studies in Meta- Analysis. </w:t>
      </w:r>
    </w:p>
    <w:p w:rsidR="00D21559" w:rsidRDefault="00730B42" w:rsidP="00551117">
      <w:r>
        <w:fldChar w:fldCharType="end"/>
      </w:r>
    </w:p>
    <w:p w:rsidR="00D21559" w:rsidRPr="00345641" w:rsidRDefault="00D21559" w:rsidP="00551117"/>
    <w:sectPr w:rsidR="00D21559" w:rsidRPr="0034564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E6481" w:rsidRDefault="000E6481" w:rsidP="005567D9">
      <w:pPr>
        <w:spacing w:after="0" w:line="240" w:lineRule="auto"/>
      </w:pPr>
      <w:r>
        <w:separator/>
      </w:r>
    </w:p>
  </w:endnote>
  <w:endnote w:type="continuationSeparator" w:id="0">
    <w:p w:rsidR="000E6481" w:rsidRDefault="000E6481" w:rsidP="005567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eta Medium LF">
    <w:altName w:val="Cambria"/>
    <w:panose1 w:val="020B0604020202020204"/>
    <w:charset w:val="00"/>
    <w:family w:val="swiss"/>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E6481" w:rsidRDefault="000E6481" w:rsidP="005567D9">
      <w:pPr>
        <w:spacing w:after="0" w:line="240" w:lineRule="auto"/>
      </w:pPr>
      <w:r>
        <w:separator/>
      </w:r>
    </w:p>
  </w:footnote>
  <w:footnote w:type="continuationSeparator" w:id="0">
    <w:p w:rsidR="000E6481" w:rsidRDefault="000E6481" w:rsidP="005567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9346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117"/>
    <w:rsid w:val="00074644"/>
    <w:rsid w:val="000A259E"/>
    <w:rsid w:val="000D40F2"/>
    <w:rsid w:val="000E6481"/>
    <w:rsid w:val="00101EA5"/>
    <w:rsid w:val="00173803"/>
    <w:rsid w:val="001764B7"/>
    <w:rsid w:val="00186CC1"/>
    <w:rsid w:val="001F5A83"/>
    <w:rsid w:val="002219B9"/>
    <w:rsid w:val="00290D70"/>
    <w:rsid w:val="00291EDE"/>
    <w:rsid w:val="002E43AE"/>
    <w:rsid w:val="00341208"/>
    <w:rsid w:val="00345641"/>
    <w:rsid w:val="00347EE6"/>
    <w:rsid w:val="00387C1B"/>
    <w:rsid w:val="00395819"/>
    <w:rsid w:val="003A138C"/>
    <w:rsid w:val="003D7831"/>
    <w:rsid w:val="00407EA2"/>
    <w:rsid w:val="004A19E4"/>
    <w:rsid w:val="004D7BEC"/>
    <w:rsid w:val="004E36E1"/>
    <w:rsid w:val="004E6CFB"/>
    <w:rsid w:val="004F71DF"/>
    <w:rsid w:val="005075C7"/>
    <w:rsid w:val="00551117"/>
    <w:rsid w:val="005567D9"/>
    <w:rsid w:val="005D435A"/>
    <w:rsid w:val="005D5010"/>
    <w:rsid w:val="006164BE"/>
    <w:rsid w:val="00624BA8"/>
    <w:rsid w:val="006D124C"/>
    <w:rsid w:val="006F1694"/>
    <w:rsid w:val="0071394F"/>
    <w:rsid w:val="00723135"/>
    <w:rsid w:val="00730B42"/>
    <w:rsid w:val="00744C11"/>
    <w:rsid w:val="007516E3"/>
    <w:rsid w:val="00763B71"/>
    <w:rsid w:val="007A5709"/>
    <w:rsid w:val="00820842"/>
    <w:rsid w:val="00881880"/>
    <w:rsid w:val="008C7392"/>
    <w:rsid w:val="009354B8"/>
    <w:rsid w:val="00977A79"/>
    <w:rsid w:val="00987282"/>
    <w:rsid w:val="00A93813"/>
    <w:rsid w:val="00A93F9D"/>
    <w:rsid w:val="00AB4069"/>
    <w:rsid w:val="00B62681"/>
    <w:rsid w:val="00B81D49"/>
    <w:rsid w:val="00B924A0"/>
    <w:rsid w:val="00BC1FCE"/>
    <w:rsid w:val="00BF330D"/>
    <w:rsid w:val="00BF3BF4"/>
    <w:rsid w:val="00C71EF8"/>
    <w:rsid w:val="00CA2DC6"/>
    <w:rsid w:val="00D024A7"/>
    <w:rsid w:val="00D21559"/>
    <w:rsid w:val="00D4636B"/>
    <w:rsid w:val="00D563BE"/>
    <w:rsid w:val="00D77361"/>
    <w:rsid w:val="00DA2AAC"/>
    <w:rsid w:val="00DD7D96"/>
    <w:rsid w:val="00DE4349"/>
    <w:rsid w:val="00DE4D22"/>
    <w:rsid w:val="00E522AF"/>
    <w:rsid w:val="00EE6A55"/>
    <w:rsid w:val="00F42244"/>
    <w:rsid w:val="00F72B37"/>
    <w:rsid w:val="00FA4D64"/>
    <w:rsid w:val="00FB06AA"/>
    <w:rsid w:val="00FB26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A0A9E"/>
  <w15:chartTrackingRefBased/>
  <w15:docId w15:val="{9AEF7C29-64C7-8F4F-B95B-94CE571B5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117"/>
    <w:pPr>
      <w:jc w:val="both"/>
    </w:pPr>
    <w:rPr>
      <w:rFonts w:ascii="Times New Roman" w:hAnsi="Times New Roman"/>
      <w:lang w:val="en-US"/>
    </w:rPr>
  </w:style>
  <w:style w:type="paragraph" w:styleId="Titre1">
    <w:name w:val="heading 1"/>
    <w:basedOn w:val="Normal"/>
    <w:next w:val="Normal"/>
    <w:link w:val="Titre1Car"/>
    <w:uiPriority w:val="9"/>
    <w:qFormat/>
    <w:rsid w:val="00551117"/>
    <w:pPr>
      <w:keepNext/>
      <w:keepLines/>
      <w:spacing w:before="360" w:after="80"/>
      <w:outlineLvl w:val="0"/>
    </w:pPr>
    <w:rPr>
      <w:rFonts w:asciiTheme="majorHAnsi" w:eastAsiaTheme="majorEastAsia" w:hAnsiTheme="majorHAnsi" w:cstheme="majorBidi"/>
      <w:color w:val="2F5496" w:themeColor="accent1" w:themeShade="BF"/>
      <w:sz w:val="40"/>
      <w:szCs w:val="40"/>
      <w:lang w:val="fr-FR"/>
    </w:rPr>
  </w:style>
  <w:style w:type="paragraph" w:styleId="Titre2">
    <w:name w:val="heading 2"/>
    <w:basedOn w:val="Normal"/>
    <w:next w:val="Normal"/>
    <w:link w:val="Titre2Car"/>
    <w:uiPriority w:val="9"/>
    <w:semiHidden/>
    <w:unhideWhenUsed/>
    <w:qFormat/>
    <w:rsid w:val="00551117"/>
    <w:pPr>
      <w:keepNext/>
      <w:keepLines/>
      <w:spacing w:before="160" w:after="80"/>
      <w:outlineLvl w:val="1"/>
    </w:pPr>
    <w:rPr>
      <w:rFonts w:asciiTheme="majorHAnsi" w:eastAsiaTheme="majorEastAsia" w:hAnsiTheme="majorHAnsi" w:cstheme="majorBidi"/>
      <w:color w:val="2F5496" w:themeColor="accent1" w:themeShade="BF"/>
      <w:sz w:val="32"/>
      <w:szCs w:val="32"/>
      <w:lang w:val="fr-FR"/>
    </w:rPr>
  </w:style>
  <w:style w:type="paragraph" w:styleId="Titre3">
    <w:name w:val="heading 3"/>
    <w:basedOn w:val="Normal"/>
    <w:next w:val="Normal"/>
    <w:link w:val="Titre3Car"/>
    <w:uiPriority w:val="9"/>
    <w:semiHidden/>
    <w:unhideWhenUsed/>
    <w:qFormat/>
    <w:rsid w:val="00551117"/>
    <w:pPr>
      <w:keepNext/>
      <w:keepLines/>
      <w:spacing w:before="160" w:after="80"/>
      <w:outlineLvl w:val="2"/>
    </w:pPr>
    <w:rPr>
      <w:rFonts w:asciiTheme="minorHAnsi" w:eastAsiaTheme="majorEastAsia" w:hAnsiTheme="minorHAnsi" w:cstheme="majorBidi"/>
      <w:color w:val="2F5496" w:themeColor="accent1" w:themeShade="BF"/>
      <w:sz w:val="28"/>
      <w:szCs w:val="28"/>
      <w:lang w:val="fr-FR"/>
    </w:rPr>
  </w:style>
  <w:style w:type="paragraph" w:styleId="Titre4">
    <w:name w:val="heading 4"/>
    <w:basedOn w:val="Normal"/>
    <w:next w:val="Normal"/>
    <w:link w:val="Titre4Car"/>
    <w:uiPriority w:val="9"/>
    <w:semiHidden/>
    <w:unhideWhenUsed/>
    <w:qFormat/>
    <w:rsid w:val="00551117"/>
    <w:pPr>
      <w:keepNext/>
      <w:keepLines/>
      <w:spacing w:before="80" w:after="40"/>
      <w:outlineLvl w:val="3"/>
    </w:pPr>
    <w:rPr>
      <w:rFonts w:asciiTheme="minorHAnsi" w:eastAsiaTheme="majorEastAsia" w:hAnsiTheme="minorHAnsi" w:cstheme="majorBidi"/>
      <w:i/>
      <w:iCs/>
      <w:color w:val="2F5496" w:themeColor="accent1" w:themeShade="BF"/>
      <w:lang w:val="fr-FR"/>
    </w:rPr>
  </w:style>
  <w:style w:type="paragraph" w:styleId="Titre5">
    <w:name w:val="heading 5"/>
    <w:basedOn w:val="Normal"/>
    <w:next w:val="Normal"/>
    <w:link w:val="Titre5Car"/>
    <w:uiPriority w:val="9"/>
    <w:semiHidden/>
    <w:unhideWhenUsed/>
    <w:qFormat/>
    <w:rsid w:val="00551117"/>
    <w:pPr>
      <w:keepNext/>
      <w:keepLines/>
      <w:spacing w:before="80" w:after="40"/>
      <w:outlineLvl w:val="4"/>
    </w:pPr>
    <w:rPr>
      <w:rFonts w:asciiTheme="minorHAnsi" w:eastAsiaTheme="majorEastAsia" w:hAnsiTheme="minorHAnsi" w:cstheme="majorBidi"/>
      <w:color w:val="2F5496" w:themeColor="accent1" w:themeShade="BF"/>
      <w:lang w:val="fr-FR"/>
    </w:rPr>
  </w:style>
  <w:style w:type="paragraph" w:styleId="Titre6">
    <w:name w:val="heading 6"/>
    <w:basedOn w:val="Normal"/>
    <w:next w:val="Normal"/>
    <w:link w:val="Titre6Car"/>
    <w:uiPriority w:val="9"/>
    <w:semiHidden/>
    <w:unhideWhenUsed/>
    <w:qFormat/>
    <w:rsid w:val="00551117"/>
    <w:pPr>
      <w:keepNext/>
      <w:keepLines/>
      <w:spacing w:before="40" w:after="0"/>
      <w:outlineLvl w:val="5"/>
    </w:pPr>
    <w:rPr>
      <w:rFonts w:asciiTheme="minorHAnsi" w:eastAsiaTheme="majorEastAsia" w:hAnsiTheme="minorHAnsi" w:cstheme="majorBidi"/>
      <w:i/>
      <w:iCs/>
      <w:color w:val="595959" w:themeColor="text1" w:themeTint="A6"/>
      <w:lang w:val="fr-FR"/>
    </w:rPr>
  </w:style>
  <w:style w:type="paragraph" w:styleId="Titre7">
    <w:name w:val="heading 7"/>
    <w:basedOn w:val="Normal"/>
    <w:next w:val="Normal"/>
    <w:link w:val="Titre7Car"/>
    <w:uiPriority w:val="9"/>
    <w:semiHidden/>
    <w:unhideWhenUsed/>
    <w:qFormat/>
    <w:rsid w:val="00551117"/>
    <w:pPr>
      <w:keepNext/>
      <w:keepLines/>
      <w:spacing w:before="40" w:after="0"/>
      <w:outlineLvl w:val="6"/>
    </w:pPr>
    <w:rPr>
      <w:rFonts w:asciiTheme="minorHAnsi" w:eastAsiaTheme="majorEastAsia" w:hAnsiTheme="minorHAnsi" w:cstheme="majorBidi"/>
      <w:color w:val="595959" w:themeColor="text1" w:themeTint="A6"/>
      <w:lang w:val="fr-FR"/>
    </w:rPr>
  </w:style>
  <w:style w:type="paragraph" w:styleId="Titre8">
    <w:name w:val="heading 8"/>
    <w:basedOn w:val="Normal"/>
    <w:next w:val="Normal"/>
    <w:link w:val="Titre8Car"/>
    <w:uiPriority w:val="9"/>
    <w:semiHidden/>
    <w:unhideWhenUsed/>
    <w:qFormat/>
    <w:rsid w:val="00551117"/>
    <w:pPr>
      <w:keepNext/>
      <w:keepLines/>
      <w:spacing w:after="0"/>
      <w:outlineLvl w:val="7"/>
    </w:pPr>
    <w:rPr>
      <w:rFonts w:asciiTheme="minorHAnsi" w:eastAsiaTheme="majorEastAsia" w:hAnsiTheme="minorHAnsi" w:cstheme="majorBidi"/>
      <w:i/>
      <w:iCs/>
      <w:color w:val="272727" w:themeColor="text1" w:themeTint="D8"/>
      <w:lang w:val="fr-FR"/>
    </w:rPr>
  </w:style>
  <w:style w:type="paragraph" w:styleId="Titre9">
    <w:name w:val="heading 9"/>
    <w:basedOn w:val="Normal"/>
    <w:next w:val="Normal"/>
    <w:link w:val="Titre9Car"/>
    <w:uiPriority w:val="9"/>
    <w:semiHidden/>
    <w:unhideWhenUsed/>
    <w:qFormat/>
    <w:rsid w:val="00551117"/>
    <w:pPr>
      <w:keepNext/>
      <w:keepLines/>
      <w:spacing w:after="0"/>
      <w:outlineLvl w:val="8"/>
    </w:pPr>
    <w:rPr>
      <w:rFonts w:asciiTheme="minorHAnsi" w:eastAsiaTheme="majorEastAsia" w:hAnsiTheme="minorHAnsi" w:cstheme="majorBidi"/>
      <w:color w:val="272727" w:themeColor="text1" w:themeTint="D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1117"/>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51117"/>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51117"/>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51117"/>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51117"/>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5111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5111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5111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51117"/>
    <w:rPr>
      <w:rFonts w:eastAsiaTheme="majorEastAsia" w:cstheme="majorBidi"/>
      <w:color w:val="272727" w:themeColor="text1" w:themeTint="D8"/>
    </w:rPr>
  </w:style>
  <w:style w:type="paragraph" w:styleId="Titre">
    <w:name w:val="Title"/>
    <w:basedOn w:val="Normal"/>
    <w:next w:val="Normal"/>
    <w:link w:val="TitreCar"/>
    <w:uiPriority w:val="10"/>
    <w:qFormat/>
    <w:rsid w:val="00551117"/>
    <w:pPr>
      <w:spacing w:after="80" w:line="240" w:lineRule="auto"/>
      <w:contextualSpacing/>
    </w:pPr>
    <w:rPr>
      <w:rFonts w:asciiTheme="majorHAnsi" w:eastAsiaTheme="majorEastAsia" w:hAnsiTheme="majorHAnsi" w:cstheme="majorBidi"/>
      <w:spacing w:val="-10"/>
      <w:kern w:val="28"/>
      <w:sz w:val="56"/>
      <w:szCs w:val="56"/>
      <w:lang w:val="fr-FR"/>
    </w:rPr>
  </w:style>
  <w:style w:type="character" w:customStyle="1" w:styleId="TitreCar">
    <w:name w:val="Titre Car"/>
    <w:basedOn w:val="Policepardfaut"/>
    <w:link w:val="Titre"/>
    <w:uiPriority w:val="10"/>
    <w:rsid w:val="0055111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51117"/>
    <w:pPr>
      <w:numPr>
        <w:ilvl w:val="1"/>
      </w:numPr>
    </w:pPr>
    <w:rPr>
      <w:rFonts w:asciiTheme="minorHAnsi" w:eastAsiaTheme="majorEastAsia" w:hAnsiTheme="minorHAnsi" w:cstheme="majorBidi"/>
      <w:color w:val="595959" w:themeColor="text1" w:themeTint="A6"/>
      <w:spacing w:val="15"/>
      <w:sz w:val="28"/>
      <w:szCs w:val="28"/>
      <w:lang w:val="fr-FR"/>
    </w:rPr>
  </w:style>
  <w:style w:type="character" w:customStyle="1" w:styleId="Sous-titreCar">
    <w:name w:val="Sous-titre Car"/>
    <w:basedOn w:val="Policepardfaut"/>
    <w:link w:val="Sous-titre"/>
    <w:uiPriority w:val="11"/>
    <w:rsid w:val="0055111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51117"/>
    <w:pPr>
      <w:spacing w:before="160"/>
      <w:jc w:val="center"/>
    </w:pPr>
    <w:rPr>
      <w:i/>
      <w:iCs/>
      <w:color w:val="404040" w:themeColor="text1" w:themeTint="BF"/>
      <w:lang w:val="fr-FR"/>
    </w:rPr>
  </w:style>
  <w:style w:type="character" w:customStyle="1" w:styleId="CitationCar">
    <w:name w:val="Citation Car"/>
    <w:basedOn w:val="Policepardfaut"/>
    <w:link w:val="Citation"/>
    <w:uiPriority w:val="29"/>
    <w:rsid w:val="00551117"/>
    <w:rPr>
      <w:rFonts w:ascii="Times New Roman" w:hAnsi="Times New Roman"/>
      <w:i/>
      <w:iCs/>
      <w:color w:val="404040" w:themeColor="text1" w:themeTint="BF"/>
    </w:rPr>
  </w:style>
  <w:style w:type="paragraph" w:styleId="Paragraphedeliste">
    <w:name w:val="List Paragraph"/>
    <w:basedOn w:val="Normal"/>
    <w:uiPriority w:val="34"/>
    <w:qFormat/>
    <w:rsid w:val="00551117"/>
    <w:pPr>
      <w:ind w:left="720"/>
      <w:contextualSpacing/>
    </w:pPr>
    <w:rPr>
      <w:lang w:val="fr-FR"/>
    </w:rPr>
  </w:style>
  <w:style w:type="character" w:styleId="Accentuationintense">
    <w:name w:val="Intense Emphasis"/>
    <w:basedOn w:val="Policepardfaut"/>
    <w:uiPriority w:val="21"/>
    <w:qFormat/>
    <w:rsid w:val="00551117"/>
    <w:rPr>
      <w:i/>
      <w:iCs/>
      <w:color w:val="2F5496" w:themeColor="accent1" w:themeShade="BF"/>
    </w:rPr>
  </w:style>
  <w:style w:type="paragraph" w:styleId="Citationintense">
    <w:name w:val="Intense Quote"/>
    <w:basedOn w:val="Normal"/>
    <w:next w:val="Normal"/>
    <w:link w:val="CitationintenseCar"/>
    <w:uiPriority w:val="30"/>
    <w:qFormat/>
    <w:rsid w:val="005511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lang w:val="fr-FR"/>
    </w:rPr>
  </w:style>
  <w:style w:type="character" w:customStyle="1" w:styleId="CitationintenseCar">
    <w:name w:val="Citation intense Car"/>
    <w:basedOn w:val="Policepardfaut"/>
    <w:link w:val="Citationintense"/>
    <w:uiPriority w:val="30"/>
    <w:rsid w:val="00551117"/>
    <w:rPr>
      <w:rFonts w:ascii="Times New Roman" w:hAnsi="Times New Roman"/>
      <w:i/>
      <w:iCs/>
      <w:color w:val="2F5496" w:themeColor="accent1" w:themeShade="BF"/>
    </w:rPr>
  </w:style>
  <w:style w:type="character" w:styleId="Rfrenceintense">
    <w:name w:val="Intense Reference"/>
    <w:basedOn w:val="Policepardfaut"/>
    <w:uiPriority w:val="32"/>
    <w:qFormat/>
    <w:rsid w:val="00551117"/>
    <w:rPr>
      <w:b/>
      <w:bCs/>
      <w:smallCaps/>
      <w:color w:val="2F5496" w:themeColor="accent1" w:themeShade="BF"/>
      <w:spacing w:val="5"/>
    </w:rPr>
  </w:style>
  <w:style w:type="character" w:styleId="Lienhypertexte">
    <w:name w:val="Hyperlink"/>
    <w:basedOn w:val="Policepardfaut"/>
    <w:uiPriority w:val="99"/>
    <w:unhideWhenUsed/>
    <w:rsid w:val="00551117"/>
    <w:rPr>
      <w:color w:val="0563C1" w:themeColor="hyperlink"/>
      <w:u w:val="single"/>
    </w:rPr>
  </w:style>
  <w:style w:type="table" w:styleId="Grilledutableau">
    <w:name w:val="Table Grid"/>
    <w:basedOn w:val="TableauNormal"/>
    <w:uiPriority w:val="39"/>
    <w:rsid w:val="00551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395819"/>
    <w:pPr>
      <w:spacing w:after="200" w:line="240" w:lineRule="auto"/>
    </w:pPr>
    <w:rPr>
      <w:i/>
      <w:iCs/>
      <w:color w:val="44546A" w:themeColor="text2"/>
      <w:sz w:val="18"/>
      <w:szCs w:val="18"/>
    </w:rPr>
  </w:style>
  <w:style w:type="paragraph" w:styleId="En-tte">
    <w:name w:val="header"/>
    <w:basedOn w:val="Normal"/>
    <w:link w:val="En-tteCar"/>
    <w:uiPriority w:val="99"/>
    <w:unhideWhenUsed/>
    <w:rsid w:val="005567D9"/>
    <w:pPr>
      <w:tabs>
        <w:tab w:val="center" w:pos="4536"/>
        <w:tab w:val="right" w:pos="9072"/>
      </w:tabs>
      <w:spacing w:after="0" w:line="240" w:lineRule="auto"/>
    </w:pPr>
  </w:style>
  <w:style w:type="character" w:customStyle="1" w:styleId="En-tteCar">
    <w:name w:val="En-tête Car"/>
    <w:basedOn w:val="Policepardfaut"/>
    <w:link w:val="En-tte"/>
    <w:uiPriority w:val="99"/>
    <w:rsid w:val="005567D9"/>
    <w:rPr>
      <w:rFonts w:ascii="Times New Roman" w:hAnsi="Times New Roman"/>
      <w:lang w:val="en-US"/>
    </w:rPr>
  </w:style>
  <w:style w:type="paragraph" w:styleId="Pieddepage">
    <w:name w:val="footer"/>
    <w:basedOn w:val="Normal"/>
    <w:link w:val="PieddepageCar"/>
    <w:uiPriority w:val="99"/>
    <w:unhideWhenUsed/>
    <w:rsid w:val="005567D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567D9"/>
    <w:rPr>
      <w:rFonts w:ascii="Times New Roman" w:hAnsi="Times New Roman"/>
      <w:lang w:val="en-US"/>
    </w:rPr>
  </w:style>
  <w:style w:type="paragraph" w:customStyle="1" w:styleId="Default">
    <w:name w:val="Default"/>
    <w:rsid w:val="00347EE6"/>
    <w:pPr>
      <w:autoSpaceDE w:val="0"/>
      <w:autoSpaceDN w:val="0"/>
      <w:adjustRightInd w:val="0"/>
      <w:spacing w:after="0" w:line="240" w:lineRule="auto"/>
    </w:pPr>
    <w:rPr>
      <w:rFonts w:ascii="Meta Medium LF" w:hAnsi="Meta Medium LF" w:cs="Meta Medium LF"/>
      <w:color w:val="000000"/>
      <w:kern w:val="0"/>
      <w:lang w:val="en-GB"/>
      <w14:ligatures w14:val="none"/>
    </w:rPr>
  </w:style>
  <w:style w:type="paragraph" w:customStyle="1" w:styleId="Bibliographie1">
    <w:name w:val="Bibliographie1"/>
    <w:basedOn w:val="Normal"/>
    <w:link w:val="BibliographyCar"/>
    <w:rsid w:val="00730B42"/>
    <w:pPr>
      <w:tabs>
        <w:tab w:val="left" w:pos="380"/>
      </w:tabs>
      <w:spacing w:after="240" w:line="240" w:lineRule="auto"/>
      <w:ind w:left="384" w:hanging="384"/>
    </w:pPr>
  </w:style>
  <w:style w:type="character" w:customStyle="1" w:styleId="BibliographyCar">
    <w:name w:val="Bibliography Car"/>
    <w:basedOn w:val="Policepardfaut"/>
    <w:link w:val="Bibliographie1"/>
    <w:rsid w:val="00730B42"/>
    <w:rPr>
      <w:rFonts w:ascii="Times New Roman" w:hAnsi="Times New Roman"/>
      <w:lang w:val="en-US"/>
    </w:rPr>
  </w:style>
  <w:style w:type="paragraph" w:styleId="Tabledesillustrations">
    <w:name w:val="table of figures"/>
    <w:basedOn w:val="Normal"/>
    <w:next w:val="Normal"/>
    <w:uiPriority w:val="99"/>
    <w:unhideWhenUsed/>
    <w:rsid w:val="00E522AF"/>
    <w:pPr>
      <w:spacing w:after="0"/>
    </w:pPr>
  </w:style>
  <w:style w:type="character" w:styleId="Mentionnonrsolue">
    <w:name w:val="Unresolved Mention"/>
    <w:basedOn w:val="Policepardfaut"/>
    <w:uiPriority w:val="99"/>
    <w:semiHidden/>
    <w:unhideWhenUsed/>
    <w:rsid w:val="00387C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ie.azoulay@aphp.fr" TargetMode="External"/><Relationship Id="rId13" Type="http://schemas.openxmlformats.org/officeDocument/2006/relationships/image" Target="media/image4.png"/><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image" Target="media/image12.emf"/><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hyperlink" Target="https://www.ncbi.nlm.nih.gov/books/NBK115843/bin/appe-fm3.pdf" TargetMode="Externa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AB77FC-DE0C-C748-A1A1-1C4A14BC6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36</Pages>
  <Words>21701</Words>
  <Characters>119360</Characters>
  <Application>Microsoft Office Word</Application>
  <DocSecurity>0</DocSecurity>
  <Lines>994</Lines>
  <Paragraphs>281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140780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Dara Chean</dc:creator>
  <cp:keywords/>
  <dc:description/>
  <cp:lastModifiedBy>Dara Chean</cp:lastModifiedBy>
  <cp:revision>28</cp:revision>
  <dcterms:created xsi:type="dcterms:W3CDTF">2025-10-21T10:07:00Z</dcterms:created>
  <dcterms:modified xsi:type="dcterms:W3CDTF">2025-11-05T08:30:00Z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id="iBiUqFfu"/&gt;&lt;style id="http://www.zotero.org/styles/vancouver" locale="en-US" hasBibliography="1" bibliographyStyleHasBeenSet="1"/&gt;&lt;prefs&gt;&lt;pref name="fieldType" value="Field"/&gt;&lt;/prefs&gt;&lt;/data&gt;</vt:lpwstr>
  </property>
</Properties>
</file>