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156E" w14:textId="741918DD" w:rsidR="005A74EB" w:rsidRPr="00B377B9" w:rsidRDefault="009C474F" w:rsidP="009C474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377B9">
        <w:rPr>
          <w:rFonts w:ascii="Arial" w:hAnsi="Arial" w:cs="Arial"/>
          <w:b/>
          <w:bCs/>
          <w:sz w:val="24"/>
          <w:szCs w:val="24"/>
        </w:rPr>
        <w:t>Supplemental information</w:t>
      </w:r>
    </w:p>
    <w:p w14:paraId="0A7FC69D" w14:textId="77777777" w:rsidR="009D1CD6" w:rsidRPr="00B377B9" w:rsidRDefault="009D1CD6" w:rsidP="009C474F">
      <w:pPr>
        <w:spacing w:line="360" w:lineRule="auto"/>
        <w:rPr>
          <w:rFonts w:ascii="Arial" w:hAnsi="Arial" w:cs="Arial"/>
          <w:sz w:val="24"/>
          <w:szCs w:val="24"/>
        </w:rPr>
      </w:pPr>
    </w:p>
    <w:p w14:paraId="50E472FA" w14:textId="77777777" w:rsidR="00B377B9" w:rsidRPr="00B377B9" w:rsidRDefault="00B377B9" w:rsidP="009C474F">
      <w:pPr>
        <w:spacing w:line="360" w:lineRule="auto"/>
        <w:rPr>
          <w:rFonts w:ascii="Arial" w:hAnsi="Arial" w:cs="Arial"/>
          <w:sz w:val="24"/>
          <w:szCs w:val="24"/>
        </w:rPr>
      </w:pPr>
    </w:p>
    <w:p w14:paraId="671BBCAE" w14:textId="77777777" w:rsidR="00B377B9" w:rsidRPr="00B377B9" w:rsidRDefault="009D1CD6" w:rsidP="009C474F">
      <w:pPr>
        <w:spacing w:line="360" w:lineRule="auto"/>
        <w:rPr>
          <w:rFonts w:ascii="Arial" w:hAnsi="Arial" w:cs="Arial"/>
          <w:sz w:val="24"/>
          <w:szCs w:val="24"/>
        </w:rPr>
        <w:sectPr w:rsidR="00B377B9" w:rsidRPr="00B377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377B9">
        <w:rPr>
          <w:rFonts w:ascii="Arial" w:hAnsi="Arial" w:cs="Arial"/>
          <w:sz w:val="24"/>
          <w:szCs w:val="24"/>
        </w:rPr>
        <w:t>Integrated tumor tissue metabolomic and transcriptomic approaches for identifying diagnostic biomarkers in endometrial cancer with diabetes mellitus</w:t>
      </w:r>
    </w:p>
    <w:p w14:paraId="0039746A" w14:textId="55BCEDF5" w:rsidR="00B238E9" w:rsidRDefault="00866390" w:rsidP="00F56A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F390F9" wp14:editId="338F8089">
            <wp:extent cx="6510387" cy="4353951"/>
            <wp:effectExtent l="0" t="0" r="5080" b="8890"/>
            <wp:docPr id="18410270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60" cy="439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FA51A" w14:textId="77777777" w:rsidR="000D7FA9" w:rsidRDefault="000D7FA9" w:rsidP="009C474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121F67B" w14:textId="4FEF6687" w:rsidR="00B238E9" w:rsidRPr="00CE3901" w:rsidRDefault="00793998" w:rsidP="009C474F">
      <w:pPr>
        <w:spacing w:line="360" w:lineRule="auto"/>
        <w:rPr>
          <w:rFonts w:ascii="Arial" w:hAnsi="Arial" w:cs="Arial"/>
          <w:sz w:val="24"/>
          <w:szCs w:val="24"/>
        </w:rPr>
      </w:pPr>
      <w:r w:rsidRPr="002E0C50">
        <w:rPr>
          <w:rFonts w:ascii="Arial" w:hAnsi="Arial" w:cs="Arial"/>
          <w:b/>
          <w:bCs/>
          <w:sz w:val="24"/>
          <w:szCs w:val="24"/>
        </w:rPr>
        <w:t>Fig</w:t>
      </w:r>
      <w:r w:rsidR="00141FA5">
        <w:rPr>
          <w:rFonts w:ascii="Arial" w:hAnsi="Arial" w:cs="Arial" w:hint="eastAsia"/>
          <w:b/>
          <w:bCs/>
          <w:sz w:val="24"/>
          <w:szCs w:val="24"/>
        </w:rPr>
        <w:t>.</w:t>
      </w:r>
      <w:r w:rsidRPr="002E0C50">
        <w:rPr>
          <w:rFonts w:ascii="Arial" w:hAnsi="Arial" w:cs="Arial"/>
          <w:b/>
          <w:bCs/>
          <w:sz w:val="24"/>
          <w:szCs w:val="24"/>
        </w:rPr>
        <w:t xml:space="preserve"> S1</w:t>
      </w:r>
      <w:r w:rsidR="00076E10">
        <w:rPr>
          <w:rFonts w:ascii="Arial" w:hAnsi="Arial" w:cs="Arial" w:hint="eastAsia"/>
          <w:b/>
          <w:bCs/>
          <w:sz w:val="24"/>
          <w:szCs w:val="24"/>
        </w:rPr>
        <w:t>.</w:t>
      </w:r>
      <w:r w:rsidRPr="002E0C50">
        <w:rPr>
          <w:rFonts w:ascii="Arial" w:hAnsi="Arial" w:cs="Arial"/>
          <w:b/>
          <w:bCs/>
          <w:sz w:val="24"/>
          <w:szCs w:val="24"/>
        </w:rPr>
        <w:t xml:space="preserve"> Study design. </w:t>
      </w:r>
      <w:r w:rsidR="00DE2770" w:rsidRPr="00DE2770">
        <w:rPr>
          <w:rFonts w:ascii="Arial" w:hAnsi="Arial" w:cs="Arial" w:hint="eastAsia"/>
          <w:sz w:val="24"/>
          <w:szCs w:val="24"/>
        </w:rPr>
        <w:t xml:space="preserve">Workflow illustrating the sequential steps of metabolomic and transcriptomic analyses. Non-targeted </w:t>
      </w:r>
      <w:r w:rsidR="00DE2770" w:rsidRPr="00DE2770">
        <w:rPr>
          <w:rFonts w:ascii="Arial" w:hAnsi="Arial" w:cs="Arial" w:hint="eastAsia"/>
          <w:sz w:val="24"/>
          <w:szCs w:val="24"/>
        </w:rPr>
        <w:lastRenderedPageBreak/>
        <w:t>metabolomics profiling was performed on tumor tissue samples from all enrolled patients. RNA sequencing was conducted on a subset of patients with matched metabolomic data. Data integration was performed exclusively on samples with both metabolomic and transcriptomic datasets, enabling the identification of potential biomarkers.</w:t>
      </w:r>
    </w:p>
    <w:p w14:paraId="26755A5E" w14:textId="77777777" w:rsidR="00B238E9" w:rsidRDefault="00B238E9" w:rsidP="009C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B4EC27" w14:textId="77777777" w:rsidR="00B238E9" w:rsidRDefault="00B238E9" w:rsidP="009C474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238E9" w:rsidSect="00B238E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14718DF" w14:textId="14EDCF6A" w:rsidR="00FF0FA4" w:rsidRDefault="00FF0FA4" w:rsidP="00FF0F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FA4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23ADA12" wp14:editId="3CC7B468">
            <wp:extent cx="2919046" cy="6771595"/>
            <wp:effectExtent l="0" t="0" r="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B4795260-3376-8C4B-6507-DFE07BF220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B4795260-3376-8C4B-6507-DFE07BF220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5431" cy="680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29E44" w14:textId="77777777" w:rsidR="00FF0FA4" w:rsidRDefault="00FF0FA4" w:rsidP="006C29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5A88" w14:textId="5E68D222" w:rsidR="006C2909" w:rsidRPr="00076E10" w:rsidRDefault="00793998" w:rsidP="006C2909">
      <w:pPr>
        <w:spacing w:line="360" w:lineRule="auto"/>
        <w:rPr>
          <w:rFonts w:ascii="Arial" w:hAnsi="Arial" w:cs="Arial"/>
          <w:sz w:val="24"/>
          <w:szCs w:val="24"/>
        </w:rPr>
      </w:pPr>
      <w:r w:rsidRPr="00076E10">
        <w:rPr>
          <w:rFonts w:ascii="Arial" w:hAnsi="Arial" w:cs="Arial"/>
          <w:b/>
          <w:bCs/>
          <w:sz w:val="24"/>
          <w:szCs w:val="24"/>
        </w:rPr>
        <w:t>Fig</w:t>
      </w:r>
      <w:r w:rsidR="00141FA5" w:rsidRPr="00076E10">
        <w:rPr>
          <w:rFonts w:ascii="Arial" w:hAnsi="Arial" w:cs="Arial"/>
          <w:b/>
          <w:bCs/>
          <w:sz w:val="24"/>
          <w:szCs w:val="24"/>
        </w:rPr>
        <w:t>.</w:t>
      </w:r>
      <w:r w:rsidRPr="00076E10">
        <w:rPr>
          <w:rFonts w:ascii="Arial" w:hAnsi="Arial" w:cs="Arial"/>
          <w:b/>
          <w:bCs/>
          <w:sz w:val="24"/>
          <w:szCs w:val="24"/>
        </w:rPr>
        <w:t xml:space="preserve"> S2</w:t>
      </w:r>
      <w:r w:rsidR="00076E10" w:rsidRPr="00076E10">
        <w:rPr>
          <w:rFonts w:ascii="Arial" w:hAnsi="Arial" w:cs="Arial"/>
          <w:sz w:val="24"/>
          <w:szCs w:val="24"/>
        </w:rPr>
        <w:t>.</w:t>
      </w:r>
      <w:r w:rsidRPr="00076E10">
        <w:rPr>
          <w:rFonts w:ascii="Arial" w:hAnsi="Arial" w:cs="Arial"/>
          <w:sz w:val="24"/>
          <w:szCs w:val="24"/>
        </w:rPr>
        <w:t xml:space="preserve"> </w:t>
      </w:r>
      <w:r w:rsidR="006C2909" w:rsidRPr="00076E10">
        <w:rPr>
          <w:rFonts w:ascii="Arial" w:hAnsi="Arial" w:cs="Arial"/>
          <w:b/>
          <w:bCs/>
          <w:sz w:val="24"/>
          <w:szCs w:val="24"/>
        </w:rPr>
        <w:t>Differential metabolites identified by ≥</w:t>
      </w:r>
      <w:r w:rsidR="00FF0FA4" w:rsidRPr="00076E10">
        <w:rPr>
          <w:rFonts w:ascii="Arial" w:hAnsi="Arial" w:cs="Arial"/>
          <w:b/>
          <w:bCs/>
          <w:sz w:val="24"/>
          <w:szCs w:val="24"/>
        </w:rPr>
        <w:t>1</w:t>
      </w:r>
      <w:r w:rsidR="006C2909" w:rsidRPr="00076E10">
        <w:rPr>
          <w:rFonts w:ascii="Arial" w:hAnsi="Arial" w:cs="Arial"/>
          <w:b/>
          <w:bCs/>
          <w:sz w:val="24"/>
          <w:szCs w:val="24"/>
        </w:rPr>
        <w:t xml:space="preserve"> methods between EC-NDM and EC-DM.</w:t>
      </w:r>
      <w:r w:rsidR="006C2909" w:rsidRPr="00076E10">
        <w:rPr>
          <w:rFonts w:ascii="Arial" w:hAnsi="Arial" w:cs="Arial"/>
          <w:sz w:val="24"/>
          <w:szCs w:val="24"/>
        </w:rPr>
        <w:t xml:space="preserve"> Black squares denote metabolites selected by each method. Red upward arrows indicate increased expression levels and blue downward arrows indicate decreased expression levels in the EC-DM group compared with the EC-NDM group.</w:t>
      </w:r>
    </w:p>
    <w:p w14:paraId="414B3565" w14:textId="627AB00C" w:rsidR="001441D4" w:rsidRDefault="001441D4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242024" w14:textId="77777777" w:rsidR="00BF51C0" w:rsidRDefault="006F00D0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7D0FEB" wp14:editId="4048417F">
            <wp:extent cx="5274310" cy="3697461"/>
            <wp:effectExtent l="0" t="0" r="2540" b="0"/>
            <wp:docPr id="630804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04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FA9DF" w14:textId="77777777" w:rsidR="006F00D0" w:rsidRDefault="006F00D0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DE406A" w14:textId="29E874AF" w:rsidR="006F00D0" w:rsidRPr="006F00D0" w:rsidRDefault="005A0226" w:rsidP="006F00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44FC7">
        <w:rPr>
          <w:rFonts w:ascii="Arial" w:hAnsi="Arial" w:cs="Arial"/>
          <w:b/>
          <w:bCs/>
          <w:sz w:val="24"/>
          <w:szCs w:val="24"/>
        </w:rPr>
        <w:t>Fig. S</w:t>
      </w:r>
      <w:r w:rsidRPr="00544FC7">
        <w:rPr>
          <w:rFonts w:ascii="Arial" w:hAnsi="Arial" w:cs="Arial" w:hint="eastAsia"/>
          <w:b/>
          <w:bCs/>
          <w:sz w:val="24"/>
          <w:szCs w:val="24"/>
        </w:rPr>
        <w:t>3</w:t>
      </w:r>
      <w:r w:rsidR="006F00D0" w:rsidRPr="00544FC7">
        <w:rPr>
          <w:rFonts w:ascii="Arial" w:hAnsi="Arial" w:cs="Arial"/>
          <w:b/>
          <w:bCs/>
          <w:sz w:val="24"/>
          <w:szCs w:val="24"/>
        </w:rPr>
        <w:t>.</w:t>
      </w:r>
      <w:r w:rsidR="006F00D0" w:rsidRPr="006F00D0">
        <w:rPr>
          <w:rFonts w:ascii="Arial" w:hAnsi="Arial" w:cs="Arial"/>
          <w:b/>
          <w:bCs/>
          <w:sz w:val="24"/>
          <w:szCs w:val="24"/>
        </w:rPr>
        <w:t xml:space="preserve"> Differentially expressed genes and enriched pathways between EC–NDM and EC–DM (up and downregulated)</w:t>
      </w:r>
    </w:p>
    <w:p w14:paraId="0D1DF427" w14:textId="4359DA54" w:rsidR="006F00D0" w:rsidRPr="006F00D0" w:rsidRDefault="006F00D0" w:rsidP="006F00D0">
      <w:pPr>
        <w:spacing w:line="360" w:lineRule="auto"/>
        <w:rPr>
          <w:rFonts w:ascii="Arial" w:hAnsi="Arial" w:cs="Arial"/>
          <w:sz w:val="24"/>
          <w:szCs w:val="24"/>
        </w:rPr>
        <w:sectPr w:rsidR="006F00D0" w:rsidRPr="006F00D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F00D0">
        <w:rPr>
          <w:rFonts w:ascii="Arial" w:hAnsi="Arial" w:cs="Arial"/>
          <w:sz w:val="24"/>
          <w:szCs w:val="24"/>
        </w:rPr>
        <w:t xml:space="preserve">A total of 1,123 differentially expressed genes (DEGs, including both upregulated and downregulated) were analyzed using </w:t>
      </w:r>
      <w:proofErr w:type="spellStart"/>
      <w:r w:rsidRPr="006F00D0">
        <w:rPr>
          <w:rFonts w:ascii="Arial" w:hAnsi="Arial" w:cs="Arial"/>
          <w:sz w:val="24"/>
          <w:szCs w:val="24"/>
        </w:rPr>
        <w:t>Metascape</w:t>
      </w:r>
      <w:proofErr w:type="spellEnd"/>
      <w:r w:rsidRPr="006F00D0">
        <w:rPr>
          <w:rFonts w:ascii="Arial" w:hAnsi="Arial" w:cs="Arial"/>
          <w:sz w:val="24"/>
          <w:szCs w:val="24"/>
        </w:rPr>
        <w:t xml:space="preserve">, integrating GO Biological Process (GO BP), GO Molecular Function (GO MF), </w:t>
      </w:r>
      <w:proofErr w:type="spellStart"/>
      <w:r w:rsidRPr="006F00D0">
        <w:rPr>
          <w:rFonts w:ascii="Arial" w:hAnsi="Arial" w:cs="Arial"/>
          <w:sz w:val="24"/>
          <w:szCs w:val="24"/>
        </w:rPr>
        <w:t>Reactome</w:t>
      </w:r>
      <w:proofErr w:type="spellEnd"/>
      <w:r w:rsidRPr="006F00D0">
        <w:rPr>
          <w:rFonts w:ascii="Arial" w:hAnsi="Arial" w:cs="Arial"/>
          <w:sz w:val="24"/>
          <w:szCs w:val="24"/>
        </w:rPr>
        <w:t xml:space="preserve">, KEGG, </w:t>
      </w:r>
      <w:proofErr w:type="spellStart"/>
      <w:r w:rsidRPr="006F00D0">
        <w:rPr>
          <w:rFonts w:ascii="Arial" w:hAnsi="Arial" w:cs="Arial"/>
          <w:sz w:val="24"/>
          <w:szCs w:val="24"/>
        </w:rPr>
        <w:t>WikiPathways</w:t>
      </w:r>
      <w:proofErr w:type="spellEnd"/>
      <w:r w:rsidRPr="006F00D0">
        <w:rPr>
          <w:rFonts w:ascii="Arial" w:hAnsi="Arial" w:cs="Arial"/>
          <w:sz w:val="24"/>
          <w:szCs w:val="24"/>
        </w:rPr>
        <w:t xml:space="preserve"> (WP), </w:t>
      </w:r>
      <w:proofErr w:type="spellStart"/>
      <w:r w:rsidRPr="006F00D0">
        <w:rPr>
          <w:rFonts w:ascii="Arial" w:hAnsi="Arial" w:cs="Arial"/>
          <w:sz w:val="24"/>
          <w:szCs w:val="24"/>
        </w:rPr>
        <w:t>BioCarta</w:t>
      </w:r>
      <w:proofErr w:type="spellEnd"/>
      <w:r w:rsidRPr="006F00D0">
        <w:rPr>
          <w:rFonts w:ascii="Arial" w:hAnsi="Arial" w:cs="Arial"/>
          <w:sz w:val="24"/>
          <w:szCs w:val="24"/>
        </w:rPr>
        <w:t>, and Hallmark databases. The top 20 enriched pathways are shown, ranked by –log10 (p-value).</w:t>
      </w:r>
    </w:p>
    <w:p w14:paraId="3DE1CB3D" w14:textId="77777777" w:rsidR="00BF51C0" w:rsidRDefault="00BF51C0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6CA66B" wp14:editId="4E86352B">
            <wp:extent cx="8834511" cy="4974871"/>
            <wp:effectExtent l="0" t="0" r="5080" b="0"/>
            <wp:docPr id="69250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06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6458" cy="499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E3B72" w14:textId="55A9964B" w:rsidR="0023388D" w:rsidRPr="0023388D" w:rsidRDefault="0023388D" w:rsidP="0023388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3388D">
        <w:rPr>
          <w:rFonts w:ascii="Arial" w:hAnsi="Arial" w:cs="Arial"/>
          <w:b/>
          <w:bCs/>
          <w:sz w:val="24"/>
          <w:szCs w:val="24"/>
        </w:rPr>
        <w:lastRenderedPageBreak/>
        <w:t>Fig. S</w:t>
      </w:r>
      <w:r w:rsidR="005A0226">
        <w:rPr>
          <w:rFonts w:ascii="Arial" w:hAnsi="Arial" w:cs="Arial" w:hint="eastAsia"/>
          <w:b/>
          <w:bCs/>
          <w:sz w:val="24"/>
          <w:szCs w:val="24"/>
        </w:rPr>
        <w:t>4</w:t>
      </w:r>
      <w:r w:rsidRPr="0023388D">
        <w:rPr>
          <w:rFonts w:ascii="Arial" w:hAnsi="Arial" w:cs="Arial"/>
          <w:b/>
          <w:bCs/>
          <w:sz w:val="24"/>
          <w:szCs w:val="24"/>
        </w:rPr>
        <w:t>. RNA metabolic pathways associated with EC-NDM and EC-DM.</w:t>
      </w:r>
    </w:p>
    <w:p w14:paraId="2B028978" w14:textId="006D1A37" w:rsidR="000F1048" w:rsidRPr="0023388D" w:rsidRDefault="0023388D" w:rsidP="0023388D">
      <w:pPr>
        <w:spacing w:line="360" w:lineRule="auto"/>
        <w:rPr>
          <w:rFonts w:ascii="Arial" w:hAnsi="Arial" w:cs="Arial"/>
          <w:sz w:val="24"/>
          <w:szCs w:val="24"/>
        </w:rPr>
        <w:sectPr w:rsidR="000F1048" w:rsidRPr="0023388D" w:rsidSect="00BF51C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23388D">
        <w:rPr>
          <w:rFonts w:ascii="Arial" w:hAnsi="Arial" w:cs="Arial"/>
          <w:sz w:val="24"/>
          <w:szCs w:val="24"/>
        </w:rPr>
        <w:t xml:space="preserve">Related to </w:t>
      </w:r>
      <w:r w:rsidRPr="0023388D">
        <w:rPr>
          <w:rFonts w:ascii="Arial" w:hAnsi="Arial" w:cs="Arial"/>
          <w:b/>
          <w:bCs/>
          <w:sz w:val="24"/>
          <w:szCs w:val="24"/>
        </w:rPr>
        <w:t>Fig. 4</w:t>
      </w:r>
      <w:r w:rsidRPr="0023388D">
        <w:rPr>
          <w:rFonts w:ascii="Arial" w:hAnsi="Arial" w:cs="Arial"/>
          <w:sz w:val="24"/>
          <w:szCs w:val="24"/>
        </w:rPr>
        <w:t xml:space="preserve"> and </w:t>
      </w:r>
      <w:r w:rsidRPr="0023388D">
        <w:rPr>
          <w:rFonts w:ascii="Arial" w:hAnsi="Arial" w:cs="Arial"/>
          <w:b/>
          <w:bCs/>
          <w:sz w:val="24"/>
          <w:szCs w:val="24"/>
        </w:rPr>
        <w:t>Table S4</w:t>
      </w:r>
      <w:r w:rsidRPr="0023388D">
        <w:rPr>
          <w:rFonts w:ascii="Arial" w:hAnsi="Arial" w:cs="Arial"/>
          <w:sz w:val="24"/>
          <w:szCs w:val="24"/>
        </w:rPr>
        <w:t xml:space="preserve">. Differential expression and pathway enrichment analyses were performed on RNA-seq data from EC-NDM (n = 6) and EC-DM (n = 6) samples. Heatmaps present normalized expression levels of differentially expressed genes (DEGs) in three representative enriched pathways: </w:t>
      </w:r>
      <w:r w:rsidRPr="00033F94">
        <w:rPr>
          <w:rFonts w:ascii="Arial" w:hAnsi="Arial" w:cs="Arial"/>
          <w:b/>
          <w:bCs/>
          <w:sz w:val="24"/>
          <w:szCs w:val="24"/>
        </w:rPr>
        <w:t>A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Pr="0023388D">
        <w:rPr>
          <w:rFonts w:ascii="Arial" w:hAnsi="Arial" w:cs="Arial"/>
          <w:sz w:val="24"/>
          <w:szCs w:val="24"/>
        </w:rPr>
        <w:t xml:space="preserve"> monocarboxylic acid metabolic process, </w:t>
      </w:r>
      <w:r w:rsidRPr="00033F94">
        <w:rPr>
          <w:rFonts w:ascii="Arial" w:hAnsi="Arial" w:cs="Arial"/>
          <w:b/>
          <w:bCs/>
          <w:sz w:val="24"/>
          <w:szCs w:val="24"/>
        </w:rPr>
        <w:t>B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Pr="0023388D">
        <w:rPr>
          <w:rFonts w:ascii="Arial" w:hAnsi="Arial" w:cs="Arial"/>
          <w:sz w:val="24"/>
          <w:szCs w:val="24"/>
        </w:rPr>
        <w:t xml:space="preserve"> terpenoid metabolic process, and </w:t>
      </w:r>
      <w:r w:rsidRPr="00033F94">
        <w:rPr>
          <w:rFonts w:ascii="Arial" w:hAnsi="Arial" w:cs="Arial"/>
          <w:b/>
          <w:bCs/>
          <w:sz w:val="24"/>
          <w:szCs w:val="24"/>
        </w:rPr>
        <w:t>C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Pr="0023388D">
        <w:rPr>
          <w:rFonts w:ascii="Arial" w:hAnsi="Arial" w:cs="Arial"/>
          <w:sz w:val="24"/>
          <w:szCs w:val="24"/>
        </w:rPr>
        <w:t xml:space="preserve"> renin–angiotensin system.</w:t>
      </w:r>
    </w:p>
    <w:p w14:paraId="419923E3" w14:textId="77777777" w:rsidR="00BF51C0" w:rsidRDefault="00BF51C0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2B5FEF" w14:textId="356840BE" w:rsidR="0037033C" w:rsidRDefault="00B84C56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C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889AA7" wp14:editId="66000647">
            <wp:extent cx="5274310" cy="6247130"/>
            <wp:effectExtent l="0" t="0" r="2540" b="1270"/>
            <wp:docPr id="1938982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826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D715" w14:textId="77777777" w:rsidR="00BF51C0" w:rsidRDefault="00BF51C0" w:rsidP="006C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9608C" w14:textId="6586E584" w:rsidR="00656BFA" w:rsidRPr="00E4176A" w:rsidRDefault="00656BFA" w:rsidP="00656B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176A">
        <w:rPr>
          <w:rFonts w:ascii="Arial" w:hAnsi="Arial" w:cs="Arial"/>
          <w:b/>
          <w:bCs/>
          <w:sz w:val="24"/>
          <w:szCs w:val="24"/>
        </w:rPr>
        <w:t>Fig. S</w:t>
      </w:r>
      <w:r w:rsidR="005A0226">
        <w:rPr>
          <w:rFonts w:ascii="Arial" w:hAnsi="Arial" w:cs="Arial" w:hint="eastAsia"/>
          <w:b/>
          <w:bCs/>
          <w:sz w:val="24"/>
          <w:szCs w:val="24"/>
        </w:rPr>
        <w:t>5</w:t>
      </w:r>
      <w:r w:rsidRPr="00E4176A">
        <w:rPr>
          <w:rFonts w:ascii="Arial" w:hAnsi="Arial" w:cs="Arial"/>
          <w:b/>
          <w:bCs/>
          <w:sz w:val="24"/>
          <w:szCs w:val="24"/>
        </w:rPr>
        <w:t>. Correlation between pathway-specific DEGs and metabolites.</w:t>
      </w:r>
    </w:p>
    <w:p w14:paraId="4AB98292" w14:textId="77777777" w:rsidR="00656BFA" w:rsidRPr="00E4176A" w:rsidRDefault="00656BFA" w:rsidP="00656BFA">
      <w:pPr>
        <w:spacing w:line="360" w:lineRule="auto"/>
        <w:rPr>
          <w:rFonts w:ascii="Arial" w:hAnsi="Arial" w:cs="Arial"/>
          <w:sz w:val="24"/>
          <w:szCs w:val="24"/>
        </w:rPr>
      </w:pPr>
      <w:r w:rsidRPr="00E4176A">
        <w:rPr>
          <w:rFonts w:ascii="Arial" w:hAnsi="Arial" w:cs="Arial"/>
          <w:sz w:val="24"/>
          <w:szCs w:val="24"/>
        </w:rPr>
        <w:t>Related to Table S4. Chord diagrams illustrate significant correlations between differentially expressed genes (DEGs) assigned to the indicated pathways and metabolites identified in Fig. 2A. Only correlations with Pearson’s r ≥ 0.75 and p ≤ 0.01 are shown. Red lines denote positive correlations; blue lines denote negative correlations.</w:t>
      </w:r>
    </w:p>
    <w:p w14:paraId="49D2FF38" w14:textId="2B07D610" w:rsidR="00656BFA" w:rsidRPr="00E4176A" w:rsidRDefault="00656BFA" w:rsidP="00656BFA">
      <w:pPr>
        <w:spacing w:line="360" w:lineRule="auto"/>
        <w:rPr>
          <w:rFonts w:ascii="Arial" w:hAnsi="Arial" w:cs="Arial"/>
          <w:sz w:val="24"/>
          <w:szCs w:val="24"/>
        </w:rPr>
      </w:pPr>
      <w:r w:rsidRPr="00033F94">
        <w:rPr>
          <w:rFonts w:ascii="Arial" w:hAnsi="Arial" w:cs="Arial"/>
          <w:b/>
          <w:bCs/>
          <w:sz w:val="24"/>
          <w:szCs w:val="24"/>
        </w:rPr>
        <w:lastRenderedPageBreak/>
        <w:t>A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Pr="00E4176A">
        <w:rPr>
          <w:rFonts w:ascii="Arial" w:hAnsi="Arial" w:cs="Arial"/>
          <w:sz w:val="24"/>
          <w:szCs w:val="24"/>
        </w:rPr>
        <w:t xml:space="preserve"> Correlations between DEGs from the monocarboxylic acid metabolic process pathway and metabolites identified in Fig. 2A;</w:t>
      </w:r>
    </w:p>
    <w:p w14:paraId="56A3977D" w14:textId="15352D63" w:rsidR="0037033C" w:rsidRDefault="00BA3CE5" w:rsidP="00656BFA">
      <w:pPr>
        <w:spacing w:line="360" w:lineRule="auto"/>
        <w:rPr>
          <w:rFonts w:ascii="Arial" w:hAnsi="Arial" w:cs="Arial"/>
          <w:sz w:val="24"/>
          <w:szCs w:val="24"/>
        </w:rPr>
      </w:pPr>
      <w:r w:rsidRPr="00033F94">
        <w:rPr>
          <w:rFonts w:ascii="Arial" w:hAnsi="Arial" w:cs="Arial" w:hint="eastAsia"/>
          <w:b/>
          <w:bCs/>
          <w:sz w:val="24"/>
          <w:szCs w:val="24"/>
        </w:rPr>
        <w:t>B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="00656BFA" w:rsidRPr="00033F94">
        <w:rPr>
          <w:rFonts w:ascii="Arial" w:hAnsi="Arial" w:cs="Arial"/>
          <w:b/>
          <w:bCs/>
          <w:sz w:val="24"/>
          <w:szCs w:val="24"/>
        </w:rPr>
        <w:t xml:space="preserve"> </w:t>
      </w:r>
      <w:r w:rsidR="00656BFA" w:rsidRPr="00E4176A">
        <w:rPr>
          <w:rFonts w:ascii="Arial" w:hAnsi="Arial" w:cs="Arial"/>
          <w:sz w:val="24"/>
          <w:szCs w:val="24"/>
        </w:rPr>
        <w:t xml:space="preserve">correlations between DEGs from the </w:t>
      </w:r>
      <w:bookmarkStart w:id="0" w:name="OLE_LINK1"/>
      <w:r w:rsidR="00656BFA" w:rsidRPr="00E4176A">
        <w:rPr>
          <w:rFonts w:ascii="Arial" w:hAnsi="Arial" w:cs="Arial"/>
          <w:sz w:val="24"/>
          <w:szCs w:val="24"/>
        </w:rPr>
        <w:t>terpenoid metabolic process</w:t>
      </w:r>
      <w:bookmarkEnd w:id="0"/>
      <w:r w:rsidR="00656BFA" w:rsidRPr="00E4176A">
        <w:rPr>
          <w:rFonts w:ascii="Arial" w:hAnsi="Arial" w:cs="Arial"/>
          <w:sz w:val="24"/>
          <w:szCs w:val="24"/>
        </w:rPr>
        <w:t xml:space="preserve"> pathway and metabolites identified in Fig. 2A</w:t>
      </w:r>
      <w:r w:rsidRPr="00E4176A">
        <w:rPr>
          <w:rFonts w:ascii="Arial" w:hAnsi="Arial" w:cs="Arial"/>
          <w:sz w:val="24"/>
          <w:szCs w:val="24"/>
        </w:rPr>
        <w:t>;</w:t>
      </w:r>
    </w:p>
    <w:p w14:paraId="19640B01" w14:textId="1F89264B" w:rsidR="00BA3CE5" w:rsidRPr="00E4176A" w:rsidRDefault="00BA3CE5" w:rsidP="00BA3CE5">
      <w:pPr>
        <w:spacing w:line="360" w:lineRule="auto"/>
        <w:rPr>
          <w:rFonts w:ascii="Arial" w:hAnsi="Arial" w:cs="Arial"/>
          <w:sz w:val="24"/>
          <w:szCs w:val="24"/>
        </w:rPr>
      </w:pPr>
      <w:r w:rsidRPr="00033F94">
        <w:rPr>
          <w:rFonts w:ascii="Arial" w:hAnsi="Arial" w:cs="Arial" w:hint="eastAsia"/>
          <w:b/>
          <w:bCs/>
          <w:sz w:val="24"/>
          <w:szCs w:val="24"/>
        </w:rPr>
        <w:t>C</w:t>
      </w:r>
      <w:r w:rsidR="00033F94" w:rsidRPr="00033F94">
        <w:rPr>
          <w:rFonts w:ascii="Arial" w:hAnsi="Arial" w:cs="Arial" w:hint="eastAsia"/>
          <w:b/>
          <w:bCs/>
          <w:sz w:val="24"/>
          <w:szCs w:val="24"/>
        </w:rPr>
        <w:t>.</w:t>
      </w:r>
      <w:r w:rsidRPr="00E4176A">
        <w:rPr>
          <w:rFonts w:ascii="Arial" w:hAnsi="Arial" w:cs="Arial"/>
          <w:sz w:val="24"/>
          <w:szCs w:val="24"/>
        </w:rPr>
        <w:t xml:space="preserve"> correlations between DEGs from the renin–angiotensin system pathway and metabolites identified in Fig. 2A</w:t>
      </w:r>
      <w:r>
        <w:rPr>
          <w:rFonts w:ascii="Arial" w:hAnsi="Arial" w:cs="Arial" w:hint="eastAsia"/>
          <w:sz w:val="24"/>
          <w:szCs w:val="24"/>
        </w:rPr>
        <w:t>.</w:t>
      </w:r>
    </w:p>
    <w:p w14:paraId="222C5275" w14:textId="77777777" w:rsidR="00BA3CE5" w:rsidRPr="00BA3CE5" w:rsidRDefault="00BA3CE5" w:rsidP="00656BF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A3CE5" w:rsidRPr="00BA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865" w14:textId="77777777" w:rsidR="00130004" w:rsidRDefault="00130004" w:rsidP="00F56A70">
      <w:pPr>
        <w:rPr>
          <w:rFonts w:hint="eastAsia"/>
        </w:rPr>
      </w:pPr>
      <w:r>
        <w:separator/>
      </w:r>
    </w:p>
  </w:endnote>
  <w:endnote w:type="continuationSeparator" w:id="0">
    <w:p w14:paraId="50D1422A" w14:textId="77777777" w:rsidR="00130004" w:rsidRDefault="00130004" w:rsidP="00F56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6D8F" w14:textId="77777777" w:rsidR="00130004" w:rsidRDefault="00130004" w:rsidP="00F56A70">
      <w:pPr>
        <w:rPr>
          <w:rFonts w:hint="eastAsia"/>
        </w:rPr>
      </w:pPr>
      <w:r>
        <w:separator/>
      </w:r>
    </w:p>
  </w:footnote>
  <w:footnote w:type="continuationSeparator" w:id="0">
    <w:p w14:paraId="1C3BCE8C" w14:textId="77777777" w:rsidR="00130004" w:rsidRDefault="00130004" w:rsidP="00F56A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7C"/>
    <w:rsid w:val="00033F94"/>
    <w:rsid w:val="00076E10"/>
    <w:rsid w:val="000D7FA9"/>
    <w:rsid w:val="000F1048"/>
    <w:rsid w:val="000F6A4E"/>
    <w:rsid w:val="00130004"/>
    <w:rsid w:val="00141FA5"/>
    <w:rsid w:val="001441D4"/>
    <w:rsid w:val="00181704"/>
    <w:rsid w:val="0019678C"/>
    <w:rsid w:val="001D7701"/>
    <w:rsid w:val="001F5298"/>
    <w:rsid w:val="0023388D"/>
    <w:rsid w:val="002A1329"/>
    <w:rsid w:val="002E0C50"/>
    <w:rsid w:val="0037033C"/>
    <w:rsid w:val="00490D98"/>
    <w:rsid w:val="004B2923"/>
    <w:rsid w:val="00520913"/>
    <w:rsid w:val="00544FC7"/>
    <w:rsid w:val="005A0226"/>
    <w:rsid w:val="005A74EB"/>
    <w:rsid w:val="005E0BE0"/>
    <w:rsid w:val="00656BFA"/>
    <w:rsid w:val="0069415D"/>
    <w:rsid w:val="006963A6"/>
    <w:rsid w:val="006974F8"/>
    <w:rsid w:val="006C2909"/>
    <w:rsid w:val="006F00D0"/>
    <w:rsid w:val="00712583"/>
    <w:rsid w:val="0073112E"/>
    <w:rsid w:val="00793998"/>
    <w:rsid w:val="007A0920"/>
    <w:rsid w:val="00816DF7"/>
    <w:rsid w:val="00866390"/>
    <w:rsid w:val="00872394"/>
    <w:rsid w:val="00910F7C"/>
    <w:rsid w:val="009C474F"/>
    <w:rsid w:val="009D1CD6"/>
    <w:rsid w:val="009F3F8F"/>
    <w:rsid w:val="00A86547"/>
    <w:rsid w:val="00AF1639"/>
    <w:rsid w:val="00B238E9"/>
    <w:rsid w:val="00B377B9"/>
    <w:rsid w:val="00B74C2B"/>
    <w:rsid w:val="00B84C56"/>
    <w:rsid w:val="00BA3CE5"/>
    <w:rsid w:val="00BF51C0"/>
    <w:rsid w:val="00C37BD6"/>
    <w:rsid w:val="00C41427"/>
    <w:rsid w:val="00C4276D"/>
    <w:rsid w:val="00C545AA"/>
    <w:rsid w:val="00CA4340"/>
    <w:rsid w:val="00CE3901"/>
    <w:rsid w:val="00D35E93"/>
    <w:rsid w:val="00D66B73"/>
    <w:rsid w:val="00DE2770"/>
    <w:rsid w:val="00E4176A"/>
    <w:rsid w:val="00E739FE"/>
    <w:rsid w:val="00EC529D"/>
    <w:rsid w:val="00ED6C1B"/>
    <w:rsid w:val="00EF4977"/>
    <w:rsid w:val="00F56A70"/>
    <w:rsid w:val="00F738D6"/>
    <w:rsid w:val="00FB46FD"/>
    <w:rsid w:val="00FD130B"/>
    <w:rsid w:val="00FD73E0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E264F"/>
  <w15:chartTrackingRefBased/>
  <w15:docId w15:val="{58543297-1DA7-4AB4-8374-700E7703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F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F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F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0F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F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F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F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F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F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6A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6A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6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看剑</dc:creator>
  <cp:keywords/>
  <dc:description/>
  <cp:lastModifiedBy>ellen 看剑</cp:lastModifiedBy>
  <cp:revision>48</cp:revision>
  <dcterms:created xsi:type="dcterms:W3CDTF">2025-08-03T12:15:00Z</dcterms:created>
  <dcterms:modified xsi:type="dcterms:W3CDTF">2025-08-18T12:55:00Z</dcterms:modified>
</cp:coreProperties>
</file>