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627E97"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Fig.S1</w:t>
      </w:r>
    </w:p>
    <w:p w14:paraId="7643FA1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3905" cy="2472055"/>
            <wp:effectExtent l="0" t="0" r="0" b="0"/>
            <wp:docPr id="1" name="图片 1" descr="模型评价-柱形图_ExpPlsda_20250901_01441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模型评价-柱形图_ExpPlsda_20250901_014419_01"/>
                    <pic:cNvPicPr>
                      <a:picLocks noChangeAspect="1"/>
                    </pic:cNvPicPr>
                  </pic:nvPicPr>
                  <pic:blipFill>
                    <a:blip r:embed="rId4"/>
                    <a:srcRect r="7831" b="12752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CAA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sz w:val="18"/>
          <w:szCs w:val="18"/>
        </w:rPr>
        <w:t>Fig.S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2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 xml:space="preserve"> The x-axis represents the accuracy of the permutation-based random models, and the y-axis represents the number of random models. Red bars indicate the frequency distribution of the Q² values obtained from permutation tests, while blue bars indicate the frequency distribution of the R²Y values. The p-value is calculated as:</w:t>
      </w:r>
    </w:p>
    <w:p w14:paraId="250BC88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>p = (number of random models performing better than the original model) / (total number of permutation models).</w:t>
      </w:r>
    </w:p>
    <w:p w14:paraId="1018EE1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>For example, a Q² p-value of 0.01 indicates that, among 100 permutations, only 1 random model showed better predictive ability than the original model (1/100). Likewise, an R²Y p-value of 0.05 indicates that, among 100 permutations, 5 random models showed better explanatory ability than the original model (5/100). In general, p &lt; 0.05 is taken to indicate that the model has good performance and is unlikely to be obtained by chance.</w:t>
      </w:r>
    </w:p>
    <w:p w14:paraId="5383F644">
      <w:pPr>
        <w:pStyle w:val="2"/>
        <w:rPr>
          <w:rFonts w:hint="eastAsia" w:eastAsia="黑体"/>
          <w:lang w:val="en-US" w:eastAsia="zh-CN"/>
        </w:rPr>
      </w:pPr>
    </w:p>
    <w:p w14:paraId="1BDE860A">
      <w:pPr>
        <w:rPr>
          <w:rFonts w:hint="eastAsia" w:eastAsia="黑体"/>
          <w:lang w:val="en-US" w:eastAsia="zh-CN"/>
        </w:rPr>
      </w:pPr>
    </w:p>
    <w:p w14:paraId="74B4085A">
      <w:pPr>
        <w:rPr>
          <w:rFonts w:hint="eastAsia" w:eastAsia="黑体"/>
          <w:lang w:val="en-US" w:eastAsia="zh-CN"/>
        </w:rPr>
      </w:pPr>
    </w:p>
    <w:p w14:paraId="52D2E047">
      <w:pPr>
        <w:rPr>
          <w:rFonts w:hint="eastAsia" w:eastAsia="黑体"/>
          <w:lang w:val="en-US" w:eastAsia="zh-CN"/>
        </w:rPr>
      </w:pPr>
    </w:p>
    <w:p w14:paraId="61968A1F">
      <w:pPr>
        <w:rPr>
          <w:rFonts w:hint="eastAsia" w:eastAsia="黑体"/>
          <w:lang w:val="en-US" w:eastAsia="zh-CN"/>
        </w:rPr>
      </w:pPr>
    </w:p>
    <w:p w14:paraId="0BDE179E">
      <w:pPr>
        <w:rPr>
          <w:rFonts w:hint="eastAsia" w:eastAsia="黑体"/>
          <w:lang w:val="en-US" w:eastAsia="zh-CN"/>
        </w:rPr>
      </w:pPr>
    </w:p>
    <w:p w14:paraId="7E6E6EE3">
      <w:pPr>
        <w:rPr>
          <w:rFonts w:hint="eastAsia" w:eastAsia="黑体"/>
          <w:lang w:val="en-US" w:eastAsia="zh-CN"/>
        </w:rPr>
      </w:pPr>
    </w:p>
    <w:p w14:paraId="7FDF9540">
      <w:pPr>
        <w:rPr>
          <w:rFonts w:hint="eastAsia" w:eastAsia="黑体"/>
          <w:lang w:val="en-US" w:eastAsia="zh-CN"/>
        </w:rPr>
      </w:pPr>
    </w:p>
    <w:p w14:paraId="0EE58163">
      <w:pPr>
        <w:rPr>
          <w:rFonts w:hint="eastAsia" w:eastAsia="黑体"/>
          <w:lang w:val="en-US" w:eastAsia="zh-CN"/>
        </w:rPr>
      </w:pPr>
    </w:p>
    <w:p w14:paraId="63ACA0FF">
      <w:pPr>
        <w:rPr>
          <w:rFonts w:hint="eastAsia" w:eastAsia="黑体"/>
          <w:lang w:val="en-US" w:eastAsia="zh-CN"/>
        </w:rPr>
      </w:pPr>
    </w:p>
    <w:p w14:paraId="3861041B">
      <w:pPr>
        <w:rPr>
          <w:rFonts w:hint="eastAsia" w:eastAsia="黑体"/>
          <w:lang w:val="en-US" w:eastAsia="zh-CN"/>
        </w:rPr>
      </w:pPr>
    </w:p>
    <w:p w14:paraId="01379A0D">
      <w:pPr>
        <w:rPr>
          <w:rFonts w:hint="eastAsia" w:eastAsia="黑体"/>
          <w:lang w:val="en-US" w:eastAsia="zh-CN"/>
        </w:rPr>
      </w:pPr>
    </w:p>
    <w:p w14:paraId="6BBD5C98">
      <w:pPr>
        <w:rPr>
          <w:rFonts w:hint="default" w:ascii="Times New Roman" w:hAnsi="Times New Roman" w:eastAsia="黑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  <w:szCs w:val="24"/>
          <w:lang w:val="en-US" w:eastAsia="zh-CN"/>
        </w:rPr>
        <w:t>Fig.S2</w:t>
      </w:r>
    </w:p>
    <w:p w14:paraId="3DA1AE61">
      <w:pPr>
        <w:rPr>
          <w:rFonts w:hint="eastAsia" w:eastAsia="黑体"/>
          <w:lang w:val="en-US" w:eastAsia="zh-CN"/>
        </w:rPr>
      </w:pPr>
      <w:r>
        <w:rPr>
          <w:rFonts w:hint="eastAsia" w:eastAsia="黑体"/>
          <w:lang w:val="en-US" w:eastAsia="zh-CN"/>
        </w:rPr>
        <w:drawing>
          <wp:inline distT="0" distB="0" distL="114300" distR="114300">
            <wp:extent cx="5255260" cy="2329815"/>
            <wp:effectExtent l="0" t="0" r="0" b="0"/>
            <wp:docPr id="2" name="图片 2" descr="通路气泡图(P和ER值)_Pathway_Enrichment_20250911_230323684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通路气泡图(P和ER值)_Pathway_Enrichment_20250911_230323684 (1)_01"/>
                    <pic:cNvPicPr>
                      <a:picLocks noChangeAspect="1"/>
                    </pic:cNvPicPr>
                  </pic:nvPicPr>
                  <pic:blipFill>
                    <a:blip r:embed="rId5"/>
                    <a:srcRect r="193" b="2039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5D63">
      <w:pPr>
        <w:pStyle w:val="2"/>
        <w:rPr>
          <w:rFonts w:hint="default" w:ascii="Times New Roman" w:hAnsi="Times New Roman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Fig. 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>S2 Integrated KEGG enrichment analysis of lipidomics and proteomics</w:t>
      </w:r>
    </w:p>
    <w:p w14:paraId="348935FC">
      <w:pPr>
        <w:pStyle w:val="2"/>
        <w:rPr>
          <w:rFonts w:hint="default" w:eastAsia="黑体"/>
          <w:lang w:val="en-US" w:eastAsia="zh-CN"/>
        </w:rPr>
      </w:pPr>
    </w:p>
    <w:p w14:paraId="1B7AEE3A">
      <w:pPr>
        <w:rPr>
          <w:rFonts w:hint="default" w:eastAsia="黑体"/>
          <w:lang w:val="en-US" w:eastAsia="zh-CN"/>
        </w:rPr>
      </w:pPr>
    </w:p>
    <w:p w14:paraId="5423DFD9">
      <w:pPr>
        <w:rPr>
          <w:rFonts w:hint="default" w:eastAsia="黑体"/>
          <w:lang w:val="en-US" w:eastAsia="zh-CN"/>
        </w:rPr>
      </w:pPr>
    </w:p>
    <w:p w14:paraId="5206C73A">
      <w:pPr>
        <w:rPr>
          <w:rFonts w:hint="default" w:eastAsia="黑体"/>
          <w:lang w:val="en-US" w:eastAsia="zh-CN"/>
        </w:rPr>
      </w:pPr>
    </w:p>
    <w:p w14:paraId="7DAB37EE">
      <w:pPr>
        <w:rPr>
          <w:rFonts w:hint="default" w:eastAsia="黑体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</w:p>
    <w:p w14:paraId="08A0B46E">
      <w:pPr>
        <w:rPr>
          <w:rFonts w:hint="default" w:eastAsia="黑体"/>
          <w:lang w:val="en-US" w:eastAsia="zh-CN"/>
        </w:rPr>
      </w:pPr>
    </w:p>
    <w:p w14:paraId="07E85B9A">
      <w:pPr>
        <w:rPr>
          <w:rFonts w:hint="default" w:eastAsia="黑体"/>
          <w:lang w:val="en-US" w:eastAsia="zh-CN"/>
        </w:rPr>
      </w:pPr>
      <w:r>
        <w:rPr>
          <w:rFonts w:hint="default" w:eastAsia="黑体"/>
          <w:lang w:val="en-US" w:eastAsia="zh-CN"/>
        </w:rPr>
        <w:drawing>
          <wp:inline distT="0" distB="0" distL="114300" distR="114300">
            <wp:extent cx="5264785" cy="4712970"/>
            <wp:effectExtent l="0" t="0" r="5715" b="11430"/>
            <wp:docPr id="3" name="图片 3" descr="和弦图_ExpressionCorr_20251030_22295178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和弦图_ExpressionCorr_20251030_222951780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932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sz w:val="18"/>
          <w:szCs w:val="18"/>
        </w:rPr>
        <w:t>Fig.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 xml:space="preserve">S3 Correlation Sankey plot for Fig.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4C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 xml:space="preserve"> cross-omics analysis.</w:t>
      </w:r>
      <w:bookmarkStart w:id="0" w:name="_GoBack"/>
      <w:bookmarkEnd w:id="0"/>
    </w:p>
    <w:p w14:paraId="35D5FE4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黑体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>Sankey diagram showing pairwise correlations between differential metabolites/lipids (left) and differential proteins (right) identified under the high vs. low IL-33 stratification. Each flow represents a statistically significant metabolite–protein correlation (FDR-controlled). Thicker flows indicate either stronger correlation or multiple metabolites converging on the same protein cluster. The plot highlights that multiple membrane-remodelling lipids (PC/PE/CL) simultaneously connect to actin/adhesion/endocytic proteins (e.g. VASP, TLN1, FLNA, ARPC3, TAGLN2), supporting a convergent IL-33-responsive module linking lipid remodelling to vesicle/cytoskeleton processes.</w:t>
      </w:r>
    </w:p>
    <w:p w14:paraId="04FEF023">
      <w:pPr>
        <w:rPr>
          <w:rFonts w:hint="default" w:eastAsia="黑体"/>
          <w:lang w:val="en-US" w:eastAsia="zh-CN"/>
        </w:rPr>
      </w:pPr>
    </w:p>
    <w:p w14:paraId="147D432C">
      <w:pPr>
        <w:rPr>
          <w:rFonts w:hint="default" w:eastAsia="黑体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4</w:t>
      </w:r>
    </w:p>
    <w:p w14:paraId="38275281">
      <w:pPr>
        <w:rPr>
          <w:rFonts w:hint="default" w:eastAsia="黑体"/>
          <w:lang w:val="en-US" w:eastAsia="zh-CN"/>
        </w:rPr>
      </w:pPr>
      <w:r>
        <w:rPr>
          <w:rFonts w:hint="default" w:eastAsia="黑体"/>
          <w:lang w:val="en-US" w:eastAsia="zh-CN"/>
        </w:rPr>
        <w:drawing>
          <wp:inline distT="0" distB="0" distL="114300" distR="114300">
            <wp:extent cx="5272405" cy="3690620"/>
            <wp:effectExtent l="0" t="0" r="10795" b="5080"/>
            <wp:docPr id="4" name="图片 4" descr="相关性桑基图_Corrsankey_20251103_03393565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相关性桑基图_Corrsankey_20251103_033935655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C65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黑体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Fig. 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 xml:space="preserve">S4 Protein–metabolite correlation chord diagram for Fig.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4C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>.</w:t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sz w:val="18"/>
          <w:szCs w:val="18"/>
          <w:lang w:val="en-US" w:eastAsia="zh-CN"/>
        </w:rPr>
        <w:t>Chord diagram depicting significant correlations between individual lipid/metabolite species (left half of the circle) and cytoskeleton/vesicle-related proteins (right half of the circle). Each chord denotes a metabolite–protein pair with significant correlation; red chords indicate positive correlations, and green chords indicate negative correlations. The figure illustrates a bidirectional pattern within classes: most PC/PE/CL species correlate positively with proteins involved in focal adhesion, actin remodelling and endocytosis (e.g. FLNA, VASP, RAC1, TLN1, ARPC3), whereas selected SM species show opposite associations, consistent with an IL-33-driven shift from SM-rich microdomains toward more flexible PC/PE/CL-enriched membranes.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320370"/>
    <w:rsid w:val="36F558B9"/>
    <w:rsid w:val="37EB016A"/>
    <w:rsid w:val="4332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2025-11-02T16:18:00Z</dcterms:created>
  <dc:creator>于英坦</dc:creator>
  <cp:lastModifiedBy>于英坦</cp:lastModifiedBy>
  <dcterms:modified xsi:type="dcterms:W3CDTF">2025-11-02T19:55:54Z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98D36EB86812487DBF53C9D1D99150BB_11</vt:lpwstr>
  </property>
  <property fmtid="{D5CDD505-2E9C-101B-9397-08002B2CF9AE}" pid="4" name="KSOTemplateDocerSaveRecord">
    <vt:lpwstr>eyJoZGlkIjoiZTZkZjcyM2YwYWI3ZjZmNGE0YmY3ZGFjNTJiZjVlZjIiLCJ1c2VySWQiOiI1NDMzODczOTIifQ==</vt:lpwstr>
  </property>
</Properties>
</file>