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48C81" w14:textId="0425F6B0" w:rsidR="006E4F97" w:rsidRDefault="0052760B" w:rsidP="006047BB">
      <w:pPr>
        <w:pStyle w:val="Heading1"/>
        <w:jc w:val="center"/>
        <w:rPr>
          <w:rFonts w:eastAsiaTheme="majorEastAsia"/>
        </w:rPr>
      </w:pPr>
      <w:r>
        <w:rPr>
          <w:rFonts w:eastAsiaTheme="majorEastAsia"/>
        </w:rPr>
        <w:t>Supplementary Material</w:t>
      </w:r>
    </w:p>
    <w:p w14:paraId="2663D506" w14:textId="3F75698C" w:rsidR="006047BB" w:rsidRPr="00D621FA" w:rsidRDefault="006047BB" w:rsidP="006047BB">
      <w:pPr>
        <w:pStyle w:val="Heading2"/>
      </w:pPr>
      <w:r w:rsidRPr="001B386D">
        <w:rPr>
          <w:rFonts w:eastAsiaTheme="majorEastAsia"/>
        </w:rPr>
        <w:t xml:space="preserve">GliaMimic: a longitudinal, multimodal </w:t>
      </w:r>
      <w:r w:rsidRPr="001B386D">
        <w:rPr>
          <w:rFonts w:eastAsiaTheme="majorEastAsia"/>
          <w:i/>
        </w:rPr>
        <w:t>in vitro</w:t>
      </w:r>
      <w:r w:rsidRPr="001B386D">
        <w:rPr>
          <w:rFonts w:eastAsiaTheme="majorEastAsia"/>
        </w:rPr>
        <w:t xml:space="preserve"> platform for assessing Glioblastoma treatment response and relapse in patient-derived organoids and spheroids</w:t>
      </w:r>
    </w:p>
    <w:p w14:paraId="5EF0146E" w14:textId="165EEEC3" w:rsidR="006047BB" w:rsidRPr="00590EE2" w:rsidRDefault="006047BB" w:rsidP="006047BB">
      <w:pPr>
        <w:spacing w:line="360" w:lineRule="auto"/>
        <w:jc w:val="left"/>
        <w:rPr>
          <w:lang w:val="de-CH"/>
        </w:rPr>
      </w:pPr>
      <w:r w:rsidRPr="00590EE2">
        <w:rPr>
          <w:lang w:val="de-CH"/>
        </w:rPr>
        <w:t>Selina Camenisch</w:t>
      </w:r>
      <w:r w:rsidRPr="00590EE2">
        <w:rPr>
          <w:vertAlign w:val="superscript"/>
          <w:lang w:val="de-CH"/>
        </w:rPr>
        <w:t>1</w:t>
      </w:r>
      <w:r w:rsidRPr="00590EE2">
        <w:rPr>
          <w:lang w:val="de-CH"/>
        </w:rPr>
        <w:t>, Luisa Bell</w:t>
      </w:r>
      <w:r w:rsidRPr="00590EE2">
        <w:rPr>
          <w:vertAlign w:val="superscript"/>
          <w:lang w:val="de-CH"/>
        </w:rPr>
        <w:t>2</w:t>
      </w:r>
      <w:r w:rsidRPr="00590EE2">
        <w:rPr>
          <w:lang w:val="de-CH"/>
        </w:rPr>
        <w:t>, Nadine Stokar-Regenscheit</w:t>
      </w:r>
      <w:r w:rsidRPr="00590EE2">
        <w:rPr>
          <w:vertAlign w:val="superscript"/>
          <w:lang w:val="de-CH"/>
        </w:rPr>
        <w:t>2</w:t>
      </w:r>
      <w:r w:rsidRPr="00590EE2">
        <w:rPr>
          <w:lang w:val="de-CH"/>
        </w:rPr>
        <w:t>, Natalia Vélez Char</w:t>
      </w:r>
      <w:r w:rsidRPr="00590EE2">
        <w:rPr>
          <w:vertAlign w:val="superscript"/>
          <w:lang w:val="de-CH"/>
        </w:rPr>
        <w:t>3</w:t>
      </w:r>
      <w:r w:rsidRPr="00590EE2">
        <w:rPr>
          <w:lang w:val="de-CH"/>
        </w:rPr>
        <w:t>, Wolfram Jochum</w:t>
      </w:r>
      <w:r w:rsidRPr="00590EE2">
        <w:rPr>
          <w:vertAlign w:val="superscript"/>
          <w:lang w:val="de-CH"/>
        </w:rPr>
        <w:t>3</w:t>
      </w:r>
      <w:r w:rsidRPr="00590EE2">
        <w:rPr>
          <w:lang w:val="de-CH"/>
        </w:rPr>
        <w:t>, Simon Heinze</w:t>
      </w:r>
      <w:r w:rsidRPr="00590EE2">
        <w:rPr>
          <w:vertAlign w:val="superscript"/>
          <w:lang w:val="de-CH"/>
        </w:rPr>
        <w:t>4</w:t>
      </w:r>
      <w:r w:rsidRPr="00590EE2">
        <w:rPr>
          <w:lang w:val="de-CH"/>
        </w:rPr>
        <w:t>, Anna Maria Zeitlberger</w:t>
      </w:r>
      <w:r w:rsidRPr="00590EE2">
        <w:rPr>
          <w:vertAlign w:val="superscript"/>
          <w:lang w:val="de-CH"/>
        </w:rPr>
        <w:t>5</w:t>
      </w:r>
      <w:r w:rsidRPr="00590EE2">
        <w:rPr>
          <w:lang w:val="de-CH"/>
        </w:rPr>
        <w:t>, Thomas Hundsberger</w:t>
      </w:r>
      <w:r w:rsidRPr="00590EE2">
        <w:rPr>
          <w:vertAlign w:val="superscript"/>
          <w:lang w:val="de-CH"/>
        </w:rPr>
        <w:t>6</w:t>
      </w:r>
      <w:r w:rsidRPr="00590EE2">
        <w:rPr>
          <w:lang w:val="de-CH"/>
        </w:rPr>
        <w:t>, Marian Neidert</w:t>
      </w:r>
      <w:r w:rsidRPr="00590EE2">
        <w:rPr>
          <w:vertAlign w:val="superscript"/>
          <w:lang w:val="de-CH"/>
        </w:rPr>
        <w:t>5</w:t>
      </w:r>
      <w:r w:rsidRPr="00590EE2">
        <w:rPr>
          <w:lang w:val="de-CH"/>
        </w:rPr>
        <w:t>, Peter Wick</w:t>
      </w:r>
      <w:r w:rsidRPr="00590EE2">
        <w:rPr>
          <w:vertAlign w:val="superscript"/>
          <w:lang w:val="de-CH"/>
        </w:rPr>
        <w:t>1*</w:t>
      </w:r>
      <w:r w:rsidRPr="00590EE2">
        <w:rPr>
          <w:lang w:val="de-CH"/>
        </w:rPr>
        <w:t>, Vanesa Ayala-Nunez</w:t>
      </w:r>
      <w:r w:rsidRPr="00590EE2">
        <w:rPr>
          <w:vertAlign w:val="superscript"/>
          <w:lang w:val="de-CH"/>
        </w:rPr>
        <w:t>1*</w:t>
      </w:r>
    </w:p>
    <w:p w14:paraId="5D3F2E1D" w14:textId="77777777" w:rsidR="006047BB" w:rsidRPr="00590EE2" w:rsidRDefault="006047BB" w:rsidP="00F12F19">
      <w:pPr>
        <w:rPr>
          <w:rFonts w:asciiTheme="majorHAnsi" w:eastAsiaTheme="majorEastAsia" w:hAnsiTheme="majorHAnsi" w:cstheme="majorBidi"/>
          <w:b/>
          <w:bCs/>
          <w:spacing w:val="-7"/>
          <w:lang w:val="de-CH"/>
        </w:rPr>
      </w:pPr>
    </w:p>
    <w:p w14:paraId="6D070A5A" w14:textId="6C9A819F" w:rsidR="0052760B" w:rsidRPr="00C407C3" w:rsidRDefault="00E62876" w:rsidP="00F12F19">
      <w:pPr>
        <w:rPr>
          <w:rFonts w:asciiTheme="majorHAnsi" w:eastAsiaTheme="majorEastAsia" w:hAnsiTheme="majorHAnsi" w:cstheme="majorBidi"/>
          <w:b/>
          <w:bCs/>
          <w:color w:val="FF0000"/>
          <w:spacing w:val="-7"/>
          <w:lang w:val="en-US"/>
        </w:rPr>
      </w:pPr>
      <w:r>
        <w:rPr>
          <w:noProof/>
          <w:color w:val="FF0000"/>
          <w:lang w:val="en-US"/>
        </w:rPr>
        <w:lastRenderedPageBreak/>
        <w:drawing>
          <wp:inline distT="0" distB="0" distL="0" distR="0" wp14:anchorId="2A57D0FB" wp14:editId="05AA4039">
            <wp:extent cx="6115685" cy="8835390"/>
            <wp:effectExtent l="0" t="0" r="0" b="3810"/>
            <wp:docPr id="568602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D17E" w14:textId="66D2251B" w:rsidR="0052760B" w:rsidRDefault="0052760B" w:rsidP="0052760B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lastRenderedPageBreak/>
        <w:t>Supplementary Figure S1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="002C2731" w:rsidRPr="002C2731">
        <w:rPr>
          <w:b/>
          <w:bCs/>
          <w:lang w:val="en-US"/>
        </w:rPr>
        <w:t>Irradiation and long-term treatment efficacy in GBM.</w:t>
      </w:r>
      <w:r w:rsidR="002C2731">
        <w:rPr>
          <w:b/>
          <w:bCs/>
          <w:i/>
          <w:iCs/>
          <w:lang w:val="en-US"/>
        </w:rPr>
        <w:t xml:space="preserve"> </w:t>
      </w:r>
      <w:r w:rsidRPr="00D621FA">
        <w:rPr>
          <w:lang w:val="en-US"/>
        </w:rPr>
        <w:t>A) The structural integrity and</w:t>
      </w:r>
      <w:r w:rsidR="002C2731">
        <w:rPr>
          <w:lang w:val="en-US"/>
        </w:rPr>
        <w:t xml:space="preserve"> spheroid morphology</w:t>
      </w:r>
      <w:r w:rsidRPr="00D621FA">
        <w:rPr>
          <w:lang w:val="en-US"/>
        </w:rPr>
        <w:t xml:space="preserve"> were assessed for irradiated GBM spheroids (U87MG) (2, 4, 6, 8 Gy) after 3 days to determine the maximum tolerable radiation dose. 4 Gy was identified as optimal irradiation dose, as higher doses led to spheroid disintegration and did not ensure sustained experimental utility. Scale bar: 200 µm. B) Depiction of spheroid area obtained from bright field images for ZH757</w:t>
      </w:r>
      <w:r w:rsidR="00C02C42">
        <w:rPr>
          <w:lang w:val="en-US"/>
        </w:rPr>
        <w:t xml:space="preserve">, </w:t>
      </w:r>
      <w:r w:rsidRPr="00D621FA">
        <w:rPr>
          <w:lang w:val="en-US"/>
        </w:rPr>
        <w:t>U87MG, U251MG as bar plot showing mean ± SD</w:t>
      </w:r>
      <w:r w:rsidR="00C02C42">
        <w:rPr>
          <w:lang w:val="en-US"/>
        </w:rPr>
        <w:t>, which were calculated from three technical and three biological replicates (n = 3)</w:t>
      </w:r>
      <w:r w:rsidR="00C02C42" w:rsidRPr="00E85B62">
        <w:rPr>
          <w:lang w:val="en-US"/>
        </w:rPr>
        <w:t xml:space="preserve"> (</w:t>
      </w:r>
      <w:r w:rsidR="00C02C42">
        <w:rPr>
          <w:lang w:val="en-US"/>
        </w:rPr>
        <w:t xml:space="preserve">N = </w:t>
      </w:r>
      <w:r w:rsidR="00C02C42" w:rsidRPr="00E85B62">
        <w:rPr>
          <w:lang w:val="en-US"/>
        </w:rPr>
        <w:t>9</w:t>
      </w:r>
      <w:r w:rsidR="00C02C42">
        <w:rPr>
          <w:lang w:val="en-US"/>
        </w:rPr>
        <w:t xml:space="preserve"> spheroids / treatment concentration for each cell line</w:t>
      </w:r>
      <w:r w:rsidR="00C02C42" w:rsidRPr="00E85B62">
        <w:rPr>
          <w:lang w:val="en-US"/>
        </w:rPr>
        <w:t>)</w:t>
      </w:r>
      <w:r w:rsidRPr="00D621FA">
        <w:rPr>
          <w:lang w:val="en-US"/>
        </w:rPr>
        <w:t>.</w:t>
      </w:r>
      <w:r w:rsidR="004B6445">
        <w:rPr>
          <w:lang w:val="en-US"/>
        </w:rPr>
        <w:t xml:space="preserve"> </w:t>
      </w:r>
      <w:r w:rsidRPr="00D621FA">
        <w:rPr>
          <w:lang w:val="en-US"/>
        </w:rPr>
        <w:t xml:space="preserve">Statistical analysis was performed </w:t>
      </w:r>
      <w:r w:rsidR="002C2731">
        <w:rPr>
          <w:lang w:val="en-US"/>
        </w:rPr>
        <w:t>using Kruskal-</w:t>
      </w:r>
      <w:proofErr w:type="gramStart"/>
      <w:r w:rsidR="002C2731">
        <w:rPr>
          <w:lang w:val="en-US"/>
        </w:rPr>
        <w:t>Wallis</w:t>
      </w:r>
      <w:proofErr w:type="gramEnd"/>
      <w:r w:rsidR="002C2731">
        <w:rPr>
          <w:lang w:val="en-US"/>
        </w:rPr>
        <w:t xml:space="preserve"> test followed by Dunn's multiple comparisons test </w:t>
      </w:r>
      <w:r w:rsidR="00DB4831" w:rsidRPr="00D621FA">
        <w:rPr>
          <w:lang w:val="en-US"/>
        </w:rPr>
        <w:t>in GraphPad Prism (v10, GraphPad Software)</w:t>
      </w:r>
      <w:r w:rsidRPr="00D621FA">
        <w:rPr>
          <w:lang w:val="en-US"/>
        </w:rPr>
        <w:t xml:space="preserve">. </w:t>
      </w:r>
      <w:r w:rsidR="002C2731">
        <w:rPr>
          <w:lang w:val="en-US"/>
        </w:rPr>
        <w:t>For all conditions</w:t>
      </w:r>
      <w:r w:rsidRPr="00D621FA">
        <w:rPr>
          <w:lang w:val="en-US"/>
        </w:rPr>
        <w:t xml:space="preserve"> comparable sizes to controls</w:t>
      </w:r>
      <w:r w:rsidR="002C2731">
        <w:rPr>
          <w:lang w:val="en-US"/>
        </w:rPr>
        <w:t xml:space="preserve"> were maintained</w:t>
      </w:r>
      <w:r w:rsidRPr="00D621FA">
        <w:rPr>
          <w:lang w:val="en-US"/>
        </w:rPr>
        <w:t xml:space="preserve"> (ns). </w:t>
      </w:r>
      <w:r w:rsidR="002C2731">
        <w:rPr>
          <w:lang w:val="en-US"/>
        </w:rPr>
        <w:t>C) The i</w:t>
      </w:r>
      <w:r w:rsidRPr="00D621FA">
        <w:rPr>
          <w:lang w:val="en-US"/>
        </w:rPr>
        <w:t>mpact of prolonged TMZ treatment on GBM spheroid growth</w:t>
      </w:r>
      <w:r w:rsidR="002C2731">
        <w:rPr>
          <w:lang w:val="en-US"/>
        </w:rPr>
        <w:t xml:space="preserve"> is depicted</w:t>
      </w:r>
      <w:r w:rsidRPr="00D621FA">
        <w:rPr>
          <w:lang w:val="en-US"/>
        </w:rPr>
        <w:t xml:space="preserve">. Spheroid area was quantified from bright-field images for U251MG, U87MG, and ZH757 under various TMZ doses (0, 0.1, 1, 10, 25, 50, 75, 100, 500, 1000 µM) and CdSO₄ control, comparing baseline (day 0), end of GliaMimic’s continuous treatment (day 3), and GliaMimic’s end of treatment (day 17). Data is represented as bar plots showing mean ± SD </w:t>
      </w:r>
      <w:r w:rsidR="00C02C42">
        <w:rPr>
          <w:lang w:val="en-US"/>
        </w:rPr>
        <w:t>with three technical and three biological replicates (n = 3)</w:t>
      </w:r>
      <w:r w:rsidR="00C02C42" w:rsidRPr="00E85B62">
        <w:rPr>
          <w:lang w:val="en-US"/>
        </w:rPr>
        <w:t xml:space="preserve"> (</w:t>
      </w:r>
      <w:r w:rsidR="00C02C42">
        <w:rPr>
          <w:lang w:val="en-US"/>
        </w:rPr>
        <w:t xml:space="preserve">N = </w:t>
      </w:r>
      <w:r w:rsidR="00C02C42" w:rsidRPr="00E85B62">
        <w:rPr>
          <w:lang w:val="en-US"/>
        </w:rPr>
        <w:t>9</w:t>
      </w:r>
      <w:r w:rsidR="00C02C42">
        <w:rPr>
          <w:lang w:val="en-US"/>
        </w:rPr>
        <w:t xml:space="preserve"> spheroids / treatment concentration for each cell line</w:t>
      </w:r>
      <w:r w:rsidRPr="00D621FA">
        <w:rPr>
          <w:lang w:val="en-US"/>
        </w:rPr>
        <w:t xml:space="preserve">). </w:t>
      </w:r>
      <w:r w:rsidR="002C2731" w:rsidRPr="00D621FA">
        <w:rPr>
          <w:lang w:val="en-US"/>
        </w:rPr>
        <w:t xml:space="preserve">Statistical analysis was performed </w:t>
      </w:r>
      <w:r w:rsidR="002C2731">
        <w:rPr>
          <w:lang w:val="en-US"/>
        </w:rPr>
        <w:t>using Kruskal-</w:t>
      </w:r>
      <w:proofErr w:type="gramStart"/>
      <w:r w:rsidR="002C2731">
        <w:rPr>
          <w:lang w:val="en-US"/>
        </w:rPr>
        <w:t>Wallis</w:t>
      </w:r>
      <w:proofErr w:type="gramEnd"/>
      <w:r w:rsidR="002C2731">
        <w:rPr>
          <w:lang w:val="en-US"/>
        </w:rPr>
        <w:t xml:space="preserve"> test followed by Dunn's multiple comparisons test </w:t>
      </w:r>
      <w:r w:rsidR="002C2731" w:rsidRPr="00D621FA">
        <w:rPr>
          <w:lang w:val="en-US"/>
        </w:rPr>
        <w:t>in GraphPad Prism (v10, GraphPad Software)</w:t>
      </w:r>
      <w:r w:rsidR="002C2731">
        <w:rPr>
          <w:lang w:val="en-US"/>
        </w:rPr>
        <w:t xml:space="preserve">. </w:t>
      </w:r>
      <w:r w:rsidRPr="00D621FA">
        <w:rPr>
          <w:lang w:val="en-US"/>
        </w:rPr>
        <w:t>Significance was predominantly observed between day 0 and day 17, underscoring the importance of clinically relevant and extended treatment regimes.</w:t>
      </w:r>
      <w:r w:rsidR="00DB4831" w:rsidRPr="00DB4831">
        <w:rPr>
          <w:lang w:val="en-US"/>
        </w:rPr>
        <w:t xml:space="preserve"> </w:t>
      </w:r>
      <w:r w:rsidR="00DB4831" w:rsidRPr="00D621FA">
        <w:rPr>
          <w:lang w:val="en-US"/>
        </w:rPr>
        <w:t xml:space="preserve">All </w:t>
      </w:r>
      <w:r w:rsidR="00DB4831">
        <w:rPr>
          <w:lang w:val="en-US"/>
        </w:rPr>
        <w:t xml:space="preserve">statistical </w:t>
      </w:r>
      <w:r w:rsidR="00DB4831" w:rsidRPr="00D621FA">
        <w:rPr>
          <w:lang w:val="en-US"/>
        </w:rPr>
        <w:t>results are presented as bar plots with the following significance notation: *p &lt; 0.05, **p &lt; 0.01, ***p &lt; 0.001, and ****p &lt; 0.0001; nonsignificant differences (p ≥ 0.05).</w:t>
      </w:r>
    </w:p>
    <w:p w14:paraId="102BF64B" w14:textId="13C96174" w:rsidR="00C73D6D" w:rsidRPr="00D621FA" w:rsidRDefault="00590EE2" w:rsidP="0052760B">
      <w:pPr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D66392D" wp14:editId="0F044B86">
            <wp:extent cx="6120130" cy="5063490"/>
            <wp:effectExtent l="0" t="0" r="0" b="3810"/>
            <wp:docPr id="2124713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B2BB" w14:textId="45E08221" w:rsidR="0052760B" w:rsidRDefault="0052760B" w:rsidP="0052760B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t>Supplementary Figure S2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Pr="002C2731">
        <w:rPr>
          <w:b/>
          <w:bCs/>
          <w:lang w:val="en-US"/>
        </w:rPr>
        <w:t>Relative spheroid area fold change over 30 days of treatment</w:t>
      </w:r>
      <w:r w:rsidRPr="00D621FA">
        <w:rPr>
          <w:lang w:val="en-US"/>
        </w:rPr>
        <w:t xml:space="preserve">. </w:t>
      </w:r>
      <w:r w:rsidR="002C2731">
        <w:rPr>
          <w:lang w:val="en-US"/>
        </w:rPr>
        <w:t xml:space="preserve">A) </w:t>
      </w:r>
      <w:r w:rsidRPr="00D621FA">
        <w:rPr>
          <w:lang w:val="en-US"/>
        </w:rPr>
        <w:t xml:space="preserve">Bright-field imaging was performed every </w:t>
      </w:r>
      <w:r w:rsidR="00C02C42">
        <w:rPr>
          <w:lang w:val="en-US"/>
        </w:rPr>
        <w:t>two to three</w:t>
      </w:r>
      <w:r w:rsidRPr="00D621FA">
        <w:rPr>
          <w:lang w:val="en-US"/>
        </w:rPr>
        <w:t xml:space="preserve"> days to assess spheroid growth in ZH757, U251MG, and U251MG cell lines under increasing concentrations of </w:t>
      </w:r>
      <w:r w:rsidR="00C02C42">
        <w:rPr>
          <w:lang w:val="en-US"/>
        </w:rPr>
        <w:t>TMZ</w:t>
      </w:r>
      <w:r w:rsidRPr="00D621FA">
        <w:rPr>
          <w:lang w:val="en-US"/>
        </w:rPr>
        <w:t xml:space="preserve"> (0, 0.1, 1, 10, 25, 50, 75, 100, 500, and 1000 µM), alongside a CdSO₄ control. The fold change in spheroid area was normalized to baseline measurements of each treatment condition (day 0) and data represent </w:t>
      </w:r>
      <w:r w:rsidR="002C2731">
        <w:rPr>
          <w:lang w:val="en-US"/>
        </w:rPr>
        <w:t>mean</w:t>
      </w:r>
      <w:r w:rsidRPr="00D621FA">
        <w:rPr>
          <w:lang w:val="en-US"/>
        </w:rPr>
        <w:t xml:space="preserve"> ± SD </w:t>
      </w:r>
      <w:r w:rsidR="00C02C42">
        <w:rPr>
          <w:lang w:val="en-US"/>
        </w:rPr>
        <w:t>calculated from three technical and three biological replicates (n = 3)</w:t>
      </w:r>
      <w:r w:rsidR="00C02C42" w:rsidRPr="00E85B62">
        <w:rPr>
          <w:lang w:val="en-US"/>
        </w:rPr>
        <w:t xml:space="preserve"> (</w:t>
      </w:r>
      <w:r w:rsidR="00C02C42">
        <w:rPr>
          <w:lang w:val="en-US"/>
        </w:rPr>
        <w:t xml:space="preserve">N = </w:t>
      </w:r>
      <w:r w:rsidR="00C02C42" w:rsidRPr="00E85B62">
        <w:rPr>
          <w:lang w:val="en-US"/>
        </w:rPr>
        <w:t>9</w:t>
      </w:r>
      <w:r w:rsidR="00C02C42">
        <w:rPr>
          <w:lang w:val="en-US"/>
        </w:rPr>
        <w:t xml:space="preserve"> spheroids / timepoint / treatment concentration for each cell line</w:t>
      </w:r>
      <w:r w:rsidR="00C02C42" w:rsidRPr="00E85B62">
        <w:rPr>
          <w:lang w:val="en-US"/>
        </w:rPr>
        <w:t>)</w:t>
      </w:r>
      <w:r w:rsidRPr="00D621FA">
        <w:rPr>
          <w:lang w:val="en-US"/>
        </w:rPr>
        <w:t xml:space="preserve">. D) Tabular depiction of GBM spheroid growth rates </w:t>
      </w:r>
      <w:r w:rsidR="00C02C42">
        <w:rPr>
          <w:lang w:val="en-US"/>
        </w:rPr>
        <w:t xml:space="preserve">for </w:t>
      </w:r>
      <w:r w:rsidRPr="00D621FA">
        <w:rPr>
          <w:lang w:val="en-US"/>
        </w:rPr>
        <w:t>U87MG, U251MG</w:t>
      </w:r>
      <w:r w:rsidR="00C02C42">
        <w:rPr>
          <w:lang w:val="en-US"/>
        </w:rPr>
        <w:t xml:space="preserve"> and</w:t>
      </w:r>
      <w:r w:rsidRPr="00D621FA">
        <w:rPr>
          <w:lang w:val="en-US"/>
        </w:rPr>
        <w:t xml:space="preserve"> ZH757</w:t>
      </w:r>
      <w:r w:rsidR="003962A2">
        <w:rPr>
          <w:lang w:val="en-US"/>
        </w:rPr>
        <w:t xml:space="preserve"> in </w:t>
      </w:r>
      <w:r w:rsidR="003962A2" w:rsidRPr="00D621FA">
        <w:rPr>
          <w:lang w:val="en-US"/>
        </w:rPr>
        <w:t>µ</w:t>
      </w:r>
      <w:r w:rsidR="003962A2">
        <w:rPr>
          <w:lang w:val="en-US"/>
        </w:rPr>
        <w:t>m</w:t>
      </w:r>
      <w:r w:rsidR="003962A2">
        <w:rPr>
          <w:vertAlign w:val="superscript"/>
          <w:lang w:val="en-US"/>
        </w:rPr>
        <w:t>2</w:t>
      </w:r>
      <w:r w:rsidR="003962A2">
        <w:rPr>
          <w:lang w:val="en-US"/>
        </w:rPr>
        <w:t>/day</w:t>
      </w:r>
      <w:r w:rsidRPr="00D621FA">
        <w:rPr>
          <w:lang w:val="en-US"/>
        </w:rPr>
        <w:t>.</w:t>
      </w:r>
    </w:p>
    <w:p w14:paraId="52968AF9" w14:textId="77777777" w:rsidR="00C73D6D" w:rsidRDefault="00C73D6D" w:rsidP="0052760B">
      <w:pPr>
        <w:spacing w:line="360" w:lineRule="auto"/>
        <w:rPr>
          <w:lang w:val="en-US"/>
        </w:rPr>
      </w:pPr>
    </w:p>
    <w:p w14:paraId="641A0951" w14:textId="77777777" w:rsidR="00C73D6D" w:rsidRDefault="00C73D6D" w:rsidP="0052760B">
      <w:pPr>
        <w:spacing w:line="360" w:lineRule="auto"/>
        <w:rPr>
          <w:lang w:val="en-US"/>
        </w:rPr>
      </w:pPr>
    </w:p>
    <w:p w14:paraId="470E71C7" w14:textId="77777777" w:rsidR="00C73D6D" w:rsidRDefault="00C73D6D" w:rsidP="0052760B">
      <w:pPr>
        <w:spacing w:line="360" w:lineRule="auto"/>
        <w:rPr>
          <w:b/>
          <w:bCs/>
          <w:i/>
          <w:iCs/>
          <w:lang w:val="en-US"/>
        </w:rPr>
      </w:pPr>
    </w:p>
    <w:p w14:paraId="51808B4D" w14:textId="39163A94" w:rsidR="00C73D6D" w:rsidRDefault="00E62876" w:rsidP="0052760B">
      <w:pPr>
        <w:spacing w:line="360" w:lineRule="auto"/>
        <w:rPr>
          <w:b/>
          <w:bCs/>
          <w:i/>
          <w:iCs/>
          <w:lang w:val="en-US"/>
        </w:rPr>
      </w:pPr>
      <w:r>
        <w:rPr>
          <w:b/>
          <w:bCs/>
          <w:i/>
          <w:iCs/>
          <w:noProof/>
          <w:lang w:val="en-US"/>
        </w:rPr>
        <w:lastRenderedPageBreak/>
        <w:drawing>
          <wp:inline distT="0" distB="0" distL="0" distR="0" wp14:anchorId="3045D89A" wp14:editId="637B20E8">
            <wp:extent cx="6115685" cy="7125335"/>
            <wp:effectExtent l="0" t="0" r="0" b="0"/>
            <wp:docPr id="14714548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242F" w14:textId="2ED35577" w:rsidR="00E62876" w:rsidRDefault="00E62876" w:rsidP="0052760B">
      <w:pPr>
        <w:spacing w:line="360" w:lineRule="auto"/>
        <w:rPr>
          <w:b/>
          <w:bCs/>
          <w:i/>
          <w:iCs/>
          <w:lang w:val="en-US"/>
        </w:rPr>
      </w:pPr>
      <w:r>
        <w:rPr>
          <w:b/>
          <w:bCs/>
          <w:i/>
          <w:iCs/>
          <w:noProof/>
          <w:lang w:val="en-US"/>
        </w:rPr>
        <w:lastRenderedPageBreak/>
        <w:drawing>
          <wp:inline distT="0" distB="0" distL="0" distR="0" wp14:anchorId="33798E45" wp14:editId="4F46A029">
            <wp:extent cx="6115685" cy="5445125"/>
            <wp:effectExtent l="0" t="0" r="0" b="3175"/>
            <wp:docPr id="1007233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EC84" w14:textId="77777777" w:rsidR="00E62876" w:rsidRDefault="00E62876" w:rsidP="0052760B">
      <w:pPr>
        <w:spacing w:line="360" w:lineRule="auto"/>
        <w:rPr>
          <w:b/>
          <w:bCs/>
          <w:i/>
          <w:iCs/>
          <w:lang w:val="en-US"/>
        </w:rPr>
      </w:pPr>
    </w:p>
    <w:p w14:paraId="6295373A" w14:textId="7018564E" w:rsidR="00DB4831" w:rsidRDefault="0052760B" w:rsidP="0052760B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t>Supplementary Figure S3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="003962A2" w:rsidRPr="003962A2">
        <w:rPr>
          <w:b/>
          <w:bCs/>
          <w:lang w:val="en-US"/>
        </w:rPr>
        <w:t>Capturing treatment</w:t>
      </w:r>
      <w:r w:rsidRPr="003962A2">
        <w:rPr>
          <w:b/>
          <w:bCs/>
          <w:lang w:val="en-US"/>
        </w:rPr>
        <w:t xml:space="preserve"> effects</w:t>
      </w:r>
      <w:r w:rsidR="003962A2" w:rsidRPr="003962A2">
        <w:rPr>
          <w:b/>
          <w:bCs/>
          <w:lang w:val="en-US"/>
        </w:rPr>
        <w:t xml:space="preserve"> at end</w:t>
      </w:r>
      <w:r w:rsidRPr="003962A2">
        <w:rPr>
          <w:b/>
          <w:bCs/>
          <w:lang w:val="en-US"/>
        </w:rPr>
        <w:t xml:space="preserve"> of GliaMimic treatment</w:t>
      </w:r>
      <w:r w:rsidR="003962A2">
        <w:rPr>
          <w:b/>
          <w:bCs/>
          <w:lang w:val="en-US"/>
        </w:rPr>
        <w:t xml:space="preserve"> in spheroids</w:t>
      </w:r>
      <w:r w:rsidR="003962A2" w:rsidRPr="003962A2">
        <w:rPr>
          <w:b/>
          <w:bCs/>
          <w:lang w:val="en-US"/>
        </w:rPr>
        <w:t>.</w:t>
      </w:r>
      <w:r w:rsidR="003962A2">
        <w:rPr>
          <w:lang w:val="en-US"/>
        </w:rPr>
        <w:t xml:space="preserve"> Bar plots are capturing treatment progression</w:t>
      </w:r>
      <w:r w:rsidRPr="00D621FA">
        <w:rPr>
          <w:lang w:val="en-US"/>
        </w:rPr>
        <w:t xml:space="preserve"> </w:t>
      </w:r>
      <w:r w:rsidR="000E6589">
        <w:rPr>
          <w:lang w:val="en-US"/>
        </w:rPr>
        <w:t>were calculated from three technical and three biological replicates</w:t>
      </w:r>
      <w:r w:rsidR="003962A2">
        <w:rPr>
          <w:lang w:val="en-US"/>
        </w:rPr>
        <w:t xml:space="preserve"> across A) spheroid area</w:t>
      </w:r>
      <w:r w:rsidR="000E6589">
        <w:rPr>
          <w:lang w:val="en-US"/>
        </w:rPr>
        <w:t xml:space="preserve"> (n = 3)</w:t>
      </w:r>
      <w:r w:rsidR="000E6589" w:rsidRPr="00E85B62">
        <w:rPr>
          <w:lang w:val="en-US"/>
        </w:rPr>
        <w:t xml:space="preserve"> (</w:t>
      </w:r>
      <w:r w:rsidR="000E6589">
        <w:rPr>
          <w:lang w:val="en-US"/>
        </w:rPr>
        <w:t xml:space="preserve">N = </w:t>
      </w:r>
      <w:r w:rsidR="000E6589" w:rsidRPr="00E85B62">
        <w:rPr>
          <w:lang w:val="en-US"/>
        </w:rPr>
        <w:t>9</w:t>
      </w:r>
      <w:r w:rsidR="000E6589">
        <w:rPr>
          <w:lang w:val="en-US"/>
        </w:rPr>
        <w:t xml:space="preserve"> spheroids / timepoint / treatment concentration for each cell line</w:t>
      </w:r>
      <w:r w:rsidR="000E6589" w:rsidRPr="00E85B62">
        <w:rPr>
          <w:lang w:val="en-US"/>
        </w:rPr>
        <w:t>)</w:t>
      </w:r>
      <w:r w:rsidRPr="00D621FA">
        <w:rPr>
          <w:lang w:val="en-US"/>
        </w:rPr>
        <w:t>, B) metabolic activity (XTT assay</w:t>
      </w:r>
      <w:r w:rsidR="000E6589">
        <w:rPr>
          <w:lang w:val="en-US"/>
        </w:rPr>
        <w:t xml:space="preserve">) </w:t>
      </w:r>
      <w:r w:rsidR="000E6589" w:rsidRPr="00E85B62">
        <w:rPr>
          <w:lang w:val="en-US"/>
        </w:rPr>
        <w:t>(</w:t>
      </w:r>
      <w:r w:rsidR="000E6589">
        <w:rPr>
          <w:lang w:val="en-US"/>
        </w:rPr>
        <w:t xml:space="preserve">N = </w:t>
      </w:r>
      <w:r w:rsidR="000E6589" w:rsidRPr="00E85B62">
        <w:rPr>
          <w:lang w:val="en-US"/>
        </w:rPr>
        <w:t>9</w:t>
      </w:r>
      <w:r w:rsidR="000E6589">
        <w:rPr>
          <w:lang w:val="en-US"/>
        </w:rPr>
        <w:t xml:space="preserve"> spheroids / timepoint / treatment concentration for each cell line</w:t>
      </w:r>
      <w:r w:rsidR="000E6589" w:rsidRPr="00E85B62">
        <w:rPr>
          <w:lang w:val="en-US"/>
        </w:rPr>
        <w:t>)</w:t>
      </w:r>
      <w:r w:rsidRPr="00D621FA">
        <w:rPr>
          <w:lang w:val="en-US"/>
        </w:rPr>
        <w:t>, C) viable cell fraction (calcein+</w:t>
      </w:r>
      <w:r w:rsidR="000E6589">
        <w:rPr>
          <w:lang w:val="en-US"/>
        </w:rPr>
        <w:t xml:space="preserve">) </w:t>
      </w:r>
      <w:r w:rsidR="000E6589" w:rsidRPr="00E85B62">
        <w:rPr>
          <w:lang w:val="en-US"/>
        </w:rPr>
        <w:t>(</w:t>
      </w:r>
      <w:r w:rsidR="000E6589">
        <w:rPr>
          <w:lang w:val="en-US"/>
        </w:rPr>
        <w:t>N = 3 spheroids / timepoint / treatment concentration for each cell line</w:t>
      </w:r>
      <w:r w:rsidR="000E6589" w:rsidRPr="00E85B62">
        <w:rPr>
          <w:lang w:val="en-US"/>
        </w:rPr>
        <w:t>)</w:t>
      </w:r>
      <w:r w:rsidRPr="00D621FA">
        <w:rPr>
          <w:lang w:val="en-US"/>
        </w:rPr>
        <w:t>, D) necrotic cell fraction (PI+</w:t>
      </w:r>
      <w:r w:rsidR="009E74FC">
        <w:rPr>
          <w:lang w:val="en-US"/>
        </w:rPr>
        <w:t xml:space="preserve">)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>N = 3 spheroids / timepoint / treatment concentration for each cell line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>, E) cytotoxicity (LDH release</w:t>
      </w:r>
      <w:r w:rsidR="009E74FC">
        <w:rPr>
          <w:lang w:val="en-US"/>
        </w:rPr>
        <w:t xml:space="preserve">)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 xml:space="preserve">N = </w:t>
      </w:r>
      <w:r w:rsidR="009E74FC" w:rsidRPr="00E85B62">
        <w:rPr>
          <w:lang w:val="en-US"/>
        </w:rPr>
        <w:t>9</w:t>
      </w:r>
      <w:r w:rsidR="009E74FC">
        <w:rPr>
          <w:lang w:val="en-US"/>
        </w:rPr>
        <w:t xml:space="preserve"> spheroids / timepoint / treatment concentration for each cell line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 xml:space="preserve">, and F) apoptotic fraction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>N = 3 spheroids / timepoint / treatment concentration for each cell line</w:t>
      </w:r>
      <w:r w:rsidR="009E74FC" w:rsidRPr="00E85B62">
        <w:rPr>
          <w:lang w:val="en-US"/>
        </w:rPr>
        <w:t>)</w:t>
      </w:r>
      <w:r w:rsidR="009E74FC">
        <w:rPr>
          <w:lang w:val="en-US"/>
        </w:rPr>
        <w:t xml:space="preserve"> </w:t>
      </w:r>
      <w:r w:rsidRPr="00D621FA">
        <w:rPr>
          <w:lang w:val="en-US"/>
        </w:rPr>
        <w:t xml:space="preserve">at the end of treatment (day 17) in U251, U87MG, and </w:t>
      </w:r>
      <w:r w:rsidRPr="00D621FA">
        <w:rPr>
          <w:lang w:val="en-US"/>
        </w:rPr>
        <w:lastRenderedPageBreak/>
        <w:t xml:space="preserve">ZH757 GBM models. Bar plots are representing mean ± SD. Treatment conditions (0, 0.1, 1, 10, 25, 50, 75, 100, 500, 1000 </w:t>
      </w:r>
      <w:r w:rsidRPr="00D621FA">
        <w:t>μ</w:t>
      </w:r>
      <w:r w:rsidRPr="00D621FA">
        <w:rPr>
          <w:lang w:val="en-US"/>
        </w:rPr>
        <w:t xml:space="preserve">M TMZ) and a CdSO₄ control were compared to the no treatment (NT) control. </w:t>
      </w:r>
      <w:r w:rsidR="003962A2" w:rsidRPr="00D621FA">
        <w:rPr>
          <w:lang w:val="en-US"/>
        </w:rPr>
        <w:t xml:space="preserve">Statistical analysis was performed </w:t>
      </w:r>
      <w:r w:rsidR="003962A2">
        <w:rPr>
          <w:lang w:val="en-US"/>
        </w:rPr>
        <w:t>using Kruskal-</w:t>
      </w:r>
      <w:proofErr w:type="gramStart"/>
      <w:r w:rsidR="003962A2">
        <w:rPr>
          <w:lang w:val="en-US"/>
        </w:rPr>
        <w:t>Wallis</w:t>
      </w:r>
      <w:proofErr w:type="gramEnd"/>
      <w:r w:rsidR="003962A2">
        <w:rPr>
          <w:lang w:val="en-US"/>
        </w:rPr>
        <w:t xml:space="preserve"> test followed by Dunn's multiple comparisons test </w:t>
      </w:r>
      <w:r w:rsidR="003962A2" w:rsidRPr="00D621FA">
        <w:rPr>
          <w:lang w:val="en-US"/>
        </w:rPr>
        <w:t xml:space="preserve">in GraphPad Prism (v10, GraphPad Software). </w:t>
      </w:r>
      <w:r w:rsidR="00DB4831" w:rsidRPr="00D621FA">
        <w:rPr>
          <w:lang w:val="en-US"/>
        </w:rPr>
        <w:t>All results are presented as bar plots with the following significance notation: *p &lt; 0.05, **p &lt; 0.01, ***p &lt; 0.001, and ****p &lt; 0.0001; non-significant differences (p ≥ 0.05).</w:t>
      </w:r>
    </w:p>
    <w:p w14:paraId="194E20D1" w14:textId="77777777" w:rsidR="008C7966" w:rsidRDefault="008C7966" w:rsidP="0052760B">
      <w:pPr>
        <w:spacing w:line="360" w:lineRule="auto"/>
        <w:rPr>
          <w:lang w:val="en-US"/>
        </w:rPr>
      </w:pPr>
    </w:p>
    <w:p w14:paraId="721F2BF0" w14:textId="77777777" w:rsidR="008C7966" w:rsidRDefault="008C7966" w:rsidP="0052760B">
      <w:pPr>
        <w:spacing w:line="360" w:lineRule="auto"/>
        <w:rPr>
          <w:lang w:val="en-US"/>
        </w:rPr>
      </w:pPr>
    </w:p>
    <w:p w14:paraId="6EBF5A6D" w14:textId="77777777" w:rsidR="008C7966" w:rsidRDefault="008C7966" w:rsidP="0052760B">
      <w:pPr>
        <w:spacing w:line="360" w:lineRule="auto"/>
        <w:rPr>
          <w:lang w:val="en-US"/>
        </w:rPr>
      </w:pPr>
    </w:p>
    <w:p w14:paraId="2C8ED2E9" w14:textId="77777777" w:rsidR="008C7966" w:rsidRDefault="008C7966" w:rsidP="0052760B">
      <w:pPr>
        <w:spacing w:line="360" w:lineRule="auto"/>
        <w:rPr>
          <w:lang w:val="en-US"/>
        </w:rPr>
      </w:pPr>
    </w:p>
    <w:p w14:paraId="2D769FF4" w14:textId="77777777" w:rsidR="008C7966" w:rsidRDefault="008C7966" w:rsidP="0052760B">
      <w:pPr>
        <w:spacing w:line="360" w:lineRule="auto"/>
        <w:rPr>
          <w:lang w:val="en-US"/>
        </w:rPr>
      </w:pPr>
    </w:p>
    <w:p w14:paraId="36776ED3" w14:textId="77777777" w:rsidR="008C7966" w:rsidRDefault="008C7966" w:rsidP="0052760B">
      <w:pPr>
        <w:spacing w:line="360" w:lineRule="auto"/>
        <w:rPr>
          <w:lang w:val="en-US"/>
        </w:rPr>
      </w:pPr>
    </w:p>
    <w:p w14:paraId="150A3559" w14:textId="77777777" w:rsidR="008C7966" w:rsidRDefault="008C7966" w:rsidP="0052760B">
      <w:pPr>
        <w:spacing w:line="360" w:lineRule="auto"/>
        <w:rPr>
          <w:lang w:val="en-US"/>
        </w:rPr>
      </w:pPr>
    </w:p>
    <w:p w14:paraId="695E0168" w14:textId="77777777" w:rsidR="008C7966" w:rsidRDefault="008C7966" w:rsidP="0052760B">
      <w:pPr>
        <w:spacing w:line="360" w:lineRule="auto"/>
        <w:rPr>
          <w:lang w:val="en-US"/>
        </w:rPr>
      </w:pPr>
    </w:p>
    <w:p w14:paraId="0DF1BC44" w14:textId="77777777" w:rsidR="008C7966" w:rsidRDefault="008C7966" w:rsidP="0052760B">
      <w:pPr>
        <w:spacing w:line="360" w:lineRule="auto"/>
        <w:rPr>
          <w:lang w:val="en-US"/>
        </w:rPr>
      </w:pPr>
    </w:p>
    <w:p w14:paraId="050EFAD2" w14:textId="77777777" w:rsidR="008C7966" w:rsidRDefault="008C7966" w:rsidP="0052760B">
      <w:pPr>
        <w:spacing w:line="360" w:lineRule="auto"/>
        <w:rPr>
          <w:lang w:val="en-US"/>
        </w:rPr>
      </w:pPr>
    </w:p>
    <w:p w14:paraId="15B29C77" w14:textId="77777777" w:rsidR="008C7966" w:rsidRDefault="008C7966" w:rsidP="0052760B">
      <w:pPr>
        <w:spacing w:line="360" w:lineRule="auto"/>
        <w:rPr>
          <w:lang w:val="en-US"/>
        </w:rPr>
      </w:pPr>
    </w:p>
    <w:p w14:paraId="48A10C5F" w14:textId="77777777" w:rsidR="008C7966" w:rsidRDefault="008C7966" w:rsidP="0052760B">
      <w:pPr>
        <w:spacing w:line="360" w:lineRule="auto"/>
        <w:rPr>
          <w:lang w:val="en-US"/>
        </w:rPr>
      </w:pPr>
    </w:p>
    <w:p w14:paraId="7AFE505B" w14:textId="79BFAE3A" w:rsidR="00C73D6D" w:rsidRDefault="00C73D6D" w:rsidP="0052760B">
      <w:pPr>
        <w:spacing w:line="36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0F4171" wp14:editId="342D774D">
            <wp:extent cx="6122670" cy="4531995"/>
            <wp:effectExtent l="0" t="0" r="0" b="1905"/>
            <wp:docPr id="12321323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B063" w14:textId="1AC80070" w:rsidR="0052760B" w:rsidRDefault="0052760B" w:rsidP="0052760B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t>Supplementary Figure S4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Pr="003962A2">
        <w:rPr>
          <w:b/>
          <w:bCs/>
          <w:lang w:val="en-US"/>
        </w:rPr>
        <w:t xml:space="preserve">Dose-dependent cytotoxicity (LDH release) in </w:t>
      </w:r>
      <w:r w:rsidR="00590EE2" w:rsidRPr="003962A2">
        <w:rPr>
          <w:b/>
          <w:bCs/>
          <w:lang w:val="en-US"/>
        </w:rPr>
        <w:t>GBM</w:t>
      </w:r>
      <w:r w:rsidRPr="003962A2">
        <w:rPr>
          <w:b/>
          <w:bCs/>
          <w:lang w:val="en-US"/>
        </w:rPr>
        <w:t xml:space="preserve"> cell lines after 3 days of continuous treatment.</w:t>
      </w:r>
      <w:r w:rsidRPr="00D621FA">
        <w:rPr>
          <w:lang w:val="en-US"/>
        </w:rPr>
        <w:t xml:space="preserve"> Bar plots show mean ± SD for A) U251MG, B) U87MG, and C) ZH757</w:t>
      </w:r>
      <w:r w:rsidR="000E6589">
        <w:rPr>
          <w:lang w:val="en-US"/>
        </w:rPr>
        <w:t xml:space="preserve"> calculated from three technical and three biological replicates (n = 3)</w:t>
      </w:r>
      <w:r w:rsidR="000E6589" w:rsidRPr="00E85B62">
        <w:rPr>
          <w:lang w:val="en-US"/>
        </w:rPr>
        <w:t xml:space="preserve"> (</w:t>
      </w:r>
      <w:r w:rsidR="000E6589">
        <w:rPr>
          <w:lang w:val="en-US"/>
        </w:rPr>
        <w:t xml:space="preserve">N = </w:t>
      </w:r>
      <w:r w:rsidR="000E6589" w:rsidRPr="00E85B62">
        <w:rPr>
          <w:lang w:val="en-US"/>
        </w:rPr>
        <w:t>9</w:t>
      </w:r>
      <w:r w:rsidR="000E6589">
        <w:rPr>
          <w:lang w:val="en-US"/>
        </w:rPr>
        <w:t xml:space="preserve"> spheroids / treatment concentration for each cell line) and </w:t>
      </w:r>
      <w:r w:rsidRPr="00D621FA">
        <w:rPr>
          <w:lang w:val="en-US"/>
        </w:rPr>
        <w:t>demonstrating a clear dose-response relationship</w:t>
      </w:r>
      <w:r w:rsidR="000E6589">
        <w:rPr>
          <w:lang w:val="en-US"/>
        </w:rPr>
        <w:t xml:space="preserve"> in U87MG and ZH757</w:t>
      </w:r>
      <w:r w:rsidRPr="00D621FA">
        <w:rPr>
          <w:lang w:val="en-US"/>
        </w:rPr>
        <w:t xml:space="preserve">. </w:t>
      </w:r>
    </w:p>
    <w:p w14:paraId="1360065B" w14:textId="25A58488" w:rsidR="00C73D6D" w:rsidRPr="00D621FA" w:rsidRDefault="00E62876" w:rsidP="0052760B">
      <w:pPr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5B76F8" wp14:editId="4CAA167C">
            <wp:extent cx="6120130" cy="5509260"/>
            <wp:effectExtent l="0" t="0" r="0" b="0"/>
            <wp:docPr id="1147848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0E7B" w14:textId="592A09D0" w:rsidR="00C73D6D" w:rsidRDefault="0052760B" w:rsidP="00C73D6D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t>Supplementary Figure S5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Pr="003962A2">
        <w:rPr>
          <w:b/>
          <w:bCs/>
          <w:lang w:val="en-US"/>
        </w:rPr>
        <w:t xml:space="preserve">Evaluation of GliaMimic treatment discontinuation and </w:t>
      </w:r>
      <w:proofErr w:type="gramStart"/>
      <w:r w:rsidRPr="003962A2">
        <w:rPr>
          <w:b/>
          <w:bCs/>
          <w:lang w:val="en-US"/>
        </w:rPr>
        <w:t>relapse</w:t>
      </w:r>
      <w:proofErr w:type="gramEnd"/>
      <w:r w:rsidRPr="003962A2">
        <w:rPr>
          <w:b/>
          <w:bCs/>
          <w:lang w:val="en-US"/>
        </w:rPr>
        <w:t xml:space="preserve"> in GBM spheroid models.</w:t>
      </w:r>
      <w:r w:rsidRPr="00D621FA">
        <w:rPr>
          <w:lang w:val="en-US"/>
        </w:rPr>
        <w:t xml:space="preserve"> Bar plots </w:t>
      </w:r>
      <w:r w:rsidR="009E74FC">
        <w:rPr>
          <w:lang w:val="en-US"/>
        </w:rPr>
        <w:t xml:space="preserve">were calculated from three technical and three biological replicates (n=3) and </w:t>
      </w:r>
      <w:r w:rsidRPr="00D621FA">
        <w:rPr>
          <w:lang w:val="en-US"/>
        </w:rPr>
        <w:t xml:space="preserve">depict A) spheroid area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 xml:space="preserve">N = </w:t>
      </w:r>
      <w:r w:rsidR="009E74FC" w:rsidRPr="00E85B62">
        <w:rPr>
          <w:lang w:val="en-US"/>
        </w:rPr>
        <w:t>9</w:t>
      </w:r>
      <w:r w:rsidR="009E74FC">
        <w:rPr>
          <w:lang w:val="en-US"/>
        </w:rPr>
        <w:t xml:space="preserve"> spheroids / timepoint / treatment concentration for each cell line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>, B) metabolic activity (XTT assay</w:t>
      </w:r>
      <w:r w:rsidR="009E74FC">
        <w:rPr>
          <w:lang w:val="en-US"/>
        </w:rPr>
        <w:t xml:space="preserve">)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 xml:space="preserve">N = </w:t>
      </w:r>
      <w:r w:rsidR="009E74FC" w:rsidRPr="00E85B62">
        <w:rPr>
          <w:lang w:val="en-US"/>
        </w:rPr>
        <w:t>9</w:t>
      </w:r>
      <w:r w:rsidR="009E74FC">
        <w:rPr>
          <w:lang w:val="en-US"/>
        </w:rPr>
        <w:t xml:space="preserve"> spheroids / timepoint / treatment concentration for each cell line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>, and</w:t>
      </w:r>
      <w:r w:rsidR="003962A2">
        <w:rPr>
          <w:lang w:val="en-US"/>
        </w:rPr>
        <w:t xml:space="preserve"> </w:t>
      </w:r>
      <w:r w:rsidRPr="00D621FA">
        <w:rPr>
          <w:lang w:val="en-US"/>
        </w:rPr>
        <w:t>C) viable cell fraction (calcein+</w:t>
      </w:r>
      <w:r w:rsidR="009E74FC">
        <w:rPr>
          <w:lang w:val="en-US"/>
        </w:rPr>
        <w:t xml:space="preserve">)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>N = 3 spheroids / timepoint / treatment concentration for each cell line</w:t>
      </w:r>
      <w:r w:rsidR="009E74FC" w:rsidRPr="00E85B62">
        <w:rPr>
          <w:lang w:val="en-US"/>
        </w:rPr>
        <w:t>)</w:t>
      </w:r>
      <w:r w:rsidR="009E74FC">
        <w:rPr>
          <w:lang w:val="en-US"/>
        </w:rPr>
        <w:t xml:space="preserve"> </w:t>
      </w:r>
      <w:r w:rsidRPr="00D621FA">
        <w:rPr>
          <w:lang w:val="en-US"/>
        </w:rPr>
        <w:t xml:space="preserve">for ZH757, U87MG, and U251MG at the end of treatment (day 17) and after 2 weeks of discontinuation (day 30, relapse timepoint). Data </w:t>
      </w:r>
      <w:proofErr w:type="gramStart"/>
      <w:r w:rsidRPr="00D621FA">
        <w:rPr>
          <w:lang w:val="en-US"/>
        </w:rPr>
        <w:t>represent mean ±</w:t>
      </w:r>
      <w:proofErr w:type="gramEnd"/>
      <w:r w:rsidRPr="00D621FA">
        <w:rPr>
          <w:lang w:val="en-US"/>
        </w:rPr>
        <w:t xml:space="preserve"> SD. </w:t>
      </w:r>
    </w:p>
    <w:p w14:paraId="079921E9" w14:textId="77777777" w:rsidR="00C73D6D" w:rsidRPr="00D621FA" w:rsidRDefault="00C73D6D" w:rsidP="0052760B">
      <w:pPr>
        <w:spacing w:line="360" w:lineRule="auto"/>
        <w:rPr>
          <w:lang w:val="en-US"/>
        </w:rPr>
      </w:pPr>
    </w:p>
    <w:p w14:paraId="0032A2E0" w14:textId="0F922D31" w:rsidR="0052760B" w:rsidRPr="00D621FA" w:rsidRDefault="00C73D6D" w:rsidP="0052760B">
      <w:pPr>
        <w:spacing w:line="36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424F32" wp14:editId="2593BEEB">
            <wp:extent cx="6114415" cy="8333105"/>
            <wp:effectExtent l="0" t="0" r="635" b="0"/>
            <wp:docPr id="1737260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243F" w14:textId="6169B3F1" w:rsidR="0052760B" w:rsidRDefault="0052760B" w:rsidP="0052760B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lastRenderedPageBreak/>
        <w:t>Supplementary Figure S6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Pr="003962A2">
        <w:rPr>
          <w:b/>
          <w:bCs/>
          <w:lang w:val="en-US"/>
        </w:rPr>
        <w:t xml:space="preserve">Immunohistochemical characterization of patient-derived </w:t>
      </w:r>
      <w:r w:rsidR="00590EE2" w:rsidRPr="003962A2">
        <w:rPr>
          <w:b/>
          <w:bCs/>
          <w:lang w:val="en-US"/>
        </w:rPr>
        <w:t xml:space="preserve">GBM </w:t>
      </w:r>
      <w:r w:rsidRPr="003962A2">
        <w:rPr>
          <w:b/>
          <w:bCs/>
          <w:lang w:val="en-US"/>
        </w:rPr>
        <w:t>organoids over 4 weeks of cultivation.</w:t>
      </w:r>
      <w:r w:rsidRPr="00D621FA">
        <w:rPr>
          <w:lang w:val="en-US"/>
        </w:rPr>
        <w:t xml:space="preserve"> Heatmaps</w:t>
      </w:r>
      <w:r w:rsidR="003962A2">
        <w:rPr>
          <w:lang w:val="en-US"/>
        </w:rPr>
        <w:t xml:space="preserve"> A-E)</w:t>
      </w:r>
      <w:r w:rsidRPr="00D621FA">
        <w:rPr>
          <w:lang w:val="en-US"/>
        </w:rPr>
        <w:t xml:space="preserve"> display mean expression levels of endothelial and vascular markers (CD34, ERG), immune cell populations (CD3, Granzyme B, CD68), and a tumor cell panel (Ki-67, GFAP, Olig2, MAP2, apoptotic fraction) across </w:t>
      </w:r>
      <w:r w:rsidR="00590EE2">
        <w:rPr>
          <w:lang w:val="en-US"/>
        </w:rPr>
        <w:t>PDOs</w:t>
      </w:r>
      <w:r w:rsidRPr="00D621FA">
        <w:rPr>
          <w:lang w:val="en-US"/>
        </w:rPr>
        <w:t xml:space="preserve"> from 5 GBM patients (</w:t>
      </w:r>
      <w:r w:rsidR="009E74FC">
        <w:rPr>
          <w:lang w:val="en-US"/>
        </w:rPr>
        <w:t>N = 3 organoids / staining for each patient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>. Measurements were taken a</w:t>
      </w:r>
      <w:r w:rsidR="00590EE2">
        <w:rPr>
          <w:lang w:val="en-US"/>
        </w:rPr>
        <w:t>fter</w:t>
      </w:r>
      <w:r w:rsidRPr="00D621FA">
        <w:rPr>
          <w:lang w:val="en-US"/>
        </w:rPr>
        <w:t xml:space="preserve"> 2 and 4 weeks, with additional comparison to the patient’s original tumor tissue (surgery day). </w:t>
      </w:r>
      <w:r w:rsidR="00590EE2">
        <w:rPr>
          <w:lang w:val="en-US"/>
        </w:rPr>
        <w:t>PDOs</w:t>
      </w:r>
      <w:r w:rsidRPr="00D621FA">
        <w:rPr>
          <w:lang w:val="en-US"/>
        </w:rPr>
        <w:t xml:space="preserve"> exhibited pronounced inter- and intratumoral heterogeneity, including GBM cells, vasculature, and immune infiltrates. Notably, organoids closely mirrored the patient-matched tissue, supporting their clinical relevance as a tumor model. Statistical comparisons between timepoints were omitted due to the descriptive nature of the analysis.</w:t>
      </w:r>
    </w:p>
    <w:p w14:paraId="5C35A7B7" w14:textId="77777777" w:rsidR="008C7966" w:rsidRPr="00D621FA" w:rsidRDefault="008C7966" w:rsidP="0052760B">
      <w:pPr>
        <w:spacing w:line="360" w:lineRule="auto"/>
        <w:rPr>
          <w:lang w:val="en-US"/>
        </w:rPr>
      </w:pPr>
    </w:p>
    <w:p w14:paraId="413E598F" w14:textId="77777777" w:rsidR="0052760B" w:rsidRPr="00D621FA" w:rsidRDefault="0052760B" w:rsidP="0052760B">
      <w:pPr>
        <w:spacing w:line="360" w:lineRule="auto"/>
        <w:rPr>
          <w:lang w:val="en-US"/>
        </w:rPr>
      </w:pPr>
    </w:p>
    <w:p w14:paraId="239B027C" w14:textId="65A5C285" w:rsidR="00C73D6D" w:rsidRPr="00D621FA" w:rsidRDefault="00C73D6D" w:rsidP="0052760B">
      <w:pPr>
        <w:spacing w:line="360" w:lineRule="auto"/>
        <w:rPr>
          <w:lang w:val="en-US"/>
        </w:rPr>
      </w:pPr>
      <w:r>
        <w:rPr>
          <w:b/>
          <w:bCs/>
          <w:i/>
          <w:iCs/>
          <w:noProof/>
          <w:lang w:val="en-US"/>
        </w:rPr>
        <w:lastRenderedPageBreak/>
        <w:drawing>
          <wp:inline distT="0" distB="0" distL="0" distR="0" wp14:anchorId="00906C64" wp14:editId="4448528D">
            <wp:extent cx="6122670" cy="4985385"/>
            <wp:effectExtent l="0" t="0" r="0" b="5715"/>
            <wp:docPr id="591196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9BA1" w14:textId="2887F318" w:rsidR="0052760B" w:rsidRDefault="0052760B" w:rsidP="0052760B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t>Supplementary Figure S8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Pr="003962A2">
        <w:rPr>
          <w:b/>
          <w:bCs/>
          <w:lang w:val="en-US"/>
        </w:rPr>
        <w:t>Relative spheroid area fold change over 30 days of treatment.</w:t>
      </w:r>
      <w:r w:rsidRPr="00D621FA">
        <w:rPr>
          <w:lang w:val="en-US"/>
        </w:rPr>
        <w:t xml:space="preserve"> Bright-field imaging was performed every </w:t>
      </w:r>
      <w:r w:rsidR="00590EE2">
        <w:rPr>
          <w:lang w:val="en-US"/>
        </w:rPr>
        <w:t>two to three</w:t>
      </w:r>
      <w:r w:rsidRPr="00D621FA">
        <w:rPr>
          <w:lang w:val="en-US"/>
        </w:rPr>
        <w:t xml:space="preserve"> days to assess organoid growth in </w:t>
      </w:r>
      <w:proofErr w:type="gramStart"/>
      <w:r w:rsidRPr="00D621FA">
        <w:rPr>
          <w:lang w:val="en-US"/>
        </w:rPr>
        <w:t>A</w:t>
      </w:r>
      <w:r w:rsidR="00C73D6D">
        <w:rPr>
          <w:lang w:val="en-US"/>
        </w:rPr>
        <w:t>) patient</w:t>
      </w:r>
      <w:proofErr w:type="gramEnd"/>
      <w:r w:rsidRPr="00D621FA">
        <w:rPr>
          <w:lang w:val="en-US"/>
        </w:rPr>
        <w:t xml:space="preserve"> 6, B) </w:t>
      </w:r>
      <w:proofErr w:type="gramStart"/>
      <w:r w:rsidR="00C73D6D">
        <w:rPr>
          <w:lang w:val="en-US"/>
        </w:rPr>
        <w:t>patient</w:t>
      </w:r>
      <w:proofErr w:type="gramEnd"/>
      <w:r w:rsidRPr="00D621FA">
        <w:rPr>
          <w:lang w:val="en-US"/>
        </w:rPr>
        <w:t xml:space="preserve"> 7, C) </w:t>
      </w:r>
      <w:proofErr w:type="gramStart"/>
      <w:r w:rsidR="00C73D6D">
        <w:rPr>
          <w:lang w:val="en-US"/>
        </w:rPr>
        <w:t>patient</w:t>
      </w:r>
      <w:proofErr w:type="gramEnd"/>
      <w:r w:rsidRPr="00D621FA">
        <w:rPr>
          <w:lang w:val="en-US"/>
        </w:rPr>
        <w:t xml:space="preserve"> 8 and D) </w:t>
      </w:r>
      <w:proofErr w:type="gramStart"/>
      <w:r w:rsidR="00C73D6D">
        <w:rPr>
          <w:lang w:val="en-US"/>
        </w:rPr>
        <w:t>patient</w:t>
      </w:r>
      <w:proofErr w:type="gramEnd"/>
      <w:r w:rsidRPr="00D621FA">
        <w:rPr>
          <w:lang w:val="en-US"/>
        </w:rPr>
        <w:t xml:space="preserve"> 9 under increasing concentrations of TMZ (NT, 0,10, 50, 100 µM). The fold change in spheroid area was normalized to baseline measurements of each treatment condition (day 0) and data represent </w:t>
      </w:r>
      <w:r w:rsidR="00590EE2">
        <w:rPr>
          <w:lang w:val="en-US"/>
        </w:rPr>
        <w:t>mean</w:t>
      </w:r>
      <w:r w:rsidRPr="00D621FA">
        <w:rPr>
          <w:lang w:val="en-US"/>
        </w:rPr>
        <w:t xml:space="preserve"> ± SD </w:t>
      </w:r>
      <w:r w:rsidR="009E74FC">
        <w:rPr>
          <w:lang w:val="en-US"/>
        </w:rPr>
        <w:t xml:space="preserve">of three technical replicates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>N = 3 organoids / timepoint / treatment concentration for each patient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 xml:space="preserve">. </w:t>
      </w:r>
    </w:p>
    <w:p w14:paraId="442CC61F" w14:textId="1C55F0CF" w:rsidR="00C73D6D" w:rsidRPr="00D621FA" w:rsidRDefault="00E62876" w:rsidP="0052760B">
      <w:pPr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B6E512" wp14:editId="157BE26C">
            <wp:extent cx="6120130" cy="8677275"/>
            <wp:effectExtent l="0" t="0" r="0" b="9525"/>
            <wp:docPr id="8772025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E288" w14:textId="1836AB17" w:rsidR="00C73D6D" w:rsidRDefault="0052760B" w:rsidP="00C73D6D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lastRenderedPageBreak/>
        <w:t>Supplementary Figure S9</w:t>
      </w:r>
      <w:r w:rsidR="008D4DF0">
        <w:rPr>
          <w:b/>
          <w:bCs/>
          <w:i/>
          <w:iCs/>
          <w:lang w:val="en-US"/>
        </w:rPr>
        <w:t>.</w:t>
      </w:r>
      <w:r w:rsidRPr="00D621FA">
        <w:rPr>
          <w:b/>
          <w:bCs/>
          <w:i/>
          <w:iCs/>
          <w:lang w:val="en-US"/>
        </w:rPr>
        <w:t xml:space="preserve"> </w:t>
      </w:r>
      <w:r w:rsidR="003962A2" w:rsidRPr="003962A2">
        <w:rPr>
          <w:b/>
          <w:bCs/>
          <w:lang w:val="en-US"/>
        </w:rPr>
        <w:t>Capturing treatment effects at end of GliaMimic treatment</w:t>
      </w:r>
      <w:r w:rsidR="003962A2">
        <w:rPr>
          <w:b/>
          <w:bCs/>
          <w:lang w:val="en-US"/>
        </w:rPr>
        <w:t xml:space="preserve"> in </w:t>
      </w:r>
      <w:r w:rsidR="003962A2">
        <w:rPr>
          <w:b/>
          <w:bCs/>
          <w:lang w:val="en-US"/>
        </w:rPr>
        <w:t>PDOs</w:t>
      </w:r>
      <w:r w:rsidR="003962A2" w:rsidRPr="003962A2">
        <w:rPr>
          <w:b/>
          <w:bCs/>
          <w:lang w:val="en-US"/>
        </w:rPr>
        <w:t>.</w:t>
      </w:r>
      <w:r w:rsidR="003962A2">
        <w:rPr>
          <w:lang w:val="en-US"/>
        </w:rPr>
        <w:t xml:space="preserve"> </w:t>
      </w:r>
      <w:r w:rsidRPr="00D621FA">
        <w:rPr>
          <w:lang w:val="en-US"/>
        </w:rPr>
        <w:t>Bar plots comparing the effects of GliaMimic treatment across A) GBM organoid size, B) metabolic activity (XTT assay), C) viable cell fraction (calcein</w:t>
      </w:r>
      <w:r w:rsidR="009E74FC">
        <w:rPr>
          <w:lang w:val="en-US"/>
        </w:rPr>
        <w:t>+</w:t>
      </w:r>
      <w:r w:rsidRPr="00D621FA">
        <w:rPr>
          <w:lang w:val="en-US"/>
        </w:rPr>
        <w:t>), D) necrotic cell fraction (PI+), E) cytotoxicity (LDH release)</w:t>
      </w:r>
      <w:r w:rsidR="003962A2">
        <w:rPr>
          <w:lang w:val="en-US"/>
        </w:rPr>
        <w:t xml:space="preserve"> </w:t>
      </w:r>
      <w:r w:rsidRPr="00D621FA">
        <w:rPr>
          <w:lang w:val="en-US"/>
        </w:rPr>
        <w:t>at the end of treatment (day 17) in patient-derived organoids from 4 different patients. Bar plots are representing mean ± SD</w:t>
      </w:r>
      <w:r w:rsidR="009E74FC">
        <w:rPr>
          <w:lang w:val="en-US"/>
        </w:rPr>
        <w:t xml:space="preserve"> calculated from three technical replicates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>N = 3 PDOs / timepoint / treatment concentration for each patient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 xml:space="preserve">. Treatment conditions (0, 10, 50, 100 </w:t>
      </w:r>
      <w:r w:rsidRPr="00D621FA">
        <w:t>μ</w:t>
      </w:r>
      <w:r w:rsidRPr="00D621FA">
        <w:rPr>
          <w:lang w:val="en-US"/>
        </w:rPr>
        <w:t xml:space="preserve">M TMZ) were compared to the no treatment (NT) control. </w:t>
      </w:r>
      <w:r w:rsidR="003962A2" w:rsidRPr="00D621FA">
        <w:rPr>
          <w:lang w:val="en-US"/>
        </w:rPr>
        <w:t xml:space="preserve">Statistical analysis was performed </w:t>
      </w:r>
      <w:r w:rsidR="003962A2">
        <w:rPr>
          <w:lang w:val="en-US"/>
        </w:rPr>
        <w:t>using Kruskal-</w:t>
      </w:r>
      <w:proofErr w:type="gramStart"/>
      <w:r w:rsidR="003962A2">
        <w:rPr>
          <w:lang w:val="en-US"/>
        </w:rPr>
        <w:t>Wallis</w:t>
      </w:r>
      <w:proofErr w:type="gramEnd"/>
      <w:r w:rsidR="003962A2">
        <w:rPr>
          <w:lang w:val="en-US"/>
        </w:rPr>
        <w:t xml:space="preserve"> test followed by Dunn's multiple comparisons test </w:t>
      </w:r>
      <w:r w:rsidR="003962A2" w:rsidRPr="00D621FA">
        <w:rPr>
          <w:lang w:val="en-US"/>
        </w:rPr>
        <w:t xml:space="preserve">in GraphPad Prism (v10, GraphPad Software). </w:t>
      </w:r>
      <w:r w:rsidR="00C73D6D" w:rsidRPr="00D621FA">
        <w:rPr>
          <w:lang w:val="en-US"/>
        </w:rPr>
        <w:t xml:space="preserve"> All results are presented as bar plots with the following significance notation: *p &lt; 0.05, **p &lt; 0.01, ***p &lt; 0.001, and ****p &lt; 0.0001; non-significant differences (p ≥ 0.05).</w:t>
      </w:r>
    </w:p>
    <w:p w14:paraId="4501BCAA" w14:textId="1B78900F" w:rsidR="00C73D6D" w:rsidRDefault="00E62876" w:rsidP="00C73D6D">
      <w:pPr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0A433D0" wp14:editId="45F65085">
            <wp:extent cx="6120130" cy="8292465"/>
            <wp:effectExtent l="0" t="0" r="0" b="0"/>
            <wp:docPr id="20289166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8B88" w14:textId="49AF0D77" w:rsidR="0052760B" w:rsidRDefault="0052760B" w:rsidP="0052760B">
      <w:pPr>
        <w:spacing w:line="360" w:lineRule="auto"/>
        <w:rPr>
          <w:lang w:val="en-US"/>
        </w:rPr>
      </w:pPr>
      <w:r w:rsidRPr="00D621FA">
        <w:rPr>
          <w:b/>
          <w:bCs/>
          <w:i/>
          <w:iCs/>
          <w:lang w:val="en-US"/>
        </w:rPr>
        <w:lastRenderedPageBreak/>
        <w:t xml:space="preserve">Supplementary Figure S10 </w:t>
      </w:r>
      <w:r w:rsidRPr="008D4DF0">
        <w:rPr>
          <w:b/>
          <w:bCs/>
          <w:lang w:val="en-US"/>
        </w:rPr>
        <w:t>Evaluation of GliaMimic treatment discontinuation and relapse in GBM spheroid models.</w:t>
      </w:r>
      <w:r w:rsidRPr="00D621FA">
        <w:rPr>
          <w:lang w:val="en-US"/>
        </w:rPr>
        <w:t xml:space="preserve"> Bar plots depict</w:t>
      </w:r>
      <w:r w:rsidR="008D4DF0">
        <w:rPr>
          <w:lang w:val="en-US"/>
        </w:rPr>
        <w:t xml:space="preserve"> A)</w:t>
      </w:r>
      <w:r w:rsidRPr="00D621FA">
        <w:rPr>
          <w:lang w:val="en-US"/>
        </w:rPr>
        <w:t xml:space="preserve"> patient-derived organoid area, B) metabolic activity (XTT assay), and</w:t>
      </w:r>
      <w:r w:rsidR="009E74FC">
        <w:rPr>
          <w:lang w:val="en-US"/>
        </w:rPr>
        <w:t xml:space="preserve"> </w:t>
      </w:r>
      <w:r w:rsidRPr="00D621FA">
        <w:rPr>
          <w:lang w:val="en-US"/>
        </w:rPr>
        <w:t>C) viable cell fraction (calcein AM+)</w:t>
      </w:r>
      <w:r w:rsidR="004A29CC">
        <w:rPr>
          <w:lang w:val="en-US"/>
        </w:rPr>
        <w:t>.</w:t>
      </w:r>
      <w:r w:rsidRPr="00D621FA">
        <w:rPr>
          <w:lang w:val="en-US"/>
        </w:rPr>
        <w:t xml:space="preserve"> GBM </w:t>
      </w:r>
      <w:r w:rsidR="004A29CC">
        <w:rPr>
          <w:lang w:val="en-US"/>
        </w:rPr>
        <w:t>PDOs</w:t>
      </w:r>
      <w:r w:rsidRPr="00D621FA">
        <w:rPr>
          <w:lang w:val="en-US"/>
        </w:rPr>
        <w:t xml:space="preserve"> derived from </w:t>
      </w:r>
      <w:r w:rsidR="004A29CC">
        <w:rPr>
          <w:lang w:val="en-US"/>
        </w:rPr>
        <w:t>four</w:t>
      </w:r>
      <w:r w:rsidRPr="00D621FA">
        <w:rPr>
          <w:lang w:val="en-US"/>
        </w:rPr>
        <w:t xml:space="preserve"> patients at the end of treatment (day 17) and after </w:t>
      </w:r>
      <w:r w:rsidR="004A29CC">
        <w:rPr>
          <w:lang w:val="en-US"/>
        </w:rPr>
        <w:t>two</w:t>
      </w:r>
      <w:r w:rsidRPr="00D621FA">
        <w:rPr>
          <w:lang w:val="en-US"/>
        </w:rPr>
        <w:t xml:space="preserve"> weeks of discontinuation (day 30, relapse timepoint). Data </w:t>
      </w:r>
      <w:proofErr w:type="gramStart"/>
      <w:r w:rsidRPr="00D621FA">
        <w:rPr>
          <w:lang w:val="en-US"/>
        </w:rPr>
        <w:t>represent</w:t>
      </w:r>
      <w:r w:rsidR="004A29CC">
        <w:rPr>
          <w:lang w:val="en-US"/>
        </w:rPr>
        <w:t>s</w:t>
      </w:r>
      <w:r w:rsidRPr="00D621FA">
        <w:rPr>
          <w:lang w:val="en-US"/>
        </w:rPr>
        <w:t xml:space="preserve"> mean ±</w:t>
      </w:r>
      <w:proofErr w:type="gramEnd"/>
      <w:r w:rsidRPr="00D621FA">
        <w:rPr>
          <w:lang w:val="en-US"/>
        </w:rPr>
        <w:t xml:space="preserve"> SD</w:t>
      </w:r>
      <w:r w:rsidR="009E74FC">
        <w:rPr>
          <w:lang w:val="en-US"/>
        </w:rPr>
        <w:t xml:space="preserve"> and were calculated from three technical replicates </w:t>
      </w:r>
      <w:r w:rsidR="009E74FC" w:rsidRPr="00E85B62">
        <w:rPr>
          <w:lang w:val="en-US"/>
        </w:rPr>
        <w:t>(</w:t>
      </w:r>
      <w:r w:rsidR="009E74FC">
        <w:rPr>
          <w:lang w:val="en-US"/>
        </w:rPr>
        <w:t>N = 3 PDOs / timepoint / treatment concentration for each patient</w:t>
      </w:r>
      <w:r w:rsidR="009E74FC" w:rsidRPr="00E85B62">
        <w:rPr>
          <w:lang w:val="en-US"/>
        </w:rPr>
        <w:t>)</w:t>
      </w:r>
      <w:r w:rsidRPr="00D621FA">
        <w:rPr>
          <w:lang w:val="en-US"/>
        </w:rPr>
        <w:t xml:space="preserve">. </w:t>
      </w:r>
    </w:p>
    <w:p w14:paraId="0A4BDAA5" w14:textId="5970E15B" w:rsidR="00C73D6D" w:rsidRPr="00D621FA" w:rsidRDefault="00C73D6D" w:rsidP="0052760B">
      <w:pPr>
        <w:spacing w:line="360" w:lineRule="auto"/>
        <w:rPr>
          <w:lang w:val="en-US"/>
        </w:rPr>
      </w:pPr>
    </w:p>
    <w:p w14:paraId="33E5DA49" w14:textId="77777777" w:rsidR="0052760B" w:rsidRDefault="0052760B" w:rsidP="00F12F19">
      <w:pPr>
        <w:rPr>
          <w:rFonts w:asciiTheme="majorHAnsi" w:eastAsiaTheme="majorEastAsia" w:hAnsiTheme="majorHAnsi" w:cstheme="majorBidi"/>
          <w:b/>
          <w:bCs/>
          <w:spacing w:val="-7"/>
          <w:lang w:val="en-US"/>
        </w:rPr>
      </w:pPr>
    </w:p>
    <w:p w14:paraId="72533ED0" w14:textId="2FB8E265" w:rsidR="0052760B" w:rsidRPr="008C7966" w:rsidRDefault="008C7966" w:rsidP="008C7966">
      <w:pPr>
        <w:pStyle w:val="Heading2"/>
        <w:rPr>
          <w:rFonts w:eastAsiaTheme="majorEastAsia"/>
        </w:rPr>
      </w:pPr>
      <w:r w:rsidRPr="008C7966">
        <w:rPr>
          <w:rFonts w:eastAsiaTheme="majorEastAsia"/>
        </w:rPr>
        <w:t>Tables</w:t>
      </w:r>
    </w:p>
    <w:p w14:paraId="2E787D9E" w14:textId="21826D7B" w:rsidR="00CF21F8" w:rsidRDefault="00CF21F8" w:rsidP="0052760B">
      <w:pPr>
        <w:spacing w:line="360" w:lineRule="auto"/>
        <w:rPr>
          <w:b/>
          <w:bCs/>
          <w:i/>
          <w:iCs/>
          <w:lang w:val="en-US"/>
        </w:rPr>
      </w:pPr>
      <w:r>
        <w:rPr>
          <w:b/>
          <w:bCs/>
          <w:i/>
          <w:iCs/>
          <w:noProof/>
          <w:lang w:val="en-US"/>
        </w:rPr>
        <w:drawing>
          <wp:inline distT="0" distB="0" distL="0" distR="0" wp14:anchorId="28564FD3" wp14:editId="57137BD5">
            <wp:extent cx="6106795" cy="1105535"/>
            <wp:effectExtent l="0" t="0" r="8255" b="0"/>
            <wp:docPr id="1377069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07D8" w14:textId="6F802EA1" w:rsidR="0052760B" w:rsidRPr="008D4DF0" w:rsidRDefault="0052760B" w:rsidP="0052760B">
      <w:pPr>
        <w:spacing w:line="360" w:lineRule="auto"/>
        <w:rPr>
          <w:lang w:val="en-US"/>
        </w:rPr>
      </w:pPr>
      <w:r w:rsidRPr="00E62876">
        <w:rPr>
          <w:b/>
          <w:bCs/>
          <w:i/>
          <w:iCs/>
          <w:lang w:val="en-US"/>
        </w:rPr>
        <w:t>Supplementary Table 1</w:t>
      </w:r>
      <w:r w:rsidRPr="00E62876">
        <w:rPr>
          <w:i/>
          <w:iCs/>
          <w:lang w:val="en-US"/>
        </w:rPr>
        <w:t xml:space="preserve"> </w:t>
      </w:r>
      <w:r w:rsidR="00E62876" w:rsidRPr="008D4DF0">
        <w:rPr>
          <w:b/>
          <w:bCs/>
          <w:lang w:val="en-US"/>
        </w:rPr>
        <w:t>Patient information</w:t>
      </w:r>
      <w:r w:rsidR="00E62876" w:rsidRPr="008D4DF0">
        <w:rPr>
          <w:lang w:val="en-US"/>
        </w:rPr>
        <w:t xml:space="preserve">. </w:t>
      </w:r>
      <w:r w:rsidR="004A29CC" w:rsidRPr="008D4DF0">
        <w:rPr>
          <w:lang w:val="en-US"/>
        </w:rPr>
        <w:t>Clinical i</w:t>
      </w:r>
      <w:r w:rsidRPr="008D4DF0">
        <w:rPr>
          <w:lang w:val="en-US"/>
        </w:rPr>
        <w:t xml:space="preserve">ndications (Patient #, GBO ID, HOCH Patient ID donor age, gender, informed consent, MGMT promoter methylation status, IDH status, pretreatments, primary/recurrent) about </w:t>
      </w:r>
      <w:r w:rsidR="004A29CC" w:rsidRPr="008D4DF0">
        <w:rPr>
          <w:lang w:val="en-US"/>
        </w:rPr>
        <w:t xml:space="preserve">GBM </w:t>
      </w:r>
      <w:r w:rsidRPr="008D4DF0">
        <w:rPr>
          <w:lang w:val="en-US"/>
        </w:rPr>
        <w:t xml:space="preserve">patients used for the generation of patient-derived organoids </w:t>
      </w:r>
      <w:r w:rsidR="004A29CC" w:rsidRPr="008D4DF0">
        <w:rPr>
          <w:lang w:val="en-US"/>
        </w:rPr>
        <w:t>is</w:t>
      </w:r>
      <w:r w:rsidRPr="008D4DF0">
        <w:rPr>
          <w:lang w:val="en-US"/>
        </w:rPr>
        <w:t xml:space="preserve"> provided</w:t>
      </w:r>
      <w:r w:rsidR="004A29CC" w:rsidRPr="008D4DF0">
        <w:rPr>
          <w:lang w:val="en-US"/>
        </w:rPr>
        <w:t xml:space="preserve"> in a tabular form</w:t>
      </w:r>
      <w:r w:rsidRPr="008D4DF0">
        <w:rPr>
          <w:lang w:val="en-US"/>
        </w:rPr>
        <w:t xml:space="preserve">. </w:t>
      </w:r>
    </w:p>
    <w:p w14:paraId="1E38037B" w14:textId="695E6B32" w:rsidR="00CF21F8" w:rsidRDefault="00CF21F8" w:rsidP="0052760B">
      <w:pPr>
        <w:spacing w:line="360" w:lineRule="auto"/>
        <w:rPr>
          <w:b/>
          <w:bCs/>
          <w:i/>
          <w:iCs/>
          <w:lang w:val="en-US"/>
        </w:rPr>
      </w:pPr>
      <w:r w:rsidRPr="00D621FA">
        <w:rPr>
          <w:noProof/>
          <w:lang w:val="en-US"/>
        </w:rPr>
        <w:lastRenderedPageBreak/>
        <w:drawing>
          <wp:inline distT="0" distB="0" distL="0" distR="0" wp14:anchorId="664351D3" wp14:editId="201E502B">
            <wp:extent cx="5913804" cy="4839335"/>
            <wp:effectExtent l="0" t="0" r="0" b="0"/>
            <wp:docPr id="1637566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04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99A6A" w14:textId="77777777" w:rsidR="00CF21F8" w:rsidRDefault="00CF21F8" w:rsidP="0052760B">
      <w:pPr>
        <w:spacing w:line="360" w:lineRule="auto"/>
        <w:rPr>
          <w:b/>
          <w:bCs/>
          <w:i/>
          <w:iCs/>
          <w:lang w:val="en-US"/>
        </w:rPr>
      </w:pPr>
    </w:p>
    <w:p w14:paraId="7526CD9F" w14:textId="52D84C7A" w:rsidR="0052760B" w:rsidRPr="008D4DF0" w:rsidRDefault="00CF21F8" w:rsidP="0052760B">
      <w:pPr>
        <w:spacing w:line="360" w:lineRule="auto"/>
        <w:rPr>
          <w:lang w:val="en-US"/>
        </w:rPr>
      </w:pPr>
      <w:r>
        <w:rPr>
          <w:b/>
          <w:bCs/>
          <w:i/>
          <w:iCs/>
          <w:lang w:val="en-US"/>
        </w:rPr>
        <w:t>S</w:t>
      </w:r>
      <w:r w:rsidR="0052760B" w:rsidRPr="00D621FA">
        <w:rPr>
          <w:b/>
          <w:bCs/>
          <w:i/>
          <w:iCs/>
          <w:lang w:val="en-US"/>
        </w:rPr>
        <w:t>upplementary Table 2</w:t>
      </w:r>
      <w:r w:rsidR="00E62876">
        <w:rPr>
          <w:b/>
          <w:bCs/>
          <w:i/>
          <w:iCs/>
          <w:lang w:val="en-US"/>
        </w:rPr>
        <w:t>.</w:t>
      </w:r>
      <w:r w:rsidR="0052760B" w:rsidRPr="00D621FA">
        <w:rPr>
          <w:lang w:val="en-US"/>
        </w:rPr>
        <w:t xml:space="preserve"> </w:t>
      </w:r>
      <w:r w:rsidR="0052760B" w:rsidRPr="008D4DF0">
        <w:rPr>
          <w:b/>
          <w:bCs/>
          <w:lang w:val="en-US"/>
        </w:rPr>
        <w:t xml:space="preserve">Mutational profiling (whole genome sequencing) of GBM </w:t>
      </w:r>
      <w:r w:rsidR="004A29CC" w:rsidRPr="008D4DF0">
        <w:rPr>
          <w:b/>
          <w:bCs/>
          <w:lang w:val="en-US"/>
        </w:rPr>
        <w:t>PDOs</w:t>
      </w:r>
      <w:r w:rsidR="0052760B" w:rsidRPr="008D4DF0">
        <w:rPr>
          <w:b/>
          <w:bCs/>
          <w:lang w:val="en-US"/>
        </w:rPr>
        <w:t xml:space="preserve"> derived from </w:t>
      </w:r>
      <w:r w:rsidR="004A29CC" w:rsidRPr="008D4DF0">
        <w:rPr>
          <w:b/>
          <w:bCs/>
          <w:lang w:val="en-US"/>
        </w:rPr>
        <w:t>patient 8, 9 and 11</w:t>
      </w:r>
      <w:r w:rsidR="0052760B" w:rsidRPr="008D4DF0">
        <w:rPr>
          <w:b/>
          <w:bCs/>
          <w:lang w:val="en-US"/>
        </w:rPr>
        <w:t>, with corresponding patient tumor tissue available for comparison</w:t>
      </w:r>
      <w:r w:rsidR="004A29CC" w:rsidRPr="008D4DF0">
        <w:rPr>
          <w:b/>
          <w:bCs/>
          <w:lang w:val="en-US"/>
        </w:rPr>
        <w:t xml:space="preserve"> in patient</w:t>
      </w:r>
      <w:r w:rsidR="008D4DF0">
        <w:rPr>
          <w:b/>
          <w:bCs/>
          <w:lang w:val="en-US"/>
        </w:rPr>
        <w:t xml:space="preserve"> </w:t>
      </w:r>
      <w:r w:rsidR="004A29CC" w:rsidRPr="008D4DF0">
        <w:rPr>
          <w:b/>
          <w:bCs/>
          <w:lang w:val="en-US"/>
        </w:rPr>
        <w:t>8 and 9</w:t>
      </w:r>
      <w:r w:rsidR="0052760B" w:rsidRPr="008D4DF0">
        <w:rPr>
          <w:b/>
          <w:bCs/>
          <w:lang w:val="en-US"/>
        </w:rPr>
        <w:t xml:space="preserve">. </w:t>
      </w:r>
      <w:r w:rsidR="004A29CC" w:rsidRPr="008D4DF0">
        <w:rPr>
          <w:lang w:val="en-US"/>
        </w:rPr>
        <w:t>Tumor DNA was profiled using the Oncomine Comprehensive Assay v3 (ThermoFisher) on an Ion Torrent sequencing platform</w:t>
      </w:r>
      <w:r w:rsidR="0052760B" w:rsidRPr="008D4DF0">
        <w:rPr>
          <w:lang w:val="en-US"/>
        </w:rPr>
        <w:t>. Abbreviations used: AKT1 (AKT serine/threonine kinase 1), EGFR (epidermal growth factor receptor), KIT (KIT proto-oncogene, receptor tyrosine kinase), MDM2 (MDM2 proto-oncogene), MDM4 (MDM4 regulator of p53), PDGFRA (platelet-derived growth factor receptor alpha), PIK3CA (phosphatidylinositol-4,5-bisphosphate 3-kinase catalytic subunit alpha), PIK3R1 (phosphoinositide-3-kinase regulatory subunit 1), PTEN (phosphatase and tensin homolog), TERT (telomerase reverse transcriptase), TP53 (tumor protein p53), CNV (copy number variation), SNV (single nucleotide variant), and VAF (variant allele frequency).</w:t>
      </w:r>
    </w:p>
    <w:p w14:paraId="6CAB50DC" w14:textId="77777777" w:rsidR="0052760B" w:rsidRPr="00D621FA" w:rsidRDefault="0052760B" w:rsidP="0052760B">
      <w:pPr>
        <w:spacing w:line="360" w:lineRule="auto"/>
        <w:rPr>
          <w:noProof/>
          <w:lang w:val="en-US"/>
        </w:rPr>
      </w:pPr>
    </w:p>
    <w:p w14:paraId="2585ABEF" w14:textId="26C0397E" w:rsidR="008C7966" w:rsidRDefault="00CF21F8" w:rsidP="0052760B">
      <w:pPr>
        <w:spacing w:line="36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29AC38" wp14:editId="13A0EFDB">
            <wp:extent cx="5463336" cy="8865842"/>
            <wp:effectExtent l="0" t="0" r="4445" b="0"/>
            <wp:docPr id="19104703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88" cy="887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B1D7" w14:textId="59EC1586" w:rsidR="008C7966" w:rsidRPr="008D4DF0" w:rsidRDefault="008C7966" w:rsidP="008C7966">
      <w:pPr>
        <w:spacing w:line="360" w:lineRule="auto"/>
        <w:rPr>
          <w:lang w:val="en-US"/>
        </w:rPr>
      </w:pPr>
      <w:r w:rsidRPr="00E62876">
        <w:rPr>
          <w:b/>
          <w:bCs/>
          <w:i/>
          <w:iCs/>
          <w:lang w:val="en-US"/>
        </w:rPr>
        <w:lastRenderedPageBreak/>
        <w:t xml:space="preserve">Supplementary Table 3 </w:t>
      </w:r>
      <w:r w:rsidR="00E62876" w:rsidRPr="008D4DF0">
        <w:rPr>
          <w:b/>
          <w:bCs/>
          <w:lang w:val="en-US"/>
        </w:rPr>
        <w:t xml:space="preserve">Calculation of GliaScore. </w:t>
      </w:r>
      <w:r w:rsidRPr="008D4DF0">
        <w:rPr>
          <w:lang w:val="en-US"/>
        </w:rPr>
        <w:t>In A) each time-independent GliaScore value for the three spheroid cell lines (ZH757, U87MG and U251MG) as well as for the PDOs (patient 6</w:t>
      </w:r>
      <w:r w:rsidR="00BC6B44" w:rsidRPr="008D4DF0">
        <w:rPr>
          <w:lang w:val="en-US"/>
        </w:rPr>
        <w:t xml:space="preserve"> </w:t>
      </w:r>
      <w:r w:rsidRPr="008D4DF0">
        <w:rPr>
          <w:lang w:val="en-US"/>
        </w:rPr>
        <w:t>-</w:t>
      </w:r>
      <w:r w:rsidR="00BC6B44" w:rsidRPr="008D4DF0">
        <w:rPr>
          <w:lang w:val="en-US"/>
        </w:rPr>
        <w:t xml:space="preserve"> </w:t>
      </w:r>
      <w:r w:rsidRPr="008D4DF0">
        <w:rPr>
          <w:lang w:val="en-US"/>
        </w:rPr>
        <w:t>9) are depicted for the three readouts size, metabolic activity and cell viability (calcein +). The overall normalized GliaScore value is shown in the last column with scores ranging from 0</w:t>
      </w:r>
      <w:r w:rsidR="008D4DF0">
        <w:rPr>
          <w:lang w:val="en-US"/>
        </w:rPr>
        <w:t xml:space="preserve"> (</w:t>
      </w:r>
      <w:r w:rsidRPr="008D4DF0">
        <w:rPr>
          <w:lang w:val="en-US"/>
        </w:rPr>
        <w:t>showing baseline values in the NT control</w:t>
      </w:r>
      <w:r w:rsidR="008D4DF0">
        <w:rPr>
          <w:lang w:val="en-US"/>
        </w:rPr>
        <w:t>)</w:t>
      </w:r>
      <w:r w:rsidRPr="008D4DF0">
        <w:rPr>
          <w:lang w:val="en-US"/>
        </w:rPr>
        <w:t xml:space="preserve"> to 1</w:t>
      </w:r>
      <w:r w:rsidR="008D4DF0">
        <w:rPr>
          <w:lang w:val="en-US"/>
        </w:rPr>
        <w:t xml:space="preserve"> (</w:t>
      </w:r>
      <w:r w:rsidRPr="008D4DF0">
        <w:rPr>
          <w:lang w:val="en-US"/>
        </w:rPr>
        <w:t>indicating maximal possible treatment response</w:t>
      </w:r>
      <w:r w:rsidR="008D4DF0">
        <w:rPr>
          <w:lang w:val="en-US"/>
        </w:rPr>
        <w:t>)</w:t>
      </w:r>
      <w:r w:rsidRPr="008D4DF0">
        <w:rPr>
          <w:lang w:val="en-US"/>
        </w:rPr>
        <w:t xml:space="preserve">. In B) </w:t>
      </w:r>
      <w:r w:rsidR="00BC6B44" w:rsidRPr="008D4DF0">
        <w:rPr>
          <w:lang w:val="en-US"/>
        </w:rPr>
        <w:t>RelapseScore</w:t>
      </w:r>
      <w:r w:rsidRPr="008D4DF0">
        <w:rPr>
          <w:lang w:val="en-US"/>
        </w:rPr>
        <w:t xml:space="preserve"> values are depicted for end of treatment (day 17) and relapse time point (d</w:t>
      </w:r>
      <w:r w:rsidR="00BC6B44" w:rsidRPr="008D4DF0">
        <w:rPr>
          <w:lang w:val="en-US"/>
        </w:rPr>
        <w:t xml:space="preserve">ay </w:t>
      </w:r>
      <w:r w:rsidRPr="008D4DF0">
        <w:rPr>
          <w:lang w:val="en-US"/>
        </w:rPr>
        <w:t xml:space="preserve">30), summarizing the </w:t>
      </w:r>
      <w:r w:rsidR="00BC6B44" w:rsidRPr="008D4DF0">
        <w:rPr>
          <w:lang w:val="en-US"/>
        </w:rPr>
        <w:t>RelapseScore</w:t>
      </w:r>
      <w:r w:rsidRPr="008D4DF0">
        <w:rPr>
          <w:lang w:val="en-US"/>
        </w:rPr>
        <w:t xml:space="preserve"> value of size, metabolic activity and cell viability (calcein +). In the last column, the difference between relapse evaluation and end of treatment </w:t>
      </w:r>
      <w:proofErr w:type="gramStart"/>
      <w:r w:rsidRPr="008D4DF0">
        <w:rPr>
          <w:lang w:val="en-US"/>
        </w:rPr>
        <w:t>depict</w:t>
      </w:r>
      <w:proofErr w:type="gramEnd"/>
      <w:r w:rsidRPr="008D4DF0">
        <w:rPr>
          <w:lang w:val="en-US"/>
        </w:rPr>
        <w:t xml:space="preserve"> the </w:t>
      </w:r>
      <w:r w:rsidR="00BC6B44" w:rsidRPr="008D4DF0">
        <w:rPr>
          <w:lang w:val="en-US"/>
        </w:rPr>
        <w:t>RelapseS</w:t>
      </w:r>
      <w:r w:rsidRPr="008D4DF0">
        <w:rPr>
          <w:lang w:val="en-US"/>
        </w:rPr>
        <w:t>core with positive values indicating a tumor regrowth and potential relapse, while a negative score show</w:t>
      </w:r>
      <w:r w:rsidR="008D4DF0">
        <w:rPr>
          <w:lang w:val="en-US"/>
        </w:rPr>
        <w:t>s</w:t>
      </w:r>
      <w:r w:rsidRPr="008D4DF0">
        <w:rPr>
          <w:lang w:val="en-US"/>
        </w:rPr>
        <w:t xml:space="preserve"> no increase in tumor size, metabolic activity nor viability in comparison to the end of treatment values.</w:t>
      </w:r>
    </w:p>
    <w:p w14:paraId="45BFB811" w14:textId="0CDA15DE" w:rsidR="0052760B" w:rsidRPr="00D621FA" w:rsidRDefault="0052760B" w:rsidP="0052760B">
      <w:pPr>
        <w:spacing w:line="360" w:lineRule="auto"/>
        <w:rPr>
          <w:lang w:val="en-US"/>
        </w:rPr>
      </w:pPr>
      <w:r w:rsidRPr="00D621FA">
        <w:rPr>
          <w:lang w:val="en-US"/>
        </w:rPr>
        <w:br/>
      </w:r>
    </w:p>
    <w:p w14:paraId="6D280AD6" w14:textId="77777777" w:rsidR="0052760B" w:rsidRPr="0052760B" w:rsidRDefault="0052760B" w:rsidP="00F12F19">
      <w:pPr>
        <w:rPr>
          <w:lang w:val="en-US"/>
        </w:rPr>
      </w:pPr>
    </w:p>
    <w:sectPr w:rsidR="0052760B" w:rsidRPr="0052760B" w:rsidSect="006047BB">
      <w:headerReference w:type="default" r:id="rId20"/>
      <w:footerReference w:type="default" r:id="rId21"/>
      <w:pgSz w:w="11906" w:h="16838" w:code="9"/>
      <w:pgMar w:top="567" w:right="964" w:bottom="1134" w:left="1304" w:header="567" w:footer="567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DD8AE" w14:textId="77777777" w:rsidR="00A87D08" w:rsidRDefault="00A87D08">
      <w:r>
        <w:separator/>
      </w:r>
    </w:p>
  </w:endnote>
  <w:endnote w:type="continuationSeparator" w:id="0">
    <w:p w14:paraId="23DE0889" w14:textId="77777777" w:rsidR="00A87D08" w:rsidRDefault="00A87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44182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666ECC" w14:textId="0BF18042" w:rsidR="006047BB" w:rsidRDefault="006047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E0D472" w14:textId="77777777" w:rsidR="006047BB" w:rsidRDefault="006047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21303" w14:textId="77777777" w:rsidR="00A87D08" w:rsidRDefault="00A87D08">
      <w:r>
        <w:separator/>
      </w:r>
    </w:p>
  </w:footnote>
  <w:footnote w:type="continuationSeparator" w:id="0">
    <w:p w14:paraId="186B9A9A" w14:textId="77777777" w:rsidR="00A87D08" w:rsidRDefault="00A87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03587" w14:textId="77777777" w:rsidR="00BA4EA3" w:rsidRPr="00D37AE9" w:rsidRDefault="003C6FB2" w:rsidP="00026289">
    <w:pPr>
      <w:pStyle w:val="Header"/>
      <w:spacing w:after="1320"/>
      <w:rPr>
        <w:rFonts w:cs="Segoe UI"/>
      </w:rPr>
    </w:pPr>
    <w:r>
      <w:rPr>
        <w:rFonts w:cs="Segoe UI"/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2C4AF0F" wp14:editId="7E7CD2CC">
          <wp:simplePos x="0" y="0"/>
          <wp:positionH relativeFrom="column">
            <wp:posOffset>4538743</wp:posOffset>
          </wp:positionH>
          <wp:positionV relativeFrom="paragraph">
            <wp:posOffset>259080</wp:posOffset>
          </wp:positionV>
          <wp:extent cx="1629583" cy="437455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583" cy="437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7408A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C27A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985A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5E1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C635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A60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D817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CC9A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0292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0C5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432B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55B15D5"/>
    <w:multiLevelType w:val="multilevel"/>
    <w:tmpl w:val="3B50EC3A"/>
    <w:lvl w:ilvl="0">
      <w:start w:val="1"/>
      <w:numFmt w:val="bullet"/>
      <w:lvlText w:val="●"/>
      <w:lvlJc w:val="left"/>
      <w:pPr>
        <w:tabs>
          <w:tab w:val="num" w:pos="851"/>
        </w:tabs>
        <w:ind w:left="340" w:firstLine="17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340" w:firstLine="511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02B7661"/>
    <w:multiLevelType w:val="hybridMultilevel"/>
    <w:tmpl w:val="81BEC7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A46E2"/>
    <w:multiLevelType w:val="hybridMultilevel"/>
    <w:tmpl w:val="405C5B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A6DB1"/>
    <w:multiLevelType w:val="multilevel"/>
    <w:tmpl w:val="F1B2DDAA"/>
    <w:lvl w:ilvl="0">
      <w:start w:val="1"/>
      <w:numFmt w:val="bullet"/>
      <w:pStyle w:val="Aufzhlung"/>
      <w:lvlText w:val="●"/>
      <w:lvlJc w:val="left"/>
      <w:pPr>
        <w:tabs>
          <w:tab w:val="num" w:pos="341"/>
        </w:tabs>
        <w:ind w:left="34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681"/>
        </w:tabs>
        <w:ind w:left="68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21"/>
        </w:tabs>
        <w:ind w:left="1021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▫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</w:abstractNum>
  <w:abstractNum w:abstractNumId="15" w15:restartNumberingAfterBreak="0">
    <w:nsid w:val="421D14DE"/>
    <w:multiLevelType w:val="multilevel"/>
    <w:tmpl w:val="4AE0E988"/>
    <w:lvl w:ilvl="0">
      <w:start w:val="1"/>
      <w:numFmt w:val="decimal"/>
      <w:lvlText w:val="%1"/>
      <w:lvlJc w:val="left"/>
      <w:pPr>
        <w:tabs>
          <w:tab w:val="num" w:pos="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2AE5D51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4A237231"/>
    <w:multiLevelType w:val="multilevel"/>
    <w:tmpl w:val="7DDE131E"/>
    <w:lvl w:ilvl="0">
      <w:start w:val="1"/>
      <w:numFmt w:val="bullet"/>
      <w:lvlText w:val="●"/>
      <w:lvlJc w:val="left"/>
      <w:pPr>
        <w:tabs>
          <w:tab w:val="num" w:pos="851"/>
        </w:tabs>
        <w:ind w:left="85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119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D1F5562"/>
    <w:multiLevelType w:val="multilevel"/>
    <w:tmpl w:val="390E1D86"/>
    <w:lvl w:ilvl="0">
      <w:start w:val="1"/>
      <w:numFmt w:val="bullet"/>
      <w:lvlText w:val="●"/>
      <w:lvlJc w:val="left"/>
      <w:pPr>
        <w:tabs>
          <w:tab w:val="num" w:pos="851"/>
        </w:tabs>
        <w:ind w:left="85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119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531"/>
        </w:tabs>
        <w:ind w:left="1531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550A38C2"/>
    <w:multiLevelType w:val="multilevel"/>
    <w:tmpl w:val="611619A6"/>
    <w:lvl w:ilvl="0">
      <w:start w:val="1"/>
      <w:numFmt w:val="bullet"/>
      <w:lvlText w:val=""/>
      <w:lvlJc w:val="left"/>
      <w:pPr>
        <w:tabs>
          <w:tab w:val="num" w:pos="919"/>
        </w:tabs>
        <w:ind w:left="91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39"/>
        </w:tabs>
        <w:ind w:left="16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59"/>
        </w:tabs>
        <w:ind w:left="235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79"/>
        </w:tabs>
        <w:ind w:left="307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99"/>
        </w:tabs>
        <w:ind w:left="37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19"/>
        </w:tabs>
        <w:ind w:left="451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39"/>
        </w:tabs>
        <w:ind w:left="523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59"/>
        </w:tabs>
        <w:ind w:left="59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79"/>
        </w:tabs>
        <w:ind w:left="6679" w:hanging="360"/>
      </w:pPr>
      <w:rPr>
        <w:rFonts w:ascii="Wingdings" w:hAnsi="Wingdings" w:hint="default"/>
      </w:rPr>
    </w:lvl>
  </w:abstractNum>
  <w:abstractNum w:abstractNumId="20" w15:restartNumberingAfterBreak="0">
    <w:nsid w:val="5D566A7F"/>
    <w:multiLevelType w:val="hybridMultilevel"/>
    <w:tmpl w:val="97D44F48"/>
    <w:lvl w:ilvl="0" w:tplc="3CD87DE0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1D6322"/>
    <w:multiLevelType w:val="multilevel"/>
    <w:tmpl w:val="7DDE131E"/>
    <w:lvl w:ilvl="0">
      <w:start w:val="1"/>
      <w:numFmt w:val="bullet"/>
      <w:lvlText w:val="●"/>
      <w:lvlJc w:val="left"/>
      <w:pPr>
        <w:tabs>
          <w:tab w:val="num" w:pos="851"/>
        </w:tabs>
        <w:ind w:left="85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119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6FE168BE"/>
    <w:multiLevelType w:val="multilevel"/>
    <w:tmpl w:val="04070023"/>
    <w:styleLink w:val="ArticleSection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793E07DF"/>
    <w:multiLevelType w:val="multilevel"/>
    <w:tmpl w:val="BE3C9B14"/>
    <w:lvl w:ilvl="0">
      <w:start w:val="1"/>
      <w:numFmt w:val="bullet"/>
      <w:lvlText w:val=""/>
      <w:lvlJc w:val="left"/>
      <w:pPr>
        <w:tabs>
          <w:tab w:val="num" w:pos="851"/>
        </w:tabs>
        <w:ind w:left="340" w:firstLine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C121BDC"/>
    <w:multiLevelType w:val="multilevel"/>
    <w:tmpl w:val="03C86908"/>
    <w:lvl w:ilvl="0">
      <w:start w:val="1"/>
      <w:numFmt w:val="bullet"/>
      <w:lvlText w:val=""/>
      <w:lvlJc w:val="left"/>
      <w:pPr>
        <w:tabs>
          <w:tab w:val="num" w:pos="919"/>
        </w:tabs>
        <w:ind w:left="91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39"/>
        </w:tabs>
        <w:ind w:left="16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59"/>
        </w:tabs>
        <w:ind w:left="235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79"/>
        </w:tabs>
        <w:ind w:left="307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99"/>
        </w:tabs>
        <w:ind w:left="37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19"/>
        </w:tabs>
        <w:ind w:left="451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39"/>
        </w:tabs>
        <w:ind w:left="523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59"/>
        </w:tabs>
        <w:ind w:left="59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79"/>
        </w:tabs>
        <w:ind w:left="6679" w:hanging="360"/>
      </w:pPr>
      <w:rPr>
        <w:rFonts w:ascii="Wingdings" w:hAnsi="Wingdings" w:hint="default"/>
      </w:rPr>
    </w:lvl>
  </w:abstractNum>
  <w:num w:numId="1" w16cid:durableId="1136797332">
    <w:abstractNumId w:val="16"/>
  </w:num>
  <w:num w:numId="2" w16cid:durableId="1845125404">
    <w:abstractNumId w:val="15"/>
  </w:num>
  <w:num w:numId="3" w16cid:durableId="1157575141">
    <w:abstractNumId w:val="9"/>
  </w:num>
  <w:num w:numId="4" w16cid:durableId="1655530411">
    <w:abstractNumId w:val="9"/>
  </w:num>
  <w:num w:numId="5" w16cid:durableId="1260944493">
    <w:abstractNumId w:val="15"/>
  </w:num>
  <w:num w:numId="6" w16cid:durableId="1799446350">
    <w:abstractNumId w:val="15"/>
  </w:num>
  <w:num w:numId="7" w16cid:durableId="128517715">
    <w:abstractNumId w:val="15"/>
  </w:num>
  <w:num w:numId="8" w16cid:durableId="746341748">
    <w:abstractNumId w:val="15"/>
  </w:num>
  <w:num w:numId="9" w16cid:durableId="1097793622">
    <w:abstractNumId w:val="13"/>
  </w:num>
  <w:num w:numId="10" w16cid:durableId="1729718682">
    <w:abstractNumId w:val="12"/>
  </w:num>
  <w:num w:numId="11" w16cid:durableId="1843619117">
    <w:abstractNumId w:val="14"/>
  </w:num>
  <w:num w:numId="12" w16cid:durableId="214436029">
    <w:abstractNumId w:val="24"/>
  </w:num>
  <w:num w:numId="13" w16cid:durableId="644511690">
    <w:abstractNumId w:val="23"/>
  </w:num>
  <w:num w:numId="14" w16cid:durableId="1032804830">
    <w:abstractNumId w:val="19"/>
  </w:num>
  <w:num w:numId="15" w16cid:durableId="1948927576">
    <w:abstractNumId w:val="11"/>
  </w:num>
  <w:num w:numId="16" w16cid:durableId="1692729857">
    <w:abstractNumId w:val="21"/>
  </w:num>
  <w:num w:numId="17" w16cid:durableId="72438876">
    <w:abstractNumId w:val="17"/>
  </w:num>
  <w:num w:numId="18" w16cid:durableId="1190337179">
    <w:abstractNumId w:val="18"/>
  </w:num>
  <w:num w:numId="19" w16cid:durableId="679819528">
    <w:abstractNumId w:val="7"/>
  </w:num>
  <w:num w:numId="20" w16cid:durableId="79257595">
    <w:abstractNumId w:val="6"/>
  </w:num>
  <w:num w:numId="21" w16cid:durableId="531261100">
    <w:abstractNumId w:val="5"/>
  </w:num>
  <w:num w:numId="22" w16cid:durableId="1691837322">
    <w:abstractNumId w:val="4"/>
  </w:num>
  <w:num w:numId="23" w16cid:durableId="455874378">
    <w:abstractNumId w:val="8"/>
  </w:num>
  <w:num w:numId="24" w16cid:durableId="2062559753">
    <w:abstractNumId w:val="3"/>
  </w:num>
  <w:num w:numId="25" w16cid:durableId="585462435">
    <w:abstractNumId w:val="2"/>
  </w:num>
  <w:num w:numId="26" w16cid:durableId="883106271">
    <w:abstractNumId w:val="1"/>
  </w:num>
  <w:num w:numId="27" w16cid:durableId="1598949060">
    <w:abstractNumId w:val="0"/>
  </w:num>
  <w:num w:numId="28" w16cid:durableId="1360548412">
    <w:abstractNumId w:val="10"/>
  </w:num>
  <w:num w:numId="29" w16cid:durableId="595525880">
    <w:abstractNumId w:val="22"/>
  </w:num>
  <w:num w:numId="30" w16cid:durableId="1067455724">
    <w:abstractNumId w:val="20"/>
  </w:num>
  <w:num w:numId="31" w16cid:durableId="4338691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de-CH" w:vendorID="64" w:dllVersion="6" w:nlCheck="1" w:checkStyle="1"/>
  <w:activeWritingStyle w:appName="MSWord" w:lang="en-US" w:vendorID="64" w:dllVersion="0" w:nlCheck="1" w:checkStyle="0"/>
  <w:activeWritingStyle w:appName="MSWord" w:lang="de-CH" w:vendorID="64" w:dllVersion="0" w:nlCheck="1" w:checkStyle="0"/>
  <w:proofState w:grammar="clean"/>
  <w:stylePaneFormatFilter w:val="2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0" w:top3HeadingStyles="1" w:visibleStyles="0" w:alternateStyleNames="0"/>
  <w:defaultTabStop w:val="709"/>
  <w:autoHyphenation/>
  <w:hyphenationZone w:val="28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60B"/>
    <w:rsid w:val="00004E5E"/>
    <w:rsid w:val="000173CD"/>
    <w:rsid w:val="000209B5"/>
    <w:rsid w:val="00026289"/>
    <w:rsid w:val="000427BE"/>
    <w:rsid w:val="000776B5"/>
    <w:rsid w:val="000E6589"/>
    <w:rsid w:val="000F3112"/>
    <w:rsid w:val="00153B5F"/>
    <w:rsid w:val="001570DB"/>
    <w:rsid w:val="00177EF6"/>
    <w:rsid w:val="0020527A"/>
    <w:rsid w:val="0022125E"/>
    <w:rsid w:val="00223472"/>
    <w:rsid w:val="00240CC0"/>
    <w:rsid w:val="00240E6E"/>
    <w:rsid w:val="00250DEB"/>
    <w:rsid w:val="00261A22"/>
    <w:rsid w:val="002650D7"/>
    <w:rsid w:val="00281CBB"/>
    <w:rsid w:val="002B2425"/>
    <w:rsid w:val="002C2731"/>
    <w:rsid w:val="00330FB1"/>
    <w:rsid w:val="003353DB"/>
    <w:rsid w:val="003514BA"/>
    <w:rsid w:val="003766DF"/>
    <w:rsid w:val="0038074E"/>
    <w:rsid w:val="00384D19"/>
    <w:rsid w:val="003962A2"/>
    <w:rsid w:val="003C6FB2"/>
    <w:rsid w:val="00441933"/>
    <w:rsid w:val="004A0520"/>
    <w:rsid w:val="004A29CC"/>
    <w:rsid w:val="004B6445"/>
    <w:rsid w:val="004E4836"/>
    <w:rsid w:val="004F64DE"/>
    <w:rsid w:val="0052760B"/>
    <w:rsid w:val="0054464E"/>
    <w:rsid w:val="00555D8F"/>
    <w:rsid w:val="00561CAA"/>
    <w:rsid w:val="00583831"/>
    <w:rsid w:val="005851BF"/>
    <w:rsid w:val="00590EE2"/>
    <w:rsid w:val="00594CBD"/>
    <w:rsid w:val="00595CBD"/>
    <w:rsid w:val="005C6233"/>
    <w:rsid w:val="005C68B9"/>
    <w:rsid w:val="005D73CE"/>
    <w:rsid w:val="005E4AE7"/>
    <w:rsid w:val="005F295D"/>
    <w:rsid w:val="00600D78"/>
    <w:rsid w:val="006047BB"/>
    <w:rsid w:val="00616112"/>
    <w:rsid w:val="006169D4"/>
    <w:rsid w:val="0063200F"/>
    <w:rsid w:val="006C15CA"/>
    <w:rsid w:val="006E4F97"/>
    <w:rsid w:val="006F04BB"/>
    <w:rsid w:val="007139B1"/>
    <w:rsid w:val="00715FCB"/>
    <w:rsid w:val="00720B1B"/>
    <w:rsid w:val="00726AEA"/>
    <w:rsid w:val="007A7A8C"/>
    <w:rsid w:val="007B48DD"/>
    <w:rsid w:val="008C080D"/>
    <w:rsid w:val="008C1FFE"/>
    <w:rsid w:val="008C5E35"/>
    <w:rsid w:val="008C7966"/>
    <w:rsid w:val="008D4DF0"/>
    <w:rsid w:val="00931D7B"/>
    <w:rsid w:val="0097100A"/>
    <w:rsid w:val="00986B2F"/>
    <w:rsid w:val="009C7E9A"/>
    <w:rsid w:val="009E74FC"/>
    <w:rsid w:val="00A37A88"/>
    <w:rsid w:val="00A4066D"/>
    <w:rsid w:val="00A42301"/>
    <w:rsid w:val="00A5447F"/>
    <w:rsid w:val="00A73136"/>
    <w:rsid w:val="00A87D08"/>
    <w:rsid w:val="00B37A49"/>
    <w:rsid w:val="00B67766"/>
    <w:rsid w:val="00BA4EA3"/>
    <w:rsid w:val="00BB0341"/>
    <w:rsid w:val="00BB5CAB"/>
    <w:rsid w:val="00BC6B44"/>
    <w:rsid w:val="00C02C42"/>
    <w:rsid w:val="00C0567D"/>
    <w:rsid w:val="00C1698E"/>
    <w:rsid w:val="00C223EB"/>
    <w:rsid w:val="00C407C3"/>
    <w:rsid w:val="00C5596C"/>
    <w:rsid w:val="00C73D6D"/>
    <w:rsid w:val="00C7567E"/>
    <w:rsid w:val="00C94DB9"/>
    <w:rsid w:val="00CE27AA"/>
    <w:rsid w:val="00CF21F8"/>
    <w:rsid w:val="00CF693E"/>
    <w:rsid w:val="00D37AE9"/>
    <w:rsid w:val="00DB4831"/>
    <w:rsid w:val="00E10891"/>
    <w:rsid w:val="00E45AB4"/>
    <w:rsid w:val="00E561AE"/>
    <w:rsid w:val="00E62876"/>
    <w:rsid w:val="00E63003"/>
    <w:rsid w:val="00EC41F2"/>
    <w:rsid w:val="00F12F19"/>
    <w:rsid w:val="00F4234A"/>
    <w:rsid w:val="00F64EE9"/>
    <w:rsid w:val="00F772C2"/>
    <w:rsid w:val="00FA3D08"/>
    <w:rsid w:val="00FC6B3D"/>
    <w:rsid w:val="00FE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83F0BA"/>
  <w15:chartTrackingRefBased/>
  <w15:docId w15:val="{75709931-A638-411F-B903-B4E575EA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kern w:val="2"/>
        <w:lang w:val="de-DE" w:eastAsia="de-DE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4" w:qFormat="1"/>
    <w:lsdException w:name="heading 2" w:uiPriority="4" w:qFormat="1"/>
    <w:lsdException w:name="heading 3" w:uiPriority="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760B"/>
    <w:pPr>
      <w:spacing w:after="160" w:line="252" w:lineRule="auto"/>
      <w:jc w:val="both"/>
    </w:pPr>
    <w:rPr>
      <w:rFonts w:asciiTheme="minorHAnsi" w:eastAsiaTheme="minorEastAsia" w:hAnsiTheme="minorHAnsi" w:cstheme="minorBid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BodyText"/>
    <w:link w:val="Heading1Char"/>
    <w:uiPriority w:val="4"/>
    <w:qFormat/>
    <w:rsid w:val="005851BF"/>
    <w:pPr>
      <w:keepNext/>
      <w:tabs>
        <w:tab w:val="left" w:pos="851"/>
      </w:tabs>
      <w:spacing w:before="240" w:after="240" w:line="288" w:lineRule="auto"/>
      <w:jc w:val="left"/>
      <w:outlineLvl w:val="0"/>
    </w:pPr>
    <w:rPr>
      <w:rFonts w:ascii="Segoe UI" w:eastAsia="Times New Roman" w:hAnsi="Segoe UI" w:cs="Arial"/>
      <w:b/>
      <w:bCs/>
      <w:kern w:val="28"/>
      <w:sz w:val="28"/>
      <w:szCs w:val="28"/>
      <w:lang w:val="en-US"/>
      <w14:ligatures w14:val="standardContextual"/>
    </w:rPr>
  </w:style>
  <w:style w:type="paragraph" w:styleId="Heading2">
    <w:name w:val="heading 2"/>
    <w:basedOn w:val="Heading1"/>
    <w:next w:val="BodyText"/>
    <w:uiPriority w:val="4"/>
    <w:qFormat/>
    <w:rsid w:val="005851BF"/>
    <w:pPr>
      <w:numPr>
        <w:ilvl w:val="1"/>
      </w:numPr>
      <w:ind w:left="851" w:hanging="851"/>
      <w:outlineLvl w:val="1"/>
    </w:pPr>
    <w:rPr>
      <w:bCs w:val="0"/>
      <w:iCs/>
      <w:kern w:val="24"/>
      <w:sz w:val="24"/>
      <w:szCs w:val="24"/>
    </w:rPr>
  </w:style>
  <w:style w:type="paragraph" w:styleId="Heading3">
    <w:name w:val="heading 3"/>
    <w:basedOn w:val="Heading1"/>
    <w:next w:val="BodyText"/>
    <w:link w:val="Heading3Char"/>
    <w:uiPriority w:val="4"/>
    <w:qFormat/>
    <w:rsid w:val="005851BF"/>
    <w:pPr>
      <w:numPr>
        <w:ilvl w:val="2"/>
      </w:numPr>
      <w:ind w:left="851" w:hanging="851"/>
      <w:outlineLvl w:val="2"/>
    </w:pPr>
    <w:rPr>
      <w:bCs w:val="0"/>
      <w:kern w:val="22"/>
      <w:sz w:val="22"/>
      <w:szCs w:val="22"/>
    </w:rPr>
  </w:style>
  <w:style w:type="paragraph" w:styleId="Heading4">
    <w:name w:val="heading 4"/>
    <w:basedOn w:val="Heading1"/>
    <w:next w:val="Normal"/>
    <w:rsid w:val="00261A22"/>
    <w:pPr>
      <w:numPr>
        <w:ilvl w:val="3"/>
      </w:numPr>
      <w:ind w:left="851" w:hanging="851"/>
      <w:outlineLvl w:val="3"/>
    </w:pPr>
    <w:rPr>
      <w:bCs w:val="0"/>
      <w:kern w:val="20"/>
      <w:sz w:val="20"/>
      <w:szCs w:val="20"/>
    </w:rPr>
  </w:style>
  <w:style w:type="paragraph" w:styleId="Heading5">
    <w:name w:val="heading 5"/>
    <w:basedOn w:val="Normal"/>
    <w:next w:val="Normal"/>
    <w:rsid w:val="00E63003"/>
    <w:pPr>
      <w:numPr>
        <w:ilvl w:val="4"/>
        <w:numId w:val="2"/>
      </w:numPr>
      <w:spacing w:before="240" w:after="60" w:line="312" w:lineRule="auto"/>
      <w:jc w:val="left"/>
      <w:outlineLvl w:val="4"/>
    </w:pPr>
    <w:rPr>
      <w:rFonts w:ascii="Segoe UI" w:eastAsia="Times New Roman" w:hAnsi="Segoe UI" w:cs="Times New Roman"/>
      <w:b/>
      <w:bCs/>
      <w:i/>
      <w:iCs/>
      <w:kern w:val="2"/>
      <w:sz w:val="26"/>
      <w:szCs w:val="26"/>
      <w:lang w:val="en-US"/>
      <w14:ligatures w14:val="standardContextual"/>
    </w:rPr>
  </w:style>
  <w:style w:type="paragraph" w:styleId="Heading6">
    <w:name w:val="heading 6"/>
    <w:basedOn w:val="Normal"/>
    <w:next w:val="Normal"/>
    <w:rsid w:val="00E63003"/>
    <w:pPr>
      <w:numPr>
        <w:ilvl w:val="5"/>
        <w:numId w:val="2"/>
      </w:numPr>
      <w:spacing w:before="240" w:after="60" w:line="312" w:lineRule="auto"/>
      <w:jc w:val="left"/>
      <w:outlineLvl w:val="5"/>
    </w:pPr>
    <w:rPr>
      <w:rFonts w:ascii="Times New Roman" w:eastAsia="Times New Roman" w:hAnsi="Times New Roman" w:cs="Times New Roman"/>
      <w:b/>
      <w:bCs/>
      <w:kern w:val="2"/>
      <w:sz w:val="20"/>
      <w:lang w:val="en-US"/>
      <w14:ligatures w14:val="standardContextual"/>
    </w:rPr>
  </w:style>
  <w:style w:type="paragraph" w:styleId="Heading7">
    <w:name w:val="heading 7"/>
    <w:basedOn w:val="Normal"/>
    <w:next w:val="Normal"/>
    <w:rsid w:val="00E63003"/>
    <w:pPr>
      <w:numPr>
        <w:ilvl w:val="6"/>
        <w:numId w:val="2"/>
      </w:numPr>
      <w:spacing w:before="240" w:after="60" w:line="312" w:lineRule="auto"/>
      <w:jc w:val="left"/>
      <w:outlineLvl w:val="6"/>
    </w:pPr>
    <w:rPr>
      <w:rFonts w:ascii="Times New Roman" w:eastAsia="Times New Roman" w:hAnsi="Times New Roman" w:cs="Times New Roman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rsid w:val="00E63003"/>
    <w:pPr>
      <w:numPr>
        <w:ilvl w:val="7"/>
        <w:numId w:val="2"/>
      </w:numPr>
      <w:spacing w:before="240" w:after="60" w:line="312" w:lineRule="auto"/>
      <w:jc w:val="left"/>
      <w:outlineLvl w:val="7"/>
    </w:pPr>
    <w:rPr>
      <w:rFonts w:ascii="Times New Roman" w:eastAsia="Times New Roman" w:hAnsi="Times New Roman" w:cs="Times New Roman"/>
      <w:i/>
      <w:iCs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rsid w:val="00E63003"/>
    <w:pPr>
      <w:numPr>
        <w:ilvl w:val="8"/>
        <w:numId w:val="2"/>
      </w:numPr>
      <w:spacing w:before="240" w:after="60" w:line="312" w:lineRule="auto"/>
      <w:jc w:val="left"/>
      <w:outlineLvl w:val="8"/>
    </w:pPr>
    <w:rPr>
      <w:rFonts w:ascii="Segoe UI" w:eastAsia="Times New Roman" w:hAnsi="Segoe UI" w:cs="Arial"/>
      <w:kern w:val="2"/>
      <w:sz w:val="20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1A22"/>
    <w:pPr>
      <w:tabs>
        <w:tab w:val="center" w:pos="4820"/>
        <w:tab w:val="right" w:pos="9639"/>
      </w:tabs>
      <w:spacing w:before="60" w:after="0" w:line="240" w:lineRule="auto"/>
      <w:jc w:val="left"/>
    </w:pPr>
    <w:rPr>
      <w:rFonts w:ascii="Segoe UI" w:eastAsia="Times New Roman" w:hAnsi="Segoe UI" w:cs="Times New Roman"/>
      <w:kern w:val="2"/>
      <w:sz w:val="16"/>
      <w:szCs w:val="20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rsid w:val="00261A22"/>
    <w:pPr>
      <w:tabs>
        <w:tab w:val="center" w:pos="4820"/>
        <w:tab w:val="right" w:pos="9639"/>
      </w:tabs>
      <w:spacing w:before="60" w:after="0" w:line="240" w:lineRule="auto"/>
      <w:jc w:val="left"/>
    </w:pPr>
    <w:rPr>
      <w:rFonts w:ascii="Segoe UI" w:eastAsia="Times New Roman" w:hAnsi="Segoe UI" w:cs="Times New Roman"/>
      <w:kern w:val="2"/>
      <w:sz w:val="16"/>
      <w:szCs w:val="20"/>
      <w:lang w:val="en-US"/>
      <w14:ligatures w14:val="standardContextual"/>
    </w:rPr>
  </w:style>
  <w:style w:type="character" w:styleId="PageNumber">
    <w:name w:val="page number"/>
    <w:basedOn w:val="DefaultParagraphFont"/>
    <w:semiHidden/>
    <w:rsid w:val="000776B5"/>
  </w:style>
  <w:style w:type="numbering" w:styleId="111111">
    <w:name w:val="Outline List 2"/>
    <w:basedOn w:val="NoList"/>
    <w:semiHidden/>
    <w:rsid w:val="00E63003"/>
    <w:pPr>
      <w:numPr>
        <w:numId w:val="1"/>
      </w:numPr>
    </w:pPr>
  </w:style>
  <w:style w:type="paragraph" w:customStyle="1" w:styleId="Aufzhlung">
    <w:name w:val="Aufzählung"/>
    <w:basedOn w:val="Normal"/>
    <w:uiPriority w:val="2"/>
    <w:qFormat/>
    <w:rsid w:val="005851BF"/>
    <w:pPr>
      <w:numPr>
        <w:numId w:val="31"/>
      </w:numPr>
      <w:spacing w:before="60" w:after="60" w:line="312" w:lineRule="auto"/>
      <w:contextualSpacing/>
      <w:jc w:val="left"/>
    </w:pPr>
    <w:rPr>
      <w:rFonts w:ascii="Segoe UI" w:eastAsia="Times New Roman" w:hAnsi="Segoe UI" w:cs="Times New Roman"/>
      <w:kern w:val="2"/>
      <w:sz w:val="20"/>
      <w:szCs w:val="20"/>
      <w:lang w:val="en-US"/>
      <w14:ligatures w14:val="standardContextual"/>
    </w:rPr>
  </w:style>
  <w:style w:type="paragraph" w:styleId="Caption">
    <w:name w:val="caption"/>
    <w:basedOn w:val="BodyText"/>
    <w:next w:val="BodyText"/>
    <w:rsid w:val="000F3112"/>
    <w:pPr>
      <w:spacing w:before="120"/>
    </w:pPr>
    <w:rPr>
      <w:b/>
      <w:bCs/>
      <w:sz w:val="22"/>
    </w:rPr>
  </w:style>
  <w:style w:type="paragraph" w:styleId="BodyText">
    <w:name w:val="Body Text"/>
    <w:basedOn w:val="Normal"/>
    <w:rsid w:val="00261A22"/>
    <w:pPr>
      <w:spacing w:before="60" w:after="60" w:line="312" w:lineRule="auto"/>
      <w:jc w:val="left"/>
    </w:pPr>
    <w:rPr>
      <w:rFonts w:ascii="Segoe UI" w:eastAsia="Times New Roman" w:hAnsi="Segoe UI" w:cs="Times New Roman"/>
      <w:kern w:val="2"/>
      <w:sz w:val="20"/>
      <w:szCs w:val="20"/>
      <w:lang w:val="en-US"/>
      <w14:ligatures w14:val="standardContextual"/>
    </w:rPr>
  </w:style>
  <w:style w:type="table" w:customStyle="1" w:styleId="NormaleTabelleEmpa">
    <w:name w:val="Normale Tabelle Empa"/>
    <w:basedOn w:val="TableNormal"/>
    <w:rsid w:val="00261A22"/>
    <w:rPr>
      <w:rFonts w:ascii="Arial" w:hAnsi="Arial"/>
    </w:rPr>
    <w:tblPr/>
  </w:style>
  <w:style w:type="table" w:styleId="TableGrid">
    <w:name w:val="Table Grid"/>
    <w:basedOn w:val="NormaleTabelleEmpa"/>
    <w:rsid w:val="000F3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BodyText"/>
    <w:link w:val="TitleChar"/>
    <w:uiPriority w:val="5"/>
    <w:qFormat/>
    <w:rsid w:val="005851BF"/>
    <w:pPr>
      <w:spacing w:before="240" w:after="240" w:line="288" w:lineRule="auto"/>
      <w:jc w:val="left"/>
      <w:outlineLvl w:val="0"/>
    </w:pPr>
    <w:rPr>
      <w:rFonts w:ascii="Segoe UI" w:eastAsia="Times New Roman" w:hAnsi="Segoe UI" w:cs="Arial"/>
      <w:b/>
      <w:bCs/>
      <w:kern w:val="32"/>
      <w:sz w:val="32"/>
      <w:szCs w:val="3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4"/>
    <w:rsid w:val="005851BF"/>
    <w:rPr>
      <w:rFonts w:cs="Arial"/>
      <w:b/>
      <w:bCs/>
      <w:kern w:val="28"/>
      <w:sz w:val="28"/>
      <w:szCs w:val="28"/>
    </w:rPr>
  </w:style>
  <w:style w:type="character" w:customStyle="1" w:styleId="Heading3Char">
    <w:name w:val="Heading 3 Char"/>
    <w:basedOn w:val="Heading1Char"/>
    <w:link w:val="Heading3"/>
    <w:uiPriority w:val="4"/>
    <w:rsid w:val="005851BF"/>
    <w:rPr>
      <w:rFonts w:cs="Arial"/>
      <w:b/>
      <w:bCs w:val="0"/>
      <w:kern w:val="22"/>
      <w:sz w:val="22"/>
      <w:szCs w:val="22"/>
    </w:rPr>
  </w:style>
  <w:style w:type="paragraph" w:styleId="TableofFigures">
    <w:name w:val="table of figures"/>
    <w:basedOn w:val="Normal"/>
    <w:next w:val="Normal"/>
    <w:semiHidden/>
    <w:rsid w:val="00261A22"/>
    <w:pPr>
      <w:spacing w:before="60" w:after="60" w:line="312" w:lineRule="auto"/>
      <w:jc w:val="left"/>
    </w:pPr>
    <w:rPr>
      <w:rFonts w:ascii="Segoe UI" w:eastAsia="Times New Roman" w:hAnsi="Segoe UI" w:cs="Times New Roman"/>
      <w:kern w:val="2"/>
      <w:sz w:val="20"/>
      <w:szCs w:val="20"/>
      <w:lang w:val="en-US"/>
      <w14:ligatures w14:val="standardContextual"/>
    </w:rPr>
  </w:style>
  <w:style w:type="paragraph" w:styleId="TOC1">
    <w:name w:val="toc 1"/>
    <w:basedOn w:val="Normal"/>
    <w:next w:val="Normal"/>
    <w:autoRedefine/>
    <w:rsid w:val="00E561AE"/>
    <w:pPr>
      <w:tabs>
        <w:tab w:val="left" w:pos="720"/>
        <w:tab w:val="right" w:leader="dot" w:pos="9628"/>
      </w:tabs>
      <w:spacing w:before="60" w:after="60" w:line="312" w:lineRule="auto"/>
      <w:jc w:val="left"/>
    </w:pPr>
    <w:rPr>
      <w:rFonts w:ascii="Segoe UI" w:eastAsia="Times New Roman" w:hAnsi="Segoe UI" w:cs="Times New Roman"/>
      <w:b/>
      <w:noProof/>
      <w:kern w:val="2"/>
      <w:sz w:val="20"/>
      <w:szCs w:val="20"/>
      <w:lang w:val="en-US"/>
      <w14:ligatures w14:val="standardContextual"/>
    </w:rPr>
  </w:style>
  <w:style w:type="paragraph" w:styleId="TOC2">
    <w:name w:val="toc 2"/>
    <w:basedOn w:val="Normal"/>
    <w:next w:val="Normal"/>
    <w:autoRedefine/>
    <w:rsid w:val="00E561AE"/>
    <w:pPr>
      <w:tabs>
        <w:tab w:val="left" w:pos="720"/>
        <w:tab w:val="right" w:leader="dot" w:pos="9628"/>
      </w:tabs>
      <w:spacing w:before="60" w:after="60" w:line="312" w:lineRule="auto"/>
      <w:jc w:val="left"/>
    </w:pPr>
    <w:rPr>
      <w:rFonts w:ascii="Segoe UI" w:eastAsia="Times New Roman" w:hAnsi="Segoe UI" w:cs="Times New Roman"/>
      <w:noProof/>
      <w:kern w:val="2"/>
      <w:sz w:val="20"/>
      <w:szCs w:val="20"/>
      <w:lang w:val="en-US"/>
      <w14:ligatures w14:val="standardContextual"/>
    </w:rPr>
  </w:style>
  <w:style w:type="paragraph" w:styleId="TOC3">
    <w:name w:val="toc 3"/>
    <w:basedOn w:val="Normal"/>
    <w:next w:val="Normal"/>
    <w:autoRedefine/>
    <w:rsid w:val="00E561AE"/>
    <w:pPr>
      <w:tabs>
        <w:tab w:val="left" w:pos="720"/>
        <w:tab w:val="right" w:leader="dot" w:pos="9628"/>
      </w:tabs>
      <w:spacing w:before="60" w:after="60" w:line="312" w:lineRule="auto"/>
      <w:jc w:val="left"/>
    </w:pPr>
    <w:rPr>
      <w:rFonts w:ascii="Segoe UI" w:eastAsia="Times New Roman" w:hAnsi="Segoe UI" w:cs="Times New Roman"/>
      <w:noProof/>
      <w:kern w:val="2"/>
      <w:sz w:val="20"/>
      <w:szCs w:val="20"/>
      <w:lang w:val="en-US"/>
      <w14:ligatures w14:val="standardContextual"/>
    </w:rPr>
  </w:style>
  <w:style w:type="character" w:styleId="Hyperlink">
    <w:name w:val="Hyperlink"/>
    <w:basedOn w:val="DefaultParagraphFont"/>
    <w:rsid w:val="00E561AE"/>
    <w:rPr>
      <w:color w:val="0000FF"/>
      <w:u w:val="single"/>
    </w:rPr>
  </w:style>
  <w:style w:type="numbering" w:styleId="1ai">
    <w:name w:val="Outline List 1"/>
    <w:basedOn w:val="NoList"/>
    <w:semiHidden/>
    <w:rsid w:val="00B37A49"/>
    <w:pPr>
      <w:numPr>
        <w:numId w:val="28"/>
      </w:numPr>
    </w:pPr>
  </w:style>
  <w:style w:type="paragraph" w:styleId="Salutation">
    <w:name w:val="Salutation"/>
    <w:basedOn w:val="Normal"/>
    <w:next w:val="Normal"/>
    <w:semiHidden/>
    <w:rsid w:val="00B37A49"/>
    <w:pPr>
      <w:spacing w:before="60" w:after="60" w:line="312" w:lineRule="auto"/>
      <w:jc w:val="left"/>
    </w:pPr>
    <w:rPr>
      <w:rFonts w:ascii="Segoe UI" w:eastAsia="Times New Roman" w:hAnsi="Segoe UI" w:cs="Times New Roman"/>
      <w:kern w:val="2"/>
      <w:sz w:val="20"/>
      <w:szCs w:val="20"/>
      <w:lang w:val="en-US"/>
      <w14:ligatures w14:val="standardContextual"/>
    </w:rPr>
  </w:style>
  <w:style w:type="numbering" w:styleId="ArticleSection">
    <w:name w:val="Outline List 3"/>
    <w:basedOn w:val="NoList"/>
    <w:semiHidden/>
    <w:rsid w:val="00B37A49"/>
    <w:pPr>
      <w:numPr>
        <w:numId w:val="29"/>
      </w:numPr>
    </w:pPr>
  </w:style>
  <w:style w:type="paragraph" w:styleId="BalloonText">
    <w:name w:val="Balloon Text"/>
    <w:basedOn w:val="Normal"/>
    <w:link w:val="BalloonTextChar"/>
    <w:rsid w:val="00D37AE9"/>
    <w:pPr>
      <w:spacing w:after="0" w:line="240" w:lineRule="auto"/>
      <w:jc w:val="left"/>
    </w:pPr>
    <w:rPr>
      <w:rFonts w:ascii="Tahoma" w:eastAsia="Times New Roman" w:hAnsi="Tahoma" w:cs="Tahoma"/>
      <w:kern w:val="2"/>
      <w:sz w:val="16"/>
      <w:szCs w:val="16"/>
      <w:lang w:val="en-US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rsid w:val="00D37AE9"/>
    <w:rPr>
      <w:rFonts w:ascii="Tahoma" w:hAnsi="Tahoma" w:cs="Tahoma"/>
      <w:sz w:val="16"/>
      <w:szCs w:val="16"/>
      <w:lang w:val="de-CH" w:eastAsia="de-CH"/>
    </w:rPr>
  </w:style>
  <w:style w:type="character" w:customStyle="1" w:styleId="TitleChar">
    <w:name w:val="Title Char"/>
    <w:basedOn w:val="DefaultParagraphFont"/>
    <w:link w:val="Title"/>
    <w:uiPriority w:val="5"/>
    <w:rsid w:val="005851BF"/>
    <w:rPr>
      <w:rFonts w:cs="Arial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5"/>
    <w:qFormat/>
    <w:rsid w:val="005851BF"/>
    <w:pPr>
      <w:numPr>
        <w:ilvl w:val="1"/>
      </w:numPr>
      <w:spacing w:before="60" w:after="60" w:line="312" w:lineRule="auto"/>
      <w:jc w:val="left"/>
    </w:pPr>
    <w:rPr>
      <w:rFonts w:ascii="Segoe UI" w:eastAsiaTheme="majorEastAsia" w:hAnsi="Segoe UI" w:cstheme="majorBidi"/>
      <w:b/>
      <w:iCs/>
      <w:kern w:val="2"/>
      <w:sz w:val="24"/>
      <w:szCs w:val="24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5"/>
    <w:rsid w:val="005851BF"/>
    <w:rPr>
      <w:rFonts w:eastAsiaTheme="majorEastAsia" w:cstheme="majorBidi"/>
      <w:b/>
      <w:iCs/>
      <w:sz w:val="24"/>
      <w:szCs w:val="24"/>
    </w:rPr>
  </w:style>
  <w:style w:type="paragraph" w:styleId="NoSpacing">
    <w:name w:val="No Spacing"/>
    <w:uiPriority w:val="1"/>
    <w:qFormat/>
    <w:rsid w:val="005851BF"/>
  </w:style>
  <w:style w:type="paragraph" w:styleId="ListParagraph">
    <w:name w:val="List Paragraph"/>
    <w:basedOn w:val="Normal"/>
    <w:uiPriority w:val="3"/>
    <w:qFormat/>
    <w:rsid w:val="005851BF"/>
    <w:pPr>
      <w:numPr>
        <w:numId w:val="30"/>
      </w:numPr>
      <w:spacing w:before="60" w:after="60" w:line="312" w:lineRule="auto"/>
      <w:contextualSpacing/>
      <w:jc w:val="left"/>
    </w:pPr>
    <w:rPr>
      <w:rFonts w:ascii="Segoe UI" w:eastAsia="Times New Roman" w:hAnsi="Segoe UI" w:cs="Times New Roman"/>
      <w:kern w:val="2"/>
      <w:sz w:val="20"/>
      <w:szCs w:val="20"/>
      <w:lang w:val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rsid w:val="0052760B"/>
    <w:pPr>
      <w:spacing w:before="160" w:line="312" w:lineRule="auto"/>
      <w:jc w:val="center"/>
    </w:pPr>
    <w:rPr>
      <w:rFonts w:ascii="Segoe UI" w:eastAsia="Times New Roman" w:hAnsi="Segoe UI" w:cs="Times New Roman"/>
      <w:i/>
      <w:iCs/>
      <w:color w:val="404040" w:themeColor="text1" w:themeTint="BF"/>
      <w:kern w:val="2"/>
      <w:sz w:val="20"/>
      <w:szCs w:val="20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2760B"/>
    <w:rPr>
      <w:i/>
      <w:iCs/>
      <w:color w:val="404040" w:themeColor="text1" w:themeTint="BF"/>
      <w:lang w:val="en-US"/>
    </w:rPr>
  </w:style>
  <w:style w:type="character" w:styleId="IntenseEmphasis">
    <w:name w:val="Intense Emphasis"/>
    <w:basedOn w:val="DefaultParagraphFont"/>
    <w:uiPriority w:val="21"/>
    <w:rsid w:val="0052760B"/>
    <w:rPr>
      <w:i/>
      <w:iCs/>
      <w:color w:val="47474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52760B"/>
    <w:pPr>
      <w:pBdr>
        <w:top w:val="single" w:sz="4" w:space="10" w:color="474747" w:themeColor="accent1" w:themeShade="BF"/>
        <w:bottom w:val="single" w:sz="4" w:space="10" w:color="474747" w:themeColor="accent1" w:themeShade="BF"/>
      </w:pBdr>
      <w:spacing w:before="360" w:after="360" w:line="312" w:lineRule="auto"/>
      <w:ind w:left="864" w:right="864"/>
      <w:jc w:val="center"/>
    </w:pPr>
    <w:rPr>
      <w:rFonts w:ascii="Segoe UI" w:eastAsia="Times New Roman" w:hAnsi="Segoe UI" w:cs="Times New Roman"/>
      <w:i/>
      <w:iCs/>
      <w:color w:val="474747" w:themeColor="accent1" w:themeShade="BF"/>
      <w:kern w:val="2"/>
      <w:sz w:val="20"/>
      <w:szCs w:val="20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760B"/>
    <w:rPr>
      <w:i/>
      <w:iCs/>
      <w:color w:val="474747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rsid w:val="0052760B"/>
    <w:rPr>
      <w:b/>
      <w:bCs/>
      <w:smallCaps/>
      <w:color w:val="474747" w:themeColor="accent1" w:themeShade="BF"/>
      <w:spacing w:val="5"/>
    </w:rPr>
  </w:style>
  <w:style w:type="character" w:styleId="LineNumber">
    <w:name w:val="line number"/>
    <w:basedOn w:val="DefaultParagraphFont"/>
    <w:semiHidden/>
    <w:unhideWhenUsed/>
    <w:rsid w:val="006047BB"/>
  </w:style>
  <w:style w:type="character" w:customStyle="1" w:styleId="FooterChar">
    <w:name w:val="Footer Char"/>
    <w:basedOn w:val="DefaultParagraphFont"/>
    <w:link w:val="Footer"/>
    <w:uiPriority w:val="99"/>
    <w:rsid w:val="006047BB"/>
    <w:rPr>
      <w:sz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Empa_Word">
  <a:themeElements>
    <a:clrScheme name="Empa_Farben">
      <a:dk1>
        <a:sysClr val="windowText" lastClr="000000"/>
      </a:dk1>
      <a:lt1>
        <a:sysClr val="window" lastClr="FFFFFF"/>
      </a:lt1>
      <a:dk2>
        <a:srgbClr val="9F9F9F"/>
      </a:dk2>
      <a:lt2>
        <a:srgbClr val="DFDFDF"/>
      </a:lt2>
      <a:accent1>
        <a:srgbClr val="5F5F5F"/>
      </a:accent1>
      <a:accent2>
        <a:srgbClr val="5C2E00"/>
      </a:accent2>
      <a:accent3>
        <a:srgbClr val="005400"/>
      </a:accent3>
      <a:accent4>
        <a:srgbClr val="003366"/>
      </a:accent4>
      <a:accent5>
        <a:srgbClr val="C00000"/>
      </a:accent5>
      <a:accent6>
        <a:srgbClr val="C0BC00"/>
      </a:accent6>
      <a:hlink>
        <a:srgbClr val="475A8D"/>
      </a:hlink>
      <a:folHlink>
        <a:srgbClr val="C32D2E"/>
      </a:folHlink>
    </a:clrScheme>
    <a:fontScheme name="Empa_Wor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Empa</Company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Camenisch, Selina</dc:creator>
  <cp:keywords/>
  <dc:description/>
  <cp:lastModifiedBy>Camenisch, Selina</cp:lastModifiedBy>
  <cp:revision>8</cp:revision>
  <cp:lastPrinted>2025-10-14T14:54:00Z</cp:lastPrinted>
  <dcterms:created xsi:type="dcterms:W3CDTF">2025-09-12T12:07:00Z</dcterms:created>
  <dcterms:modified xsi:type="dcterms:W3CDTF">2025-11-04T16:59:00Z</dcterms:modified>
</cp:coreProperties>
</file>