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0A160" w14:textId="77777777" w:rsidR="00393BAB" w:rsidRDefault="00393BAB" w:rsidP="00FA1481">
      <w:pPr>
        <w:jc w:val="center"/>
        <w:rPr>
          <w:sz w:val="36"/>
          <w:szCs w:val="36"/>
        </w:rPr>
      </w:pPr>
    </w:p>
    <w:p w14:paraId="04FF99F6" w14:textId="77777777" w:rsidR="00CB0B17" w:rsidRDefault="00CB0B17" w:rsidP="00CB0B17">
      <w:pPr>
        <w:spacing w:afterLines="120" w:after="288"/>
        <w:jc w:val="both"/>
        <w:rPr>
          <w:rFonts w:ascii="Arial" w:hAnsi="Arial" w:cs="Arial"/>
          <w:b/>
          <w:bCs/>
          <w:sz w:val="36"/>
          <w:szCs w:val="36"/>
        </w:rPr>
      </w:pPr>
      <w:r>
        <w:rPr>
          <w:rFonts w:ascii="Arial" w:hAnsi="Arial" w:cs="Arial" w:hint="eastAsia"/>
          <w:b/>
          <w:bCs/>
          <w:sz w:val="36"/>
          <w:szCs w:val="36"/>
        </w:rPr>
        <w:t xml:space="preserve">Allosteric Ensembles Elucidate </w:t>
      </w:r>
      <w:r>
        <w:rPr>
          <w:rFonts w:ascii="Arial" w:hAnsi="Arial" w:cs="Arial"/>
          <w:b/>
          <w:bCs/>
          <w:sz w:val="36"/>
          <w:szCs w:val="36"/>
        </w:rPr>
        <w:t>Mechanisms</w:t>
      </w:r>
      <w:r>
        <w:rPr>
          <w:rFonts w:ascii="Arial" w:hAnsi="Arial" w:cs="Arial" w:hint="eastAsia"/>
          <w:b/>
          <w:bCs/>
          <w:sz w:val="36"/>
          <w:szCs w:val="36"/>
        </w:rPr>
        <w:t xml:space="preserve"> of </w:t>
      </w:r>
      <w:r>
        <w:rPr>
          <w:rFonts w:ascii="Arial" w:hAnsi="Arial" w:cs="Arial"/>
          <w:b/>
          <w:bCs/>
          <w:sz w:val="36"/>
          <w:szCs w:val="36"/>
        </w:rPr>
        <w:t xml:space="preserve">Inhibition in </w:t>
      </w:r>
      <w:r>
        <w:rPr>
          <w:rFonts w:ascii="Arial" w:hAnsi="Arial" w:cs="Arial" w:hint="eastAsia"/>
          <w:b/>
          <w:bCs/>
          <w:sz w:val="36"/>
          <w:szCs w:val="36"/>
        </w:rPr>
        <w:t>Human Soluble Epoxide Hydrolase</w:t>
      </w:r>
    </w:p>
    <w:p w14:paraId="5CC22BB0" w14:textId="77777777" w:rsidR="00CB0B17" w:rsidRDefault="00CB0B17" w:rsidP="00CB0B17">
      <w:pPr>
        <w:spacing w:afterLines="120" w:after="288"/>
        <w:jc w:val="both"/>
        <w:rPr>
          <w:rFonts w:ascii="Arial" w:hAnsi="Arial" w:cs="Arial"/>
          <w:b/>
          <w:bCs/>
          <w:sz w:val="36"/>
          <w:szCs w:val="36"/>
        </w:rPr>
      </w:pPr>
    </w:p>
    <w:p w14:paraId="2012D70E" w14:textId="77777777" w:rsidR="00CB0B17" w:rsidRDefault="00CB0B17" w:rsidP="00CB0B17">
      <w:pPr>
        <w:spacing w:afterLines="120" w:after="288"/>
        <w:jc w:val="both"/>
        <w:rPr>
          <w:rFonts w:ascii="Arial" w:hAnsi="Arial" w:cs="Arial"/>
          <w:b/>
          <w:bCs/>
          <w:sz w:val="36"/>
          <w:szCs w:val="36"/>
        </w:rPr>
      </w:pPr>
      <w:r>
        <w:rPr>
          <w:rFonts w:ascii="Arial" w:hAnsi="Arial" w:cs="Arial" w:hint="eastAsia"/>
          <w:b/>
          <w:bCs/>
          <w:sz w:val="36"/>
          <w:szCs w:val="36"/>
        </w:rPr>
        <w:t>Authors</w:t>
      </w:r>
    </w:p>
    <w:p w14:paraId="0DD0FEF1" w14:textId="77777777" w:rsidR="00CB0B17" w:rsidRDefault="00CB0B17" w:rsidP="00CB0B17">
      <w:pPr>
        <w:spacing w:afterLines="120" w:after="288"/>
        <w:jc w:val="both"/>
        <w:rPr>
          <w:rFonts w:ascii="Arial" w:hAnsi="Arial" w:cs="Arial"/>
          <w:vertAlign w:val="superscript"/>
        </w:rPr>
      </w:pPr>
      <w:r w:rsidRPr="00892663">
        <w:rPr>
          <w:rFonts w:ascii="Arial" w:hAnsi="Arial" w:cs="Arial"/>
        </w:rPr>
        <w:t>Qiongju Qiu</w:t>
      </w:r>
      <w:r w:rsidRPr="00892663">
        <w:rPr>
          <w:rFonts w:ascii="Arial" w:hAnsi="Arial" w:cs="Arial"/>
          <w:vertAlign w:val="superscript"/>
        </w:rPr>
        <w:t>1</w:t>
      </w:r>
      <w:r w:rsidRPr="00892663">
        <w:rPr>
          <w:rFonts w:ascii="Arial" w:hAnsi="Arial" w:cs="Arial"/>
        </w:rPr>
        <w:t xml:space="preserve">, Oriol </w:t>
      </w:r>
      <w:r w:rsidRPr="009C3DC4">
        <w:rPr>
          <w:rFonts w:ascii="Arial" w:hAnsi="Arial" w:cs="Arial"/>
          <w:lang w:val="es-ES"/>
        </w:rPr>
        <w:t>Gracia</w:t>
      </w:r>
      <w:r>
        <w:rPr>
          <w:rFonts w:ascii="Arial" w:hAnsi="Arial" w:cs="Arial"/>
          <w:lang w:val="es-ES"/>
        </w:rPr>
        <w:t xml:space="preserve"> Carmona</w:t>
      </w:r>
      <w:r>
        <w:rPr>
          <w:rFonts w:ascii="Arial" w:hAnsi="Arial" w:cs="Arial"/>
          <w:vertAlign w:val="superscript"/>
          <w:lang w:val="es-ES"/>
        </w:rPr>
        <w:t>1</w:t>
      </w:r>
      <w:r w:rsidRPr="00892663">
        <w:rPr>
          <w:rFonts w:ascii="Arial" w:hAnsi="Arial" w:cs="Arial"/>
          <w:vertAlign w:val="superscript"/>
        </w:rPr>
        <w:t>,2</w:t>
      </w:r>
      <w:r w:rsidRPr="00892663">
        <w:rPr>
          <w:rFonts w:ascii="Arial" w:hAnsi="Arial" w:cs="Arial"/>
        </w:rPr>
        <w:t>, Giancarlo Abis</w:t>
      </w:r>
      <w:r w:rsidRPr="00892663">
        <w:rPr>
          <w:rFonts w:ascii="Arial" w:hAnsi="Arial" w:cs="Arial"/>
          <w:vertAlign w:val="superscript"/>
        </w:rPr>
        <w:t>1</w:t>
      </w:r>
      <w:r w:rsidRPr="00892663">
        <w:rPr>
          <w:rFonts w:ascii="Arial" w:hAnsi="Arial" w:cs="Arial"/>
        </w:rPr>
        <w:t>, Franca Fraternali</w:t>
      </w:r>
      <w:r w:rsidRPr="00892663">
        <w:rPr>
          <w:rFonts w:ascii="Arial" w:hAnsi="Arial" w:cs="Arial"/>
          <w:vertAlign w:val="superscript"/>
        </w:rPr>
        <w:t>2*</w:t>
      </w:r>
      <w:r w:rsidRPr="00892663">
        <w:rPr>
          <w:rFonts w:ascii="Arial" w:hAnsi="Arial" w:cs="Arial"/>
        </w:rPr>
        <w:t xml:space="preserve"> and Maria R Conte</w:t>
      </w:r>
      <w:r w:rsidRPr="00892663">
        <w:rPr>
          <w:rFonts w:ascii="Arial" w:hAnsi="Arial" w:cs="Arial"/>
          <w:vertAlign w:val="superscript"/>
        </w:rPr>
        <w:t>1*</w:t>
      </w:r>
    </w:p>
    <w:p w14:paraId="25D128A3" w14:textId="77777777" w:rsidR="00CB0B17" w:rsidRPr="002F7978" w:rsidRDefault="00CB0B17" w:rsidP="00CB0B17">
      <w:pPr>
        <w:spacing w:afterLines="120" w:after="288"/>
        <w:jc w:val="both"/>
        <w:rPr>
          <w:rFonts w:ascii="Arial" w:hAnsi="Arial" w:cs="Arial"/>
          <w:b/>
          <w:bCs/>
          <w:sz w:val="36"/>
          <w:szCs w:val="36"/>
        </w:rPr>
      </w:pPr>
      <w:r>
        <w:rPr>
          <w:rFonts w:ascii="Arial" w:hAnsi="Arial" w:cs="Arial" w:hint="eastAsia"/>
          <w:b/>
          <w:bCs/>
          <w:sz w:val="36"/>
          <w:szCs w:val="36"/>
        </w:rPr>
        <w:t>Affiliations</w:t>
      </w:r>
    </w:p>
    <w:p w14:paraId="6410BAD2" w14:textId="77777777" w:rsidR="00CB0B17" w:rsidRPr="00892663" w:rsidRDefault="00CB0B17" w:rsidP="00CB0B17">
      <w:pPr>
        <w:spacing w:afterLines="120" w:after="288"/>
        <w:jc w:val="both"/>
        <w:rPr>
          <w:rFonts w:ascii="Arial" w:hAnsi="Arial" w:cs="Arial"/>
        </w:rPr>
      </w:pPr>
      <w:r w:rsidRPr="00892663">
        <w:rPr>
          <w:rFonts w:ascii="Arial" w:hAnsi="Arial" w:cs="Arial"/>
          <w:vertAlign w:val="superscript"/>
        </w:rPr>
        <w:t>1</w:t>
      </w:r>
      <w:r w:rsidRPr="00892663">
        <w:rPr>
          <w:rFonts w:ascii="Arial" w:hAnsi="Arial" w:cs="Arial"/>
        </w:rPr>
        <w:t>Randall Centre for Cell and Molecular Biophysics, King’s College London</w:t>
      </w:r>
      <w:r>
        <w:rPr>
          <w:rFonts w:ascii="Arial" w:hAnsi="Arial" w:cs="Arial"/>
        </w:rPr>
        <w:t>, New Hunt’s House, Guy’s Campus,</w:t>
      </w:r>
      <w:r w:rsidRPr="00892663">
        <w:rPr>
          <w:rFonts w:ascii="Arial" w:hAnsi="Arial" w:cs="Arial"/>
        </w:rPr>
        <w:t xml:space="preserve"> London SE1 1UL, UK</w:t>
      </w:r>
    </w:p>
    <w:p w14:paraId="70DC00AC" w14:textId="77777777" w:rsidR="00CB0B17" w:rsidRPr="00172DD5" w:rsidRDefault="00CB0B17" w:rsidP="00CB0B17">
      <w:pPr>
        <w:spacing w:afterLines="120" w:after="288"/>
        <w:jc w:val="both"/>
        <w:rPr>
          <w:rFonts w:ascii="Arial" w:hAnsi="Arial" w:cs="Arial"/>
        </w:rPr>
      </w:pPr>
      <w:r w:rsidRPr="00700312">
        <w:rPr>
          <w:rFonts w:ascii="Arial" w:hAnsi="Arial" w:cs="Arial"/>
          <w:vertAlign w:val="superscript"/>
        </w:rPr>
        <w:t>2</w:t>
      </w:r>
      <w:r w:rsidRPr="00700312">
        <w:rPr>
          <w:rFonts w:ascii="Arial" w:hAnsi="Arial" w:cs="Arial"/>
        </w:rPr>
        <w:t>Inst</w:t>
      </w:r>
      <w:r w:rsidRPr="00C478E2">
        <w:rPr>
          <w:rFonts w:ascii="Arial" w:hAnsi="Arial" w:cs="Arial"/>
        </w:rPr>
        <w:t xml:space="preserve">itute of Structural and Molecular Biology, University College London, Darwin Building, Gower Street, London, WC1E 6BT, United Kingdom. </w:t>
      </w:r>
      <w:r w:rsidRPr="004A2D08">
        <w:rPr>
          <w:rFonts w:ascii="Arial" w:hAnsi="Arial" w:cs="Arial"/>
          <w:highlight w:val="yellow"/>
        </w:rPr>
        <w:t xml:space="preserve"> </w:t>
      </w:r>
    </w:p>
    <w:p w14:paraId="4312C663" w14:textId="77777777" w:rsidR="00CB0B17" w:rsidRPr="00892663" w:rsidRDefault="00CB0B17" w:rsidP="00CB0B17">
      <w:pPr>
        <w:spacing w:afterLines="120" w:after="288"/>
        <w:jc w:val="both"/>
        <w:rPr>
          <w:rFonts w:ascii="Arial" w:hAnsi="Arial" w:cs="Arial"/>
        </w:rPr>
      </w:pPr>
      <w:r w:rsidRPr="00892663">
        <w:rPr>
          <w:rFonts w:ascii="Arial" w:hAnsi="Arial" w:cs="Arial"/>
        </w:rPr>
        <w:t xml:space="preserve">* Corresponding authors. Emails: </w:t>
      </w:r>
      <w:hyperlink r:id="rId10" w:history="1">
        <w:r w:rsidRPr="00892663">
          <w:rPr>
            <w:rStyle w:val="Hyperlink"/>
            <w:rFonts w:ascii="Arial" w:hAnsi="Arial" w:cs="Arial"/>
          </w:rPr>
          <w:t>sasi.conte@kcl.ac.uk</w:t>
        </w:r>
      </w:hyperlink>
      <w:r w:rsidRPr="00892663">
        <w:rPr>
          <w:rFonts w:ascii="Arial" w:hAnsi="Arial" w:cs="Arial"/>
        </w:rPr>
        <w:t>; f.fraternali@ucl.ac.uk</w:t>
      </w:r>
    </w:p>
    <w:p w14:paraId="3A1047ED" w14:textId="77777777" w:rsidR="00533910" w:rsidRDefault="00533910" w:rsidP="005001AC">
      <w:pPr>
        <w:jc w:val="center"/>
        <w:rPr>
          <w:szCs w:val="24"/>
        </w:rPr>
      </w:pP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7FC81517" w14:textId="3EDBCBD1" w:rsidR="002C030F" w:rsidRDefault="0030415E" w:rsidP="00262D72">
      <w:pPr>
        <w:ind w:left="720"/>
        <w:rPr>
          <w:lang w:eastAsia="zh-CN"/>
        </w:rPr>
      </w:pPr>
      <w:r>
        <w:t xml:space="preserve">Supplementary </w:t>
      </w:r>
      <w:r w:rsidR="002C030F">
        <w:t>Fig</w:t>
      </w:r>
      <w:r>
        <w:rPr>
          <w:rFonts w:hint="eastAsia"/>
          <w:lang w:eastAsia="zh-CN"/>
        </w:rPr>
        <w:t>ure</w:t>
      </w:r>
      <w:r w:rsidR="00A3403B">
        <w:t xml:space="preserve"> </w:t>
      </w:r>
      <w:r w:rsidR="002C030F">
        <w:t>S1</w:t>
      </w:r>
      <w:r w:rsidR="00A3403B">
        <w:t xml:space="preserve"> to </w:t>
      </w:r>
      <w:r w:rsidR="002C030F">
        <w:t>S</w:t>
      </w:r>
      <w:r>
        <w:rPr>
          <w:rFonts w:hint="eastAsia"/>
          <w:lang w:eastAsia="zh-CN"/>
        </w:rPr>
        <w:t>5</w:t>
      </w:r>
    </w:p>
    <w:p w14:paraId="39DE064C" w14:textId="53657509" w:rsidR="002C030F" w:rsidRDefault="0030415E" w:rsidP="00262D72">
      <w:pPr>
        <w:ind w:left="720"/>
        <w:rPr>
          <w:lang w:eastAsia="zh-CN"/>
        </w:rPr>
      </w:pPr>
      <w:r>
        <w:t xml:space="preserve">Supplementary </w:t>
      </w:r>
      <w:r w:rsidR="002C030F">
        <w:t xml:space="preserve">Tables </w:t>
      </w:r>
      <w:r w:rsidR="00F93671">
        <w:rPr>
          <w:rFonts w:hint="eastAsia"/>
          <w:lang w:eastAsia="zh-CN"/>
        </w:rPr>
        <w:t>S</w:t>
      </w:r>
      <w:r w:rsidR="002C030F">
        <w:t>1</w:t>
      </w:r>
    </w:p>
    <w:p w14:paraId="4CA69BF8" w14:textId="77777777" w:rsidR="0030415E" w:rsidRDefault="0030415E" w:rsidP="00015F74">
      <w:pPr>
        <w:rPr>
          <w:lang w:eastAsia="zh-CN"/>
        </w:rPr>
      </w:pPr>
    </w:p>
    <w:p w14:paraId="1F1080B1" w14:textId="70BAE315" w:rsidR="00065EBD" w:rsidRPr="00B57F00" w:rsidRDefault="002C030F" w:rsidP="00015F74">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3E319F4E" w14:textId="77777777" w:rsidR="0030415E" w:rsidRDefault="0030415E" w:rsidP="00262D72">
      <w:pPr>
        <w:ind w:left="720"/>
        <w:rPr>
          <w:lang w:eastAsia="zh-CN"/>
        </w:rPr>
      </w:pPr>
    </w:p>
    <w:p w14:paraId="68691C5A" w14:textId="1195AA7E" w:rsidR="00065EBD" w:rsidRDefault="0030415E" w:rsidP="0030415E">
      <w:pPr>
        <w:ind w:left="720"/>
        <w:rPr>
          <w:lang w:eastAsia="zh-CN"/>
        </w:rPr>
      </w:pPr>
      <w:r>
        <w:t>Supplementary</w:t>
      </w:r>
      <w:r>
        <w:rPr>
          <w:rFonts w:hint="eastAsia"/>
          <w:lang w:eastAsia="zh-CN"/>
        </w:rPr>
        <w:t xml:space="preserve"> Video </w:t>
      </w:r>
      <w:r w:rsidR="00065EBD">
        <w:t>S1</w:t>
      </w:r>
    </w:p>
    <w:p w14:paraId="29D453A1" w14:textId="14663ACB" w:rsidR="009A5287" w:rsidRDefault="009A5287" w:rsidP="00F044C6">
      <w:pPr>
        <w:pStyle w:val="SMText"/>
        <w:ind w:firstLine="0"/>
        <w:rPr>
          <w:lang w:eastAsia="zh-CN"/>
        </w:rPr>
      </w:pPr>
    </w:p>
    <w:p w14:paraId="12BD099B" w14:textId="17F277F2" w:rsidR="00F044C6" w:rsidRDefault="00F044C6" w:rsidP="00F044C6">
      <w:pPr>
        <w:pStyle w:val="SMText"/>
        <w:ind w:firstLine="0"/>
        <w:rPr>
          <w:lang w:eastAsia="zh-CN"/>
        </w:rPr>
      </w:pPr>
      <w:r w:rsidRPr="0040362C">
        <w:rPr>
          <w:rFonts w:ascii="Arial" w:hAnsi="Arial" w:cs="Arial"/>
          <w:noProof/>
          <w:sz w:val="22"/>
          <w:szCs w:val="22"/>
        </w:rPr>
        <w:lastRenderedPageBreak/>
        <w:drawing>
          <wp:inline distT="0" distB="0" distL="0" distR="0" wp14:anchorId="4BF04FC3" wp14:editId="5D30C54E">
            <wp:extent cx="5731510" cy="4997450"/>
            <wp:effectExtent l="0" t="0" r="0" b="6350"/>
            <wp:docPr id="1541424964"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24964" name="Picture 2" descr="A screenshot of a graph&#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4997450"/>
                    </a:xfrm>
                    <a:prstGeom prst="rect">
                      <a:avLst/>
                    </a:prstGeom>
                  </pic:spPr>
                </pic:pic>
              </a:graphicData>
            </a:graphic>
          </wp:inline>
        </w:drawing>
      </w:r>
    </w:p>
    <w:p w14:paraId="30EA357E" w14:textId="77777777" w:rsidR="00D766F1" w:rsidRDefault="00D766F1" w:rsidP="00B9440A">
      <w:pPr>
        <w:pStyle w:val="SMText"/>
      </w:pPr>
    </w:p>
    <w:p w14:paraId="2AD205DD" w14:textId="22AF5871" w:rsidR="009A5287" w:rsidRDefault="00F044C6" w:rsidP="00B9440A">
      <w:pPr>
        <w:pStyle w:val="SMcaption"/>
      </w:pPr>
      <w:r w:rsidRPr="00F044C6">
        <w:rPr>
          <w:b/>
          <w:bCs/>
          <w:kern w:val="32"/>
          <w:szCs w:val="24"/>
        </w:rPr>
        <w:t xml:space="preserve">Supplementary Figure S1. REMD simulations reach equilibrium within 1 </w:t>
      </w:r>
      <w:proofErr w:type="spellStart"/>
      <w:r w:rsidRPr="00F044C6">
        <w:rPr>
          <w:b/>
          <w:bCs/>
          <w:kern w:val="32"/>
          <w:szCs w:val="24"/>
        </w:rPr>
        <w:t>μs</w:t>
      </w:r>
      <w:proofErr w:type="spellEnd"/>
      <w:r w:rsidRPr="00F044C6">
        <w:rPr>
          <w:b/>
          <w:bCs/>
          <w:kern w:val="32"/>
          <w:szCs w:val="24"/>
        </w:rPr>
        <w:t xml:space="preserve">. </w:t>
      </w:r>
      <w:r w:rsidRPr="00F044C6">
        <w:rPr>
          <w:kern w:val="32"/>
          <w:szCs w:val="24"/>
        </w:rPr>
        <w:t>(A-C) 2D density plots of backbone Root-Mean-Square-Deviation (RMSD) and Radius of gyration (</w:t>
      </w:r>
      <w:proofErr w:type="spellStart"/>
      <w:r w:rsidRPr="00F044C6">
        <w:rPr>
          <w:kern w:val="32"/>
          <w:szCs w:val="24"/>
        </w:rPr>
        <w:t>Rg</w:t>
      </w:r>
      <w:proofErr w:type="spellEnd"/>
      <w:r w:rsidRPr="00F044C6">
        <w:rPr>
          <w:kern w:val="32"/>
          <w:szCs w:val="24"/>
        </w:rPr>
        <w:t>) at increasing cumulative simulation time for system (A) Apo (apoprotein), (B) 15d-PGJ₂ bound to C423 (PTG423) and (C) 15d-PGJ₂ bound to C522 (PTG522). Time intervals (0-250, 250-500, 500-750, and 750-1000 ns) are colored in grey, cyan, blue, and purple, respectively.</w:t>
      </w:r>
    </w:p>
    <w:p w14:paraId="488B6617" w14:textId="77777777" w:rsidR="00F044C6" w:rsidRDefault="00F044C6">
      <w:pPr>
        <w:rPr>
          <w:b/>
          <w:bCs/>
          <w:kern w:val="32"/>
          <w:szCs w:val="24"/>
        </w:rPr>
      </w:pPr>
      <w:r>
        <w:br w:type="page"/>
      </w:r>
    </w:p>
    <w:p w14:paraId="4BBF3DF4" w14:textId="1FF46C21" w:rsidR="00F044C6" w:rsidRDefault="00F044C6" w:rsidP="00B9440A">
      <w:pPr>
        <w:pStyle w:val="SMHeading"/>
        <w:rPr>
          <w:lang w:eastAsia="zh-CN"/>
        </w:rPr>
      </w:pPr>
      <w:r w:rsidRPr="0040362C">
        <w:rPr>
          <w:rFonts w:ascii="Arial" w:hAnsi="Arial" w:cs="Arial"/>
          <w:noProof/>
          <w:sz w:val="22"/>
          <w:szCs w:val="22"/>
        </w:rPr>
        <w:lastRenderedPageBreak/>
        <w:drawing>
          <wp:inline distT="0" distB="0" distL="0" distR="0" wp14:anchorId="7EE4EF66" wp14:editId="2FC10BD9">
            <wp:extent cx="5731510" cy="5569585"/>
            <wp:effectExtent l="0" t="0" r="0" b="5715"/>
            <wp:docPr id="2020062335"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62335" name="Picture 3" descr="A screenshot of a grap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5569585"/>
                    </a:xfrm>
                    <a:prstGeom prst="rect">
                      <a:avLst/>
                    </a:prstGeom>
                  </pic:spPr>
                </pic:pic>
              </a:graphicData>
            </a:graphic>
          </wp:inline>
        </w:drawing>
      </w:r>
    </w:p>
    <w:p w14:paraId="2507BD7C" w14:textId="1AC21836" w:rsidR="00670299" w:rsidRDefault="00F044C6" w:rsidP="00670299">
      <w:pPr>
        <w:pStyle w:val="SMcaption"/>
      </w:pPr>
      <w:r w:rsidRPr="00F044C6">
        <w:rPr>
          <w:b/>
          <w:bCs/>
        </w:rPr>
        <w:t xml:space="preserve">Supplementary Figure S2. Analysis of 2 </w:t>
      </w:r>
      <w:proofErr w:type="spellStart"/>
      <w:r w:rsidRPr="00F044C6">
        <w:rPr>
          <w:b/>
          <w:bCs/>
        </w:rPr>
        <w:t>μs</w:t>
      </w:r>
      <w:proofErr w:type="spellEnd"/>
      <w:r w:rsidRPr="00F044C6">
        <w:rPr>
          <w:b/>
          <w:bCs/>
        </w:rPr>
        <w:t xml:space="preserve"> REMD simulations. </w:t>
      </w:r>
      <w:r w:rsidRPr="00F044C6">
        <w:t xml:space="preserve">Extending the REMD simulations to 2 </w:t>
      </w:r>
      <w:proofErr w:type="spellStart"/>
      <w:r w:rsidRPr="00F044C6">
        <w:t>μs</w:t>
      </w:r>
      <w:proofErr w:type="spellEnd"/>
      <w:r w:rsidRPr="00F044C6">
        <w:t xml:space="preserve"> confirmed conformational sampling completeness. 2D supervised PCA projections of REMD trajectories based on the center of mass of the 15d-PGJ</w:t>
      </w:r>
      <w:r w:rsidRPr="00F044C6">
        <w:rPr>
          <w:vertAlign w:val="subscript"/>
        </w:rPr>
        <w:t xml:space="preserve">2 </w:t>
      </w:r>
      <w:r w:rsidRPr="00F044C6">
        <w:t xml:space="preserve">cyclopentanone ring in different cumulative time (0-2 </w:t>
      </w:r>
      <w:proofErr w:type="spellStart"/>
      <w:r w:rsidRPr="00F044C6">
        <w:t>μs</w:t>
      </w:r>
      <w:proofErr w:type="spellEnd"/>
      <w:r w:rsidRPr="00F044C6">
        <w:t>) for simulation system (A) PTG522 and (B) PTG423.</w:t>
      </w:r>
    </w:p>
    <w:p w14:paraId="01A4AEC5" w14:textId="25D16F0B" w:rsidR="00F044C6" w:rsidRDefault="00F044C6">
      <w:pPr>
        <w:rPr>
          <w:b/>
          <w:bCs/>
          <w:kern w:val="32"/>
          <w:szCs w:val="24"/>
          <w:lang w:eastAsia="zh-CN"/>
        </w:rPr>
      </w:pPr>
      <w:r>
        <w:rPr>
          <w:lang w:eastAsia="zh-CN"/>
        </w:rPr>
        <w:br w:type="page"/>
      </w:r>
    </w:p>
    <w:p w14:paraId="6E9DCAAB" w14:textId="78C12C7D" w:rsidR="00F044C6" w:rsidRDefault="00F044C6" w:rsidP="00B9440A">
      <w:pPr>
        <w:pStyle w:val="SMHeading"/>
        <w:rPr>
          <w:lang w:eastAsia="zh-CN"/>
        </w:rPr>
      </w:pPr>
      <w:r w:rsidRPr="0040362C">
        <w:rPr>
          <w:rFonts w:ascii="Arial" w:hAnsi="Arial" w:cs="Arial"/>
          <w:noProof/>
          <w:sz w:val="22"/>
          <w:szCs w:val="22"/>
        </w:rPr>
        <w:lastRenderedPageBreak/>
        <w:drawing>
          <wp:inline distT="0" distB="0" distL="0" distR="0" wp14:anchorId="25D4B7B0" wp14:editId="6C97B393">
            <wp:extent cx="5731510" cy="1965325"/>
            <wp:effectExtent l="0" t="0" r="0" b="3175"/>
            <wp:docPr id="910771981" name="Picture 4" descr="A diagram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71981" name="Picture 4" descr="A diagram of a stat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1965325"/>
                    </a:xfrm>
                    <a:prstGeom prst="rect">
                      <a:avLst/>
                    </a:prstGeom>
                  </pic:spPr>
                </pic:pic>
              </a:graphicData>
            </a:graphic>
          </wp:inline>
        </w:drawing>
      </w:r>
    </w:p>
    <w:p w14:paraId="0B35D29F" w14:textId="2D6F54B7" w:rsidR="009A5287" w:rsidRDefault="00F044C6" w:rsidP="00477182">
      <w:pPr>
        <w:pStyle w:val="SMcaption"/>
      </w:pPr>
      <w:r w:rsidRPr="00F044C6">
        <w:rPr>
          <w:b/>
          <w:bCs/>
        </w:rPr>
        <w:t>Supplementary Figure S3. The three states of PTG522 showed similar allostery communication with state 3 being the weakest.</w:t>
      </w:r>
      <w:r w:rsidRPr="00F044C6">
        <w:t xml:space="preserve"> Log</w:t>
      </w:r>
      <w:r w:rsidRPr="00F044C6">
        <w:rPr>
          <w:vertAlign w:val="subscript"/>
        </w:rPr>
        <w:t>2</w:t>
      </w:r>
      <w:r w:rsidRPr="00F044C6">
        <w:t xml:space="preserve"> fold-change in signal coupling between each fragment in state 1, 2, and 3 of PTG522 as compared to Apo. Fragments 229–546 are represented as circular dots, labeled every 10 fragments (black dots). An increase or decrease of correlation between two fragments is shown by red or blue lines, respectively.</w:t>
      </w:r>
    </w:p>
    <w:p w14:paraId="2ADDDC07" w14:textId="4F0C75B2" w:rsidR="00F044C6" w:rsidRDefault="00F044C6">
      <w:pPr>
        <w:rPr>
          <w:lang w:eastAsia="zh-CN"/>
        </w:rPr>
      </w:pPr>
      <w:r>
        <w:rPr>
          <w:lang w:eastAsia="zh-CN"/>
        </w:rPr>
        <w:br w:type="page"/>
      </w:r>
    </w:p>
    <w:p w14:paraId="2C0C0BDA" w14:textId="7C1C7891" w:rsidR="009A5287" w:rsidRDefault="00F044C6" w:rsidP="00477182">
      <w:pPr>
        <w:pStyle w:val="SMcaption"/>
        <w:rPr>
          <w:lang w:eastAsia="zh-CN"/>
        </w:rPr>
      </w:pPr>
      <w:r>
        <w:rPr>
          <w:rFonts w:ascii="Arial" w:hAnsi="Arial" w:cs="Arial"/>
          <w:noProof/>
          <w:sz w:val="22"/>
          <w:szCs w:val="22"/>
        </w:rPr>
        <w:lastRenderedPageBreak/>
        <w:drawing>
          <wp:inline distT="0" distB="0" distL="0" distR="0" wp14:anchorId="6B4A4025" wp14:editId="1A8BB3D2">
            <wp:extent cx="5731510" cy="6023610"/>
            <wp:effectExtent l="0" t="0" r="0" b="0"/>
            <wp:docPr id="31344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40332" name="Picture 313440332"/>
                    <pic:cNvPicPr/>
                  </pic:nvPicPr>
                  <pic:blipFill>
                    <a:blip r:embed="rId14"/>
                    <a:stretch>
                      <a:fillRect/>
                    </a:stretch>
                  </pic:blipFill>
                  <pic:spPr>
                    <a:xfrm>
                      <a:off x="0" y="0"/>
                      <a:ext cx="5731510" cy="6023610"/>
                    </a:xfrm>
                    <a:prstGeom prst="rect">
                      <a:avLst/>
                    </a:prstGeom>
                  </pic:spPr>
                </pic:pic>
              </a:graphicData>
            </a:graphic>
          </wp:inline>
        </w:drawing>
      </w:r>
    </w:p>
    <w:p w14:paraId="3FF03D25" w14:textId="5B6F8DF1" w:rsidR="008218C4" w:rsidRPr="00B47DAF" w:rsidRDefault="00B47DAF" w:rsidP="00477182">
      <w:pPr>
        <w:pStyle w:val="SMcaption"/>
        <w:rPr>
          <w:lang w:eastAsia="zh-CN"/>
        </w:rPr>
      </w:pPr>
      <w:r w:rsidRPr="00B47DAF">
        <w:rPr>
          <w:b/>
          <w:bCs/>
        </w:rPr>
        <w:t xml:space="preserve">Supplementary Figure S4. Propagation of allosteric signals from the distal sites (C423 or C522) to </w:t>
      </w:r>
      <w:proofErr w:type="spellStart"/>
      <w:r w:rsidRPr="00B47DAF">
        <w:rPr>
          <w:b/>
          <w:bCs/>
        </w:rPr>
        <w:t>sEH</w:t>
      </w:r>
      <w:proofErr w:type="spellEnd"/>
      <w:r w:rsidRPr="00B47DAF">
        <w:rPr>
          <w:b/>
          <w:bCs/>
        </w:rPr>
        <w:t xml:space="preserve"> CTD catalytic site (residues Y383, Y466, D335, D496, H524) in each simulation system (Apo, PTG423, PTG522). </w:t>
      </w:r>
      <w:r w:rsidRPr="00B47DAF">
        <w:t xml:space="preserve">(A–B) Shortest pathway of communication from the allosteric site (A) C522 or (B) C423 to the catalytic center of </w:t>
      </w:r>
      <w:proofErr w:type="spellStart"/>
      <w:r w:rsidRPr="00B47DAF">
        <w:t>sEH</w:t>
      </w:r>
      <w:proofErr w:type="spellEnd"/>
      <w:r w:rsidRPr="00B47DAF">
        <w:t xml:space="preserve"> CTD. The allosteric sites, intermediate fragments, and catalytic sites are colored in blue, green, and red, respectively. Thickness of pathway indicates correlation strength. Key protein regions in each system are labelled and highlighted by dashed lines.</w:t>
      </w:r>
    </w:p>
    <w:p w14:paraId="363C216B" w14:textId="61A543CB" w:rsidR="00B47DAF" w:rsidRDefault="00B47DAF">
      <w:pPr>
        <w:rPr>
          <w:lang w:eastAsia="zh-CN"/>
        </w:rPr>
      </w:pPr>
      <w:r>
        <w:rPr>
          <w:lang w:eastAsia="zh-CN"/>
        </w:rPr>
        <w:br w:type="page"/>
      </w:r>
    </w:p>
    <w:p w14:paraId="1C26BC82" w14:textId="2ECCD2F3" w:rsidR="00F044C6" w:rsidRDefault="00B47DAF" w:rsidP="00477182">
      <w:pPr>
        <w:pStyle w:val="SMcaption"/>
        <w:rPr>
          <w:lang w:eastAsia="zh-CN"/>
        </w:rPr>
      </w:pPr>
      <w:r w:rsidRPr="0040362C">
        <w:rPr>
          <w:rFonts w:ascii="Arial" w:hAnsi="Arial" w:cs="Arial"/>
          <w:noProof/>
          <w:sz w:val="22"/>
          <w:szCs w:val="22"/>
        </w:rPr>
        <w:lastRenderedPageBreak/>
        <w:drawing>
          <wp:inline distT="0" distB="0" distL="0" distR="0" wp14:anchorId="02C58341" wp14:editId="6E491952">
            <wp:extent cx="5731510" cy="1435735"/>
            <wp:effectExtent l="0" t="0" r="0" b="0"/>
            <wp:docPr id="342973406" name="Picture 6"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73406" name="Picture 6" descr="A graph of a graph of a graph of a graph of a graph of a graph of a graph of a graph of a graph of a graph of a graph of a graph of a graph of&#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1435735"/>
                    </a:xfrm>
                    <a:prstGeom prst="rect">
                      <a:avLst/>
                    </a:prstGeom>
                  </pic:spPr>
                </pic:pic>
              </a:graphicData>
            </a:graphic>
          </wp:inline>
        </w:drawing>
      </w:r>
    </w:p>
    <w:p w14:paraId="53D11CCD" w14:textId="34CD8449" w:rsidR="00F044C6" w:rsidRDefault="00B47DAF" w:rsidP="00477182">
      <w:pPr>
        <w:pStyle w:val="SMcaption"/>
        <w:rPr>
          <w:lang w:eastAsia="zh-CN"/>
        </w:rPr>
      </w:pPr>
      <w:r w:rsidRPr="00B47DAF">
        <w:rPr>
          <w:b/>
          <w:bCs/>
        </w:rPr>
        <w:t xml:space="preserve">Supplementary Figure S5. Data point selection for Single Injection Method (SIM) Isothermal Titration Calorimetry (ITC) kinetic analysis. </w:t>
      </w:r>
      <w:r w:rsidRPr="00B47DAF">
        <w:t xml:space="preserve">(A-D) Representative windows used for fitting of Michaelis–Menten kinetic curves in SIM ITC experiments with 14(15)-EET titration into </w:t>
      </w:r>
      <w:proofErr w:type="spellStart"/>
      <w:r w:rsidRPr="00B47DAF">
        <w:t>sEH</w:t>
      </w:r>
      <w:proofErr w:type="spellEnd"/>
      <w:r w:rsidRPr="00B47DAF">
        <w:t xml:space="preserve"> CTD (A) WT, (B) C423S, (C) C423S (in presence of Cu</w:t>
      </w:r>
      <w:r w:rsidRPr="00B47DAF">
        <w:rPr>
          <w:vertAlign w:val="superscript"/>
        </w:rPr>
        <w:t>2+</w:t>
      </w:r>
      <w:r w:rsidRPr="00B47DAF">
        <w:t>), and (D) C522S. Grey window indicates selected data points, start and end of the window are corresponding to saturated enzyme condition and start of kinetics curve, respectively. Initial injection peaks are excluded.</w:t>
      </w:r>
    </w:p>
    <w:p w14:paraId="55FB14FE" w14:textId="1C61299F" w:rsidR="00B47DAF" w:rsidRDefault="00B47DAF">
      <w:pPr>
        <w:rPr>
          <w:lang w:eastAsia="zh-CN"/>
        </w:rPr>
      </w:pPr>
      <w:r>
        <w:rPr>
          <w:lang w:eastAsia="zh-CN"/>
        </w:rPr>
        <w:br w:type="page"/>
      </w:r>
    </w:p>
    <w:p w14:paraId="568667F7" w14:textId="77777777" w:rsidR="00B47DAF" w:rsidRDefault="00B47DAF" w:rsidP="00477182">
      <w:pPr>
        <w:pStyle w:val="SMcaption"/>
        <w:rPr>
          <w:lang w:eastAsia="zh-CN"/>
        </w:rPr>
      </w:pPr>
    </w:p>
    <w:p w14:paraId="16966F07" w14:textId="7647A98A" w:rsidR="009A5287" w:rsidRPr="00B47DAF" w:rsidRDefault="00B47DAF" w:rsidP="00477182">
      <w:pPr>
        <w:pStyle w:val="SMcaption"/>
      </w:pPr>
      <w:r w:rsidRPr="00B47DAF">
        <w:rPr>
          <w:b/>
          <w:bCs/>
          <w:kern w:val="32"/>
          <w:szCs w:val="24"/>
        </w:rPr>
        <w:t xml:space="preserve">Supplementary Table </w:t>
      </w:r>
      <w:r w:rsidR="00F93671">
        <w:rPr>
          <w:rFonts w:hint="eastAsia"/>
          <w:b/>
          <w:bCs/>
          <w:kern w:val="32"/>
          <w:szCs w:val="24"/>
          <w:lang w:eastAsia="zh-CN"/>
        </w:rPr>
        <w:t>S</w:t>
      </w:r>
      <w:r w:rsidRPr="00B47DAF">
        <w:rPr>
          <w:b/>
          <w:bCs/>
          <w:kern w:val="32"/>
          <w:szCs w:val="24"/>
        </w:rPr>
        <w:t xml:space="preserve">1. Forward (F) and Reverse (R) primers for mutagenesis. </w:t>
      </w:r>
      <w:r w:rsidRPr="00B47DAF">
        <w:rPr>
          <w:kern w:val="32"/>
          <w:szCs w:val="24"/>
        </w:rPr>
        <w:t xml:space="preserve">The mutation sites are highlighted in bold. </w:t>
      </w:r>
    </w:p>
    <w:tbl>
      <w:tblPr>
        <w:tblStyle w:val="TableGrid"/>
        <w:tblW w:w="0" w:type="auto"/>
        <w:tblInd w:w="1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4732"/>
      </w:tblGrid>
      <w:tr w:rsidR="00B47DAF" w:rsidRPr="00FE0CC8" w14:paraId="2C5BA495" w14:textId="77777777" w:rsidTr="007646E3">
        <w:tc>
          <w:tcPr>
            <w:tcW w:w="2067" w:type="dxa"/>
            <w:tcBorders>
              <w:top w:val="single" w:sz="4" w:space="0" w:color="auto"/>
              <w:bottom w:val="single" w:sz="4" w:space="0" w:color="auto"/>
            </w:tcBorders>
            <w:vAlign w:val="center"/>
          </w:tcPr>
          <w:p w14:paraId="1B42863C" w14:textId="77777777" w:rsidR="00B47DAF" w:rsidRPr="00FE0CC8" w:rsidRDefault="00B47DAF" w:rsidP="007646E3">
            <w:pPr>
              <w:jc w:val="center"/>
              <w:rPr>
                <w:rFonts w:ascii="Times New Roman" w:hAnsi="Times New Roman" w:cs="Times New Roman"/>
                <w:b/>
                <w:bCs/>
                <w:sz w:val="22"/>
                <w:szCs w:val="22"/>
                <w:lang w:val="en-US"/>
              </w:rPr>
            </w:pPr>
            <w:r w:rsidRPr="00FE0CC8">
              <w:rPr>
                <w:rFonts w:ascii="Times New Roman" w:hAnsi="Times New Roman" w:cs="Times New Roman"/>
                <w:b/>
                <w:bCs/>
                <w:sz w:val="22"/>
                <w:szCs w:val="22"/>
                <w:lang w:val="en-US"/>
              </w:rPr>
              <w:t>Mutation Site</w:t>
            </w:r>
          </w:p>
        </w:tc>
        <w:tc>
          <w:tcPr>
            <w:tcW w:w="4732" w:type="dxa"/>
            <w:tcBorders>
              <w:top w:val="single" w:sz="4" w:space="0" w:color="auto"/>
              <w:bottom w:val="single" w:sz="4" w:space="0" w:color="auto"/>
            </w:tcBorders>
            <w:vAlign w:val="center"/>
          </w:tcPr>
          <w:p w14:paraId="622479A5" w14:textId="77777777" w:rsidR="00B47DAF" w:rsidRPr="00FE0CC8" w:rsidRDefault="00B47DAF" w:rsidP="007646E3">
            <w:pPr>
              <w:jc w:val="center"/>
              <w:rPr>
                <w:rFonts w:ascii="Times New Roman" w:hAnsi="Times New Roman" w:cs="Times New Roman"/>
                <w:b/>
                <w:bCs/>
                <w:sz w:val="22"/>
                <w:szCs w:val="22"/>
                <w:lang w:val="en-US"/>
              </w:rPr>
            </w:pPr>
            <w:r w:rsidRPr="00FE0CC8">
              <w:rPr>
                <w:rFonts w:ascii="Times New Roman" w:hAnsi="Times New Roman" w:cs="Times New Roman"/>
                <w:b/>
                <w:bCs/>
                <w:sz w:val="22"/>
                <w:szCs w:val="22"/>
                <w:lang w:val="en-US"/>
              </w:rPr>
              <w:t>Primer</w:t>
            </w:r>
          </w:p>
        </w:tc>
      </w:tr>
      <w:tr w:rsidR="00B47DAF" w:rsidRPr="00FE0CC8" w14:paraId="1B4362BC" w14:textId="77777777" w:rsidTr="007646E3">
        <w:tc>
          <w:tcPr>
            <w:tcW w:w="2067" w:type="dxa"/>
            <w:vMerge w:val="restart"/>
            <w:tcBorders>
              <w:top w:val="single" w:sz="4" w:space="0" w:color="auto"/>
            </w:tcBorders>
            <w:vAlign w:val="center"/>
          </w:tcPr>
          <w:p w14:paraId="52C5A259"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C423S</w:t>
            </w:r>
          </w:p>
        </w:tc>
        <w:tc>
          <w:tcPr>
            <w:tcW w:w="4732" w:type="dxa"/>
            <w:tcBorders>
              <w:top w:val="single" w:sz="4" w:space="0" w:color="auto"/>
            </w:tcBorders>
            <w:vAlign w:val="center"/>
          </w:tcPr>
          <w:p w14:paraId="02F20F58"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(F) CATAAAGTCT</w:t>
            </w:r>
            <w:r w:rsidRPr="00FE0CC8">
              <w:rPr>
                <w:rFonts w:ascii="Times New Roman" w:hAnsi="Times New Roman" w:cs="Times New Roman"/>
                <w:b/>
                <w:bCs/>
                <w:sz w:val="22"/>
                <w:szCs w:val="22"/>
                <w:lang w:val="en-US"/>
              </w:rPr>
              <w:t>C</w:t>
            </w:r>
            <w:r w:rsidRPr="00FE0CC8">
              <w:rPr>
                <w:rFonts w:ascii="Times New Roman" w:hAnsi="Times New Roman" w:cs="Times New Roman"/>
                <w:sz w:val="22"/>
                <w:szCs w:val="22"/>
                <w:lang w:val="en-US"/>
              </w:rPr>
              <w:t>TGAAGCGGGAG</w:t>
            </w:r>
          </w:p>
        </w:tc>
      </w:tr>
      <w:tr w:rsidR="00B47DAF" w:rsidRPr="00FE0CC8" w14:paraId="3252D561" w14:textId="77777777" w:rsidTr="007646E3">
        <w:tc>
          <w:tcPr>
            <w:tcW w:w="2067" w:type="dxa"/>
            <w:vMerge/>
            <w:vAlign w:val="center"/>
          </w:tcPr>
          <w:p w14:paraId="032F8FE2" w14:textId="77777777" w:rsidR="00B47DAF" w:rsidRPr="00FE0CC8" w:rsidRDefault="00B47DAF" w:rsidP="007646E3">
            <w:pPr>
              <w:jc w:val="center"/>
              <w:rPr>
                <w:rFonts w:ascii="Times New Roman" w:hAnsi="Times New Roman" w:cs="Times New Roman"/>
                <w:sz w:val="22"/>
                <w:szCs w:val="22"/>
                <w:lang w:val="en-US"/>
              </w:rPr>
            </w:pPr>
          </w:p>
        </w:tc>
        <w:tc>
          <w:tcPr>
            <w:tcW w:w="4732" w:type="dxa"/>
            <w:vAlign w:val="center"/>
          </w:tcPr>
          <w:p w14:paraId="52AF8374"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(R) CATGGATAAAACACTCTCATC</w:t>
            </w:r>
          </w:p>
        </w:tc>
      </w:tr>
      <w:tr w:rsidR="00B47DAF" w:rsidRPr="00FE0CC8" w14:paraId="577B756C" w14:textId="77777777" w:rsidTr="007646E3">
        <w:tc>
          <w:tcPr>
            <w:tcW w:w="2067" w:type="dxa"/>
            <w:vMerge w:val="restart"/>
            <w:vAlign w:val="center"/>
          </w:tcPr>
          <w:p w14:paraId="2ED0CBB9"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R410A</w:t>
            </w:r>
          </w:p>
        </w:tc>
        <w:tc>
          <w:tcPr>
            <w:tcW w:w="4732" w:type="dxa"/>
            <w:vAlign w:val="center"/>
          </w:tcPr>
          <w:p w14:paraId="1B2437C0"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(F) AAGCCTCTTC</w:t>
            </w:r>
            <w:r w:rsidRPr="00FE0CC8">
              <w:rPr>
                <w:rFonts w:ascii="Times New Roman" w:hAnsi="Times New Roman" w:cs="Times New Roman"/>
                <w:b/>
                <w:bCs/>
                <w:sz w:val="22"/>
                <w:szCs w:val="22"/>
                <w:lang w:val="en-US"/>
              </w:rPr>
              <w:t>GCG</w:t>
            </w:r>
            <w:r w:rsidRPr="00FE0CC8">
              <w:rPr>
                <w:rFonts w:ascii="Times New Roman" w:hAnsi="Times New Roman" w:cs="Times New Roman"/>
                <w:sz w:val="22"/>
                <w:szCs w:val="22"/>
                <w:lang w:val="en-US"/>
              </w:rPr>
              <w:t>GCAAGCGATG</w:t>
            </w:r>
          </w:p>
        </w:tc>
      </w:tr>
      <w:tr w:rsidR="00B47DAF" w:rsidRPr="00FE0CC8" w14:paraId="36F6D3FA" w14:textId="77777777" w:rsidTr="007646E3">
        <w:tc>
          <w:tcPr>
            <w:tcW w:w="2067" w:type="dxa"/>
            <w:vMerge/>
            <w:vAlign w:val="center"/>
          </w:tcPr>
          <w:p w14:paraId="3654A4AD" w14:textId="77777777" w:rsidR="00B47DAF" w:rsidRPr="00FE0CC8" w:rsidRDefault="00B47DAF" w:rsidP="007646E3">
            <w:pPr>
              <w:jc w:val="center"/>
              <w:rPr>
                <w:rFonts w:ascii="Times New Roman" w:hAnsi="Times New Roman" w:cs="Times New Roman"/>
                <w:sz w:val="22"/>
                <w:szCs w:val="22"/>
                <w:lang w:val="en-US"/>
              </w:rPr>
            </w:pPr>
          </w:p>
        </w:tc>
        <w:tc>
          <w:tcPr>
            <w:tcW w:w="4732" w:type="dxa"/>
            <w:vAlign w:val="center"/>
          </w:tcPr>
          <w:p w14:paraId="683E3EA9"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(R) TTGAAAGTCCGACTCAG</w:t>
            </w:r>
          </w:p>
        </w:tc>
      </w:tr>
      <w:tr w:rsidR="00B47DAF" w:rsidRPr="00FE0CC8" w14:paraId="50BE8461" w14:textId="77777777" w:rsidTr="007646E3">
        <w:tc>
          <w:tcPr>
            <w:tcW w:w="2067" w:type="dxa"/>
            <w:vMerge w:val="restart"/>
            <w:vAlign w:val="center"/>
          </w:tcPr>
          <w:p w14:paraId="362EFDF4"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S439A/R440A</w:t>
            </w:r>
          </w:p>
        </w:tc>
        <w:tc>
          <w:tcPr>
            <w:tcW w:w="4732" w:type="dxa"/>
            <w:vAlign w:val="center"/>
          </w:tcPr>
          <w:p w14:paraId="43D15534"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(F) CAGCCTC</w:t>
            </w:r>
            <w:r w:rsidRPr="00FE0CC8">
              <w:rPr>
                <w:rFonts w:ascii="Times New Roman" w:hAnsi="Times New Roman" w:cs="Times New Roman"/>
                <w:b/>
                <w:bCs/>
                <w:sz w:val="22"/>
                <w:szCs w:val="22"/>
                <w:lang w:val="en-US"/>
              </w:rPr>
              <w:t>GCGGCG</w:t>
            </w:r>
            <w:r w:rsidRPr="00FE0CC8">
              <w:rPr>
                <w:rFonts w:ascii="Times New Roman" w:hAnsi="Times New Roman" w:cs="Times New Roman"/>
                <w:sz w:val="22"/>
                <w:szCs w:val="22"/>
                <w:lang w:val="en-US"/>
              </w:rPr>
              <w:t>ATGGTCACTG</w:t>
            </w:r>
          </w:p>
        </w:tc>
      </w:tr>
      <w:tr w:rsidR="00B47DAF" w:rsidRPr="00FE0CC8" w14:paraId="04234C9B" w14:textId="77777777" w:rsidTr="007646E3">
        <w:tc>
          <w:tcPr>
            <w:tcW w:w="2067" w:type="dxa"/>
            <w:vMerge/>
            <w:vAlign w:val="center"/>
          </w:tcPr>
          <w:p w14:paraId="37E96AEF" w14:textId="77777777" w:rsidR="00B47DAF" w:rsidRPr="00FE0CC8" w:rsidRDefault="00B47DAF" w:rsidP="007646E3">
            <w:pPr>
              <w:jc w:val="center"/>
              <w:rPr>
                <w:rFonts w:ascii="Times New Roman" w:hAnsi="Times New Roman" w:cs="Times New Roman"/>
                <w:sz w:val="22"/>
                <w:szCs w:val="22"/>
                <w:lang w:val="en-US"/>
              </w:rPr>
            </w:pPr>
          </w:p>
        </w:tc>
        <w:tc>
          <w:tcPr>
            <w:tcW w:w="4732" w:type="dxa"/>
            <w:vAlign w:val="center"/>
          </w:tcPr>
          <w:p w14:paraId="10B829AB"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(R) TTGAAAGTCCGACTCAG</w:t>
            </w:r>
          </w:p>
        </w:tc>
      </w:tr>
      <w:tr w:rsidR="00B47DAF" w:rsidRPr="00FE0CC8" w14:paraId="31C784BA" w14:textId="77777777" w:rsidTr="007646E3">
        <w:tc>
          <w:tcPr>
            <w:tcW w:w="2067" w:type="dxa"/>
            <w:vMerge w:val="restart"/>
            <w:vAlign w:val="center"/>
          </w:tcPr>
          <w:p w14:paraId="593E94B9"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K495A</w:t>
            </w:r>
          </w:p>
        </w:tc>
        <w:tc>
          <w:tcPr>
            <w:tcW w:w="4732" w:type="dxa"/>
            <w:vAlign w:val="center"/>
          </w:tcPr>
          <w:p w14:paraId="50DC62CF"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(F) CACGGCGGAG</w:t>
            </w:r>
            <w:r w:rsidRPr="00FE0CC8">
              <w:rPr>
                <w:rFonts w:ascii="Times New Roman" w:hAnsi="Times New Roman" w:cs="Times New Roman"/>
                <w:b/>
                <w:bCs/>
                <w:sz w:val="22"/>
                <w:szCs w:val="22"/>
                <w:lang w:val="en-US"/>
              </w:rPr>
              <w:t>GCG</w:t>
            </w:r>
            <w:r w:rsidRPr="00FE0CC8">
              <w:rPr>
                <w:rFonts w:ascii="Times New Roman" w:hAnsi="Times New Roman" w:cs="Times New Roman"/>
                <w:sz w:val="22"/>
                <w:szCs w:val="22"/>
                <w:lang w:val="en-US"/>
              </w:rPr>
              <w:t>GACTTCGTGC</w:t>
            </w:r>
          </w:p>
        </w:tc>
      </w:tr>
      <w:tr w:rsidR="00B47DAF" w:rsidRPr="00FE0CC8" w14:paraId="6361486D" w14:textId="77777777" w:rsidTr="007646E3">
        <w:tc>
          <w:tcPr>
            <w:tcW w:w="2067" w:type="dxa"/>
            <w:vMerge/>
            <w:tcBorders>
              <w:bottom w:val="single" w:sz="4" w:space="0" w:color="auto"/>
            </w:tcBorders>
            <w:vAlign w:val="center"/>
          </w:tcPr>
          <w:p w14:paraId="4E3BB221" w14:textId="77777777" w:rsidR="00B47DAF" w:rsidRPr="00FE0CC8" w:rsidRDefault="00B47DAF" w:rsidP="007646E3">
            <w:pPr>
              <w:jc w:val="center"/>
              <w:rPr>
                <w:rFonts w:ascii="Times New Roman" w:hAnsi="Times New Roman" w:cs="Times New Roman"/>
                <w:sz w:val="22"/>
                <w:szCs w:val="22"/>
                <w:lang w:val="en-US"/>
              </w:rPr>
            </w:pPr>
          </w:p>
        </w:tc>
        <w:tc>
          <w:tcPr>
            <w:tcW w:w="4732" w:type="dxa"/>
            <w:tcBorders>
              <w:bottom w:val="single" w:sz="4" w:space="0" w:color="auto"/>
            </w:tcBorders>
            <w:vAlign w:val="center"/>
          </w:tcPr>
          <w:p w14:paraId="632D7EAB" w14:textId="77777777" w:rsidR="00B47DAF" w:rsidRPr="00FE0CC8" w:rsidRDefault="00B47DAF" w:rsidP="007646E3">
            <w:pPr>
              <w:jc w:val="center"/>
              <w:rPr>
                <w:rFonts w:ascii="Times New Roman" w:hAnsi="Times New Roman" w:cs="Times New Roman"/>
                <w:sz w:val="22"/>
                <w:szCs w:val="22"/>
                <w:lang w:val="en-US"/>
              </w:rPr>
            </w:pPr>
            <w:r w:rsidRPr="00FE0CC8">
              <w:rPr>
                <w:rFonts w:ascii="Times New Roman" w:hAnsi="Times New Roman" w:cs="Times New Roman"/>
                <w:sz w:val="22"/>
                <w:szCs w:val="22"/>
                <w:lang w:val="en-US"/>
              </w:rPr>
              <w:t>(R) ACCATCAGGGCCGGA</w:t>
            </w:r>
          </w:p>
        </w:tc>
      </w:tr>
    </w:tbl>
    <w:p w14:paraId="37F107C1" w14:textId="30798785" w:rsidR="00B47DAF" w:rsidRDefault="00B47DAF" w:rsidP="00477182">
      <w:pPr>
        <w:pStyle w:val="SMcaption"/>
      </w:pPr>
    </w:p>
    <w:p w14:paraId="4150CCDD" w14:textId="77777777" w:rsidR="00B47DAF" w:rsidRDefault="00B47DAF">
      <w:r>
        <w:br w:type="page"/>
      </w:r>
    </w:p>
    <w:p w14:paraId="51F7F4DC" w14:textId="77777777" w:rsidR="00D766F1" w:rsidRDefault="00D766F1" w:rsidP="00477182">
      <w:pPr>
        <w:pStyle w:val="SMcaption"/>
      </w:pPr>
    </w:p>
    <w:p w14:paraId="3017C427" w14:textId="156B6C7C" w:rsidR="00B47DAF" w:rsidRDefault="00B47DAF" w:rsidP="00B9440A">
      <w:pPr>
        <w:pStyle w:val="SMcaption"/>
        <w:rPr>
          <w:b/>
          <w:bCs/>
          <w:kern w:val="32"/>
          <w:szCs w:val="24"/>
          <w:lang w:eastAsia="zh-CN"/>
        </w:rPr>
      </w:pPr>
      <w:r w:rsidRPr="00B47DAF">
        <w:rPr>
          <w:b/>
          <w:bCs/>
          <w:kern w:val="32"/>
          <w:szCs w:val="24"/>
        </w:rPr>
        <w:t>Supplementary Video S1</w:t>
      </w:r>
      <w:r>
        <w:rPr>
          <w:b/>
          <w:bCs/>
          <w:kern w:val="32"/>
          <w:szCs w:val="24"/>
          <w:lang w:eastAsia="zh-CN"/>
        </w:rPr>
        <w:t>.</w:t>
      </w:r>
    </w:p>
    <w:p w14:paraId="55B2FB42" w14:textId="29E422CC" w:rsidR="00B9440A" w:rsidRDefault="00B47DAF" w:rsidP="00B9440A">
      <w:pPr>
        <w:pStyle w:val="SMcaption"/>
      </w:pPr>
      <w:r w:rsidRPr="00B47DAF">
        <w:t>Movies of representative REMD simulation trajectories capturing new protein-ligand conformations in (A) PTG423 and (B) PTG522.</w:t>
      </w:r>
    </w:p>
    <w:p w14:paraId="10BF7DE9" w14:textId="77777777" w:rsidR="00B9440A" w:rsidRPr="00015F74" w:rsidRDefault="00B9440A" w:rsidP="00B9440A">
      <w:pPr>
        <w:pStyle w:val="SMcaption"/>
      </w:pPr>
    </w:p>
    <w:sectPr w:rsidR="00B9440A" w:rsidRPr="00015F74" w:rsidSect="00E853D5">
      <w:headerReference w:type="default" r:id="rId16"/>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4BC0C" w14:textId="77777777" w:rsidR="00415F19" w:rsidRDefault="00415F19">
      <w:r>
        <w:separator/>
      </w:r>
    </w:p>
  </w:endnote>
  <w:endnote w:type="continuationSeparator" w:id="0">
    <w:p w14:paraId="46F01166" w14:textId="77777777" w:rsidR="00415F19" w:rsidRDefault="00415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97C58" w14:textId="77777777" w:rsidR="00415F19" w:rsidRDefault="00415F19">
      <w:r>
        <w:separator/>
      </w:r>
    </w:p>
  </w:footnote>
  <w:footnote w:type="continuationSeparator" w:id="0">
    <w:p w14:paraId="532903F5" w14:textId="77777777" w:rsidR="00415F19" w:rsidRDefault="00415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oNotDisplayPageBoundarie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66D0C"/>
    <w:rsid w:val="00083B44"/>
    <w:rsid w:val="000850DC"/>
    <w:rsid w:val="000C07BF"/>
    <w:rsid w:val="000C2771"/>
    <w:rsid w:val="000D46F4"/>
    <w:rsid w:val="000F0DCE"/>
    <w:rsid w:val="000F6BE3"/>
    <w:rsid w:val="00112C5B"/>
    <w:rsid w:val="00114193"/>
    <w:rsid w:val="00115A38"/>
    <w:rsid w:val="0011687B"/>
    <w:rsid w:val="00124F82"/>
    <w:rsid w:val="00136142"/>
    <w:rsid w:val="0016337A"/>
    <w:rsid w:val="00164269"/>
    <w:rsid w:val="001A1BDE"/>
    <w:rsid w:val="001B13CE"/>
    <w:rsid w:val="001F0876"/>
    <w:rsid w:val="001F167C"/>
    <w:rsid w:val="001F2044"/>
    <w:rsid w:val="001F5E91"/>
    <w:rsid w:val="002077B9"/>
    <w:rsid w:val="00262D72"/>
    <w:rsid w:val="00294FBB"/>
    <w:rsid w:val="002C030F"/>
    <w:rsid w:val="002F0FB6"/>
    <w:rsid w:val="0030415E"/>
    <w:rsid w:val="0031671A"/>
    <w:rsid w:val="00331D75"/>
    <w:rsid w:val="00355362"/>
    <w:rsid w:val="00363E44"/>
    <w:rsid w:val="003659A8"/>
    <w:rsid w:val="003669F9"/>
    <w:rsid w:val="00392402"/>
    <w:rsid w:val="00393BAB"/>
    <w:rsid w:val="00395E86"/>
    <w:rsid w:val="003A2FD8"/>
    <w:rsid w:val="003B40E6"/>
    <w:rsid w:val="003D29A1"/>
    <w:rsid w:val="003E74FB"/>
    <w:rsid w:val="003F5904"/>
    <w:rsid w:val="003F6E14"/>
    <w:rsid w:val="00405336"/>
    <w:rsid w:val="00415F19"/>
    <w:rsid w:val="00435ABE"/>
    <w:rsid w:val="004571D5"/>
    <w:rsid w:val="00461D81"/>
    <w:rsid w:val="0046356B"/>
    <w:rsid w:val="00477182"/>
    <w:rsid w:val="004779CB"/>
    <w:rsid w:val="004A6F57"/>
    <w:rsid w:val="004D0135"/>
    <w:rsid w:val="004E42D8"/>
    <w:rsid w:val="004E7BA2"/>
    <w:rsid w:val="004F7EDF"/>
    <w:rsid w:val="005001AC"/>
    <w:rsid w:val="00527D71"/>
    <w:rsid w:val="00533910"/>
    <w:rsid w:val="005520A8"/>
    <w:rsid w:val="00555FE2"/>
    <w:rsid w:val="005607DD"/>
    <w:rsid w:val="005A558C"/>
    <w:rsid w:val="005D003F"/>
    <w:rsid w:val="005D712F"/>
    <w:rsid w:val="005E28F8"/>
    <w:rsid w:val="005E6513"/>
    <w:rsid w:val="00607E8E"/>
    <w:rsid w:val="00632CA3"/>
    <w:rsid w:val="00651114"/>
    <w:rsid w:val="00664560"/>
    <w:rsid w:val="00670299"/>
    <w:rsid w:val="00691985"/>
    <w:rsid w:val="00697611"/>
    <w:rsid w:val="006A1B64"/>
    <w:rsid w:val="006C642F"/>
    <w:rsid w:val="007108F5"/>
    <w:rsid w:val="00713E5B"/>
    <w:rsid w:val="007402FC"/>
    <w:rsid w:val="007411A1"/>
    <w:rsid w:val="00793072"/>
    <w:rsid w:val="007C45B3"/>
    <w:rsid w:val="007E2786"/>
    <w:rsid w:val="00807D35"/>
    <w:rsid w:val="008218C4"/>
    <w:rsid w:val="00867A98"/>
    <w:rsid w:val="00870867"/>
    <w:rsid w:val="00885C9B"/>
    <w:rsid w:val="008D5D2A"/>
    <w:rsid w:val="00914B63"/>
    <w:rsid w:val="009354F3"/>
    <w:rsid w:val="009447DC"/>
    <w:rsid w:val="00945471"/>
    <w:rsid w:val="00950234"/>
    <w:rsid w:val="00961BA5"/>
    <w:rsid w:val="009743A9"/>
    <w:rsid w:val="009A5287"/>
    <w:rsid w:val="009A7C5F"/>
    <w:rsid w:val="009B2AC5"/>
    <w:rsid w:val="009B4682"/>
    <w:rsid w:val="009B7984"/>
    <w:rsid w:val="009F4BED"/>
    <w:rsid w:val="009F7D93"/>
    <w:rsid w:val="00A02E0C"/>
    <w:rsid w:val="00A3403B"/>
    <w:rsid w:val="00A51A12"/>
    <w:rsid w:val="00A53A78"/>
    <w:rsid w:val="00A56C92"/>
    <w:rsid w:val="00A627D4"/>
    <w:rsid w:val="00A74DA2"/>
    <w:rsid w:val="00A77632"/>
    <w:rsid w:val="00AB399E"/>
    <w:rsid w:val="00AC59D0"/>
    <w:rsid w:val="00AD16B1"/>
    <w:rsid w:val="00AD499C"/>
    <w:rsid w:val="00AE10DA"/>
    <w:rsid w:val="00B01F5C"/>
    <w:rsid w:val="00B36869"/>
    <w:rsid w:val="00B43B31"/>
    <w:rsid w:val="00B47CFA"/>
    <w:rsid w:val="00B47DAF"/>
    <w:rsid w:val="00B574A3"/>
    <w:rsid w:val="00B578E1"/>
    <w:rsid w:val="00B57F00"/>
    <w:rsid w:val="00B63245"/>
    <w:rsid w:val="00B73C69"/>
    <w:rsid w:val="00B77B2A"/>
    <w:rsid w:val="00B82C22"/>
    <w:rsid w:val="00B91456"/>
    <w:rsid w:val="00B93DBA"/>
    <w:rsid w:val="00B9440A"/>
    <w:rsid w:val="00BB2D2A"/>
    <w:rsid w:val="00BC290E"/>
    <w:rsid w:val="00BC3E04"/>
    <w:rsid w:val="00BD58CF"/>
    <w:rsid w:val="00BF0C92"/>
    <w:rsid w:val="00C04CC1"/>
    <w:rsid w:val="00C4096C"/>
    <w:rsid w:val="00C50C6D"/>
    <w:rsid w:val="00C600D9"/>
    <w:rsid w:val="00C92B22"/>
    <w:rsid w:val="00CB0B17"/>
    <w:rsid w:val="00CC1384"/>
    <w:rsid w:val="00CD3720"/>
    <w:rsid w:val="00CF1848"/>
    <w:rsid w:val="00CF5C2F"/>
    <w:rsid w:val="00D04BCF"/>
    <w:rsid w:val="00D11A56"/>
    <w:rsid w:val="00D143D9"/>
    <w:rsid w:val="00D30C95"/>
    <w:rsid w:val="00D51C15"/>
    <w:rsid w:val="00D5511B"/>
    <w:rsid w:val="00D766F1"/>
    <w:rsid w:val="00DD2E17"/>
    <w:rsid w:val="00DF7D88"/>
    <w:rsid w:val="00E257C8"/>
    <w:rsid w:val="00E40A10"/>
    <w:rsid w:val="00E41512"/>
    <w:rsid w:val="00E4519A"/>
    <w:rsid w:val="00E853D5"/>
    <w:rsid w:val="00E9773B"/>
    <w:rsid w:val="00EA6F42"/>
    <w:rsid w:val="00EC13A3"/>
    <w:rsid w:val="00EC7C85"/>
    <w:rsid w:val="00ED2CBE"/>
    <w:rsid w:val="00F044C6"/>
    <w:rsid w:val="00F125EE"/>
    <w:rsid w:val="00F12E98"/>
    <w:rsid w:val="00F22029"/>
    <w:rsid w:val="00F515FB"/>
    <w:rsid w:val="00F630EA"/>
    <w:rsid w:val="00F7007E"/>
    <w:rsid w:val="00F73193"/>
    <w:rsid w:val="00F74F95"/>
    <w:rsid w:val="00F80705"/>
    <w:rsid w:val="00F93671"/>
    <w:rsid w:val="00FA1481"/>
    <w:rsid w:val="00FE0CC8"/>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table" w:styleId="TableGrid">
    <w:name w:val="Table Grid"/>
    <w:basedOn w:val="TableNormal"/>
    <w:uiPriority w:val="39"/>
    <w:rsid w:val="00B47DAF"/>
    <w:rPr>
      <w:rFonts w:asciiTheme="minorHAnsi" w:eastAsiaTheme="minorEastAsia" w:hAnsiTheme="minorHAnsi" w:cstheme="minorBidi"/>
      <w:kern w:val="2"/>
      <w:sz w:val="24"/>
      <w:szCs w:val="24"/>
      <w:lang w:val="en-GB"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sasi.conte@kcl.ac.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3.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533</Words>
  <Characters>3162</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Qiongju Qiu</cp:lastModifiedBy>
  <cp:revision>2</cp:revision>
  <cp:lastPrinted>2018-01-11T19:53:00Z</cp:lastPrinted>
  <dcterms:created xsi:type="dcterms:W3CDTF">2025-11-03T11:27:00Z</dcterms:created>
  <dcterms:modified xsi:type="dcterms:W3CDTF">2025-11-03T11:27:00Z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