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2063C" w14:textId="77777777" w:rsidR="00D363FD" w:rsidRDefault="00D363FD" w:rsidP="00D363FD">
      <w:pPr>
        <w:pStyle w:val="Heading2"/>
        <w:spacing w:line="360" w:lineRule="auto"/>
        <w:jc w:val="both"/>
        <w:rPr>
          <w:rFonts w:ascii="Times New Roman" w:eastAsia="Times New Roman" w:hAnsi="Times New Roman" w:cs="Times New Roman"/>
        </w:rPr>
      </w:pPr>
      <w:r>
        <w:rPr>
          <w:rFonts w:ascii="Times New Roman" w:eastAsia="Times New Roman" w:hAnsi="Times New Roman" w:cs="Times New Roman"/>
        </w:rPr>
        <w:t>Appendix A. Seismic Interferometry</w:t>
      </w:r>
    </w:p>
    <w:p w14:paraId="56460629" w14:textId="77777777" w:rsidR="00D363FD" w:rsidRDefault="00D363FD" w:rsidP="00D363FD">
      <w:pPr>
        <w:spacing w:after="20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seismic interferometry method (</w:t>
      </w:r>
      <w:proofErr w:type="spellStart"/>
      <w:r>
        <w:rPr>
          <w:rFonts w:ascii="Times New Roman" w:eastAsia="Times New Roman" w:hAnsi="Times New Roman" w:cs="Times New Roman"/>
          <w:sz w:val="20"/>
          <w:szCs w:val="20"/>
        </w:rPr>
        <w:t>Claerbout</w:t>
      </w:r>
      <w:proofErr w:type="spellEnd"/>
      <w:r>
        <w:rPr>
          <w:rFonts w:ascii="Times New Roman" w:eastAsia="Times New Roman" w:hAnsi="Times New Roman" w:cs="Times New Roman"/>
          <w:sz w:val="20"/>
          <w:szCs w:val="20"/>
        </w:rPr>
        <w:t>, 1968) was used to calculate the shear wave velocity of the building. The technique comes with an assumption that the building behaves as a pure-shear beam (</w:t>
      </w:r>
      <w:proofErr w:type="spellStart"/>
      <w:r>
        <w:rPr>
          <w:rFonts w:ascii="Times New Roman" w:eastAsia="Times New Roman" w:hAnsi="Times New Roman" w:cs="Times New Roman"/>
          <w:sz w:val="20"/>
          <w:szCs w:val="20"/>
        </w:rPr>
        <w:t>Snieder</w:t>
      </w:r>
      <w:proofErr w:type="spellEnd"/>
      <w:r>
        <w:rPr>
          <w:rFonts w:ascii="Times New Roman" w:eastAsia="Times New Roman" w:hAnsi="Times New Roman" w:cs="Times New Roman"/>
          <w:sz w:val="20"/>
          <w:szCs w:val="20"/>
        </w:rPr>
        <w:t xml:space="preserve"> &amp; </w:t>
      </w:r>
      <w:proofErr w:type="spellStart"/>
      <w:r>
        <w:rPr>
          <w:rFonts w:ascii="Times New Roman" w:eastAsia="Times New Roman" w:hAnsi="Times New Roman" w:cs="Times New Roman"/>
          <w:sz w:val="20"/>
          <w:szCs w:val="20"/>
        </w:rPr>
        <w:t>Şafak</w:t>
      </w:r>
      <w:proofErr w:type="spellEnd"/>
      <w:r>
        <w:rPr>
          <w:rFonts w:ascii="Times New Roman" w:eastAsia="Times New Roman" w:hAnsi="Times New Roman" w:cs="Times New Roman"/>
          <w:sz w:val="20"/>
          <w:szCs w:val="20"/>
        </w:rPr>
        <w:t>, 2006), and it is widely used to determine the velocity profile (</w:t>
      </w:r>
      <w:proofErr w:type="spellStart"/>
      <w:r>
        <w:rPr>
          <w:rFonts w:ascii="Times New Roman" w:eastAsia="Times New Roman" w:hAnsi="Times New Roman" w:cs="Times New Roman"/>
          <w:sz w:val="20"/>
          <w:szCs w:val="20"/>
        </w:rPr>
        <w:t>Guéguen</w:t>
      </w:r>
      <w:proofErr w:type="spellEnd"/>
      <w:r>
        <w:rPr>
          <w:rFonts w:ascii="Times New Roman" w:eastAsia="Times New Roman" w:hAnsi="Times New Roman" w:cs="Times New Roman"/>
          <w:sz w:val="20"/>
          <w:szCs w:val="20"/>
        </w:rPr>
        <w:t xml:space="preserve"> et al., 2019; </w:t>
      </w:r>
      <w:proofErr w:type="spellStart"/>
      <w:r>
        <w:rPr>
          <w:rFonts w:ascii="Times New Roman" w:eastAsia="Times New Roman" w:hAnsi="Times New Roman" w:cs="Times New Roman"/>
          <w:sz w:val="20"/>
          <w:szCs w:val="20"/>
        </w:rPr>
        <w:t>Picozzi</w:t>
      </w:r>
      <w:proofErr w:type="spellEnd"/>
      <w:r>
        <w:rPr>
          <w:rFonts w:ascii="Times New Roman" w:eastAsia="Times New Roman" w:hAnsi="Times New Roman" w:cs="Times New Roman"/>
          <w:sz w:val="20"/>
          <w:szCs w:val="20"/>
        </w:rPr>
        <w:t xml:space="preserve"> et al., 2011; </w:t>
      </w:r>
      <w:proofErr w:type="spellStart"/>
      <w:r>
        <w:rPr>
          <w:rFonts w:ascii="Times New Roman" w:eastAsia="Times New Roman" w:hAnsi="Times New Roman" w:cs="Times New Roman"/>
          <w:sz w:val="20"/>
          <w:szCs w:val="20"/>
        </w:rPr>
        <w:t>Rahmani</w:t>
      </w:r>
      <w:proofErr w:type="spellEnd"/>
      <w:r>
        <w:rPr>
          <w:rFonts w:ascii="Times New Roman" w:eastAsia="Times New Roman" w:hAnsi="Times New Roman" w:cs="Times New Roman"/>
          <w:sz w:val="20"/>
          <w:szCs w:val="20"/>
        </w:rPr>
        <w:t xml:space="preserve"> &amp; </w:t>
      </w:r>
      <w:proofErr w:type="spellStart"/>
      <w:r>
        <w:rPr>
          <w:rFonts w:ascii="Times New Roman" w:eastAsia="Times New Roman" w:hAnsi="Times New Roman" w:cs="Times New Roman"/>
          <w:sz w:val="20"/>
          <w:szCs w:val="20"/>
        </w:rPr>
        <w:t>Todorovska</w:t>
      </w:r>
      <w:proofErr w:type="spellEnd"/>
      <w:r>
        <w:rPr>
          <w:rFonts w:ascii="Times New Roman" w:eastAsia="Times New Roman" w:hAnsi="Times New Roman" w:cs="Times New Roman"/>
          <w:sz w:val="20"/>
          <w:szCs w:val="20"/>
        </w:rPr>
        <w:t xml:space="preserve">, 2021; </w:t>
      </w:r>
      <w:proofErr w:type="spellStart"/>
      <w:r>
        <w:rPr>
          <w:rFonts w:ascii="Times New Roman" w:eastAsia="Times New Roman" w:hAnsi="Times New Roman" w:cs="Times New Roman"/>
          <w:sz w:val="20"/>
          <w:szCs w:val="20"/>
        </w:rPr>
        <w:t>Skłodowska</w:t>
      </w:r>
      <w:proofErr w:type="spellEnd"/>
      <w:r>
        <w:rPr>
          <w:rFonts w:ascii="Times New Roman" w:eastAsia="Times New Roman" w:hAnsi="Times New Roman" w:cs="Times New Roman"/>
          <w:sz w:val="20"/>
          <w:szCs w:val="20"/>
        </w:rPr>
        <w:t xml:space="preserve"> et al., 2021, 2023). In our case, we use the station located on the top floor as a reference station to apply the seismic interferometry to create a wave propagation model for the building. In this method, it is assumed that the time delay of the impulse response of the building can provide the velocity between given stations, in our case, the entire vertical profile of the building. The deconvolution is applied by following the equation below:</w:t>
      </w:r>
    </w:p>
    <w:p w14:paraId="576745FC" w14:textId="77777777" w:rsidR="00D363FD" w:rsidRDefault="00D363FD" w:rsidP="00D363FD">
      <w:pPr>
        <w:spacing w:after="200" w:line="360" w:lineRule="auto"/>
        <w:jc w:val="both"/>
        <w:rPr>
          <w:rFonts w:ascii="Times New Roman" w:eastAsia="Times New Roman" w:hAnsi="Times New Roman" w:cs="Times New Roman"/>
          <w:sz w:val="20"/>
          <w:szCs w:val="20"/>
        </w:rPr>
      </w:pPr>
      <m:oMath>
        <m:r>
          <w:rPr>
            <w:rFonts w:ascii="Cambria Math" w:eastAsia="Times New Roman" w:hAnsi="Cambria Math" w:cs="Times New Roman"/>
            <w:sz w:val="20"/>
            <w:szCs w:val="20"/>
          </w:rPr>
          <m:t>h</m:t>
        </m:r>
        <m:d>
          <m:dPr>
            <m:ctrlPr>
              <w:rPr>
                <w:rFonts w:ascii="Cambria Math" w:eastAsia="Times New Roman" w:hAnsi="Cambria Math" w:cs="Times New Roman"/>
                <w:i/>
                <w:sz w:val="20"/>
                <w:szCs w:val="20"/>
              </w:rPr>
            </m:ctrlPr>
          </m:dPr>
          <m:e>
            <m:r>
              <w:rPr>
                <w:rFonts w:ascii="Cambria Math" w:eastAsia="Times New Roman" w:hAnsi="Cambria Math" w:cs="Times New Roman"/>
                <w:sz w:val="20"/>
                <w:szCs w:val="20"/>
              </w:rPr>
              <m:t>t</m:t>
            </m:r>
          </m:e>
        </m:d>
        <m:r>
          <w:rPr>
            <w:rFonts w:ascii="Cambria Math" w:eastAsia="Times New Roman" w:hAnsi="Cambria Math" w:cs="Times New Roman"/>
            <w:sz w:val="20"/>
            <w:szCs w:val="20"/>
          </w:rPr>
          <m:t>=</m:t>
        </m:r>
        <m:sSup>
          <m:sSupPr>
            <m:ctrlPr>
              <w:rPr>
                <w:rFonts w:ascii="Cambria Math" w:eastAsia="Times New Roman" w:hAnsi="Cambria Math" w:cs="Times New Roman"/>
                <w:i/>
                <w:sz w:val="20"/>
                <w:szCs w:val="20"/>
              </w:rPr>
            </m:ctrlPr>
          </m:sSupPr>
          <m:e>
            <m:r>
              <w:rPr>
                <w:rFonts w:ascii="Cambria Math" w:eastAsia="Times New Roman" w:hAnsi="Cambria Math" w:cs="Times New Roman"/>
                <w:sz w:val="20"/>
                <w:szCs w:val="20"/>
              </w:rPr>
              <m:t>FT</m:t>
            </m:r>
          </m:e>
          <m:sup>
            <m:r>
              <w:rPr>
                <w:rFonts w:ascii="Cambria Math" w:eastAsia="Times New Roman" w:hAnsi="Cambria Math" w:cs="Times New Roman"/>
                <w:sz w:val="20"/>
                <w:szCs w:val="20"/>
              </w:rPr>
              <m:t>-1</m:t>
            </m:r>
          </m:sup>
        </m:sSup>
        <m:d>
          <m:dPr>
            <m:begChr m:val="["/>
            <m:endChr m:val="]"/>
            <m:ctrlPr>
              <w:rPr>
                <w:rFonts w:ascii="Cambria Math" w:eastAsia="Times New Roman" w:hAnsi="Cambria Math" w:cs="Times New Roman"/>
                <w:i/>
                <w:sz w:val="20"/>
                <w:szCs w:val="20"/>
              </w:rPr>
            </m:ctrlPr>
          </m:dPr>
          <m:e>
            <m:f>
              <m:fPr>
                <m:ctrlPr>
                  <w:rPr>
                    <w:rFonts w:ascii="Cambria Math" w:eastAsia="Times New Roman" w:hAnsi="Cambria Math" w:cs="Times New Roman"/>
                    <w:i/>
                    <w:sz w:val="20"/>
                    <w:szCs w:val="20"/>
                  </w:rPr>
                </m:ctrlPr>
              </m:fPr>
              <m:num>
                <m:r>
                  <w:rPr>
                    <w:rFonts w:ascii="Cambria Math" w:eastAsia="Times New Roman" w:hAnsi="Cambria Math" w:cs="Times New Roman"/>
                    <w:sz w:val="20"/>
                    <w:szCs w:val="20"/>
                  </w:rPr>
                  <m:t>Y(f)</m:t>
                </m:r>
              </m:num>
              <m:den>
                <m:r>
                  <m:rPr>
                    <m:sty m:val="p"/>
                  </m:rPr>
                  <w:rPr>
                    <w:rFonts w:ascii="Cambria Math" w:eastAsia="Times New Roman" w:hAnsi="Cambria Math" w:cs="Times New Roman"/>
                    <w:sz w:val="20"/>
                    <w:szCs w:val="20"/>
                  </w:rPr>
                  <m:t>max⁡</m:t>
                </m:r>
                <m:r>
                  <w:rPr>
                    <w:rFonts w:ascii="Cambria Math" w:eastAsia="Times New Roman" w:hAnsi="Cambria Math" w:cs="Times New Roman"/>
                    <w:sz w:val="20"/>
                    <w:szCs w:val="20"/>
                  </w:rPr>
                  <m:t>(X</m:t>
                </m:r>
                <m:d>
                  <m:dPr>
                    <m:ctrlPr>
                      <w:rPr>
                        <w:rFonts w:ascii="Cambria Math" w:eastAsia="Times New Roman" w:hAnsi="Cambria Math" w:cs="Times New Roman"/>
                        <w:i/>
                        <w:sz w:val="20"/>
                        <w:szCs w:val="20"/>
                      </w:rPr>
                    </m:ctrlPr>
                  </m:dPr>
                  <m:e>
                    <m:r>
                      <w:rPr>
                        <w:rFonts w:ascii="Cambria Math" w:eastAsia="Times New Roman" w:hAnsi="Cambria Math" w:cs="Times New Roman"/>
                        <w:sz w:val="20"/>
                        <w:szCs w:val="20"/>
                      </w:rPr>
                      <m:t>f</m:t>
                    </m:r>
                  </m:e>
                </m:d>
                <m:r>
                  <w:rPr>
                    <w:rFonts w:ascii="Cambria Math" w:eastAsia="Times New Roman" w:hAnsi="Cambria Math" w:cs="Times New Roman"/>
                    <w:sz w:val="20"/>
                    <w:szCs w:val="20"/>
                  </w:rPr>
                  <m:t>,wl×</m:t>
                </m:r>
                <m:func>
                  <m:funcPr>
                    <m:ctrlPr>
                      <w:rPr>
                        <w:rFonts w:ascii="Cambria Math" w:eastAsia="Times New Roman" w:hAnsi="Cambria Math" w:cs="Times New Roman"/>
                        <w:sz w:val="20"/>
                        <w:szCs w:val="20"/>
                      </w:rPr>
                    </m:ctrlPr>
                  </m:funcPr>
                  <m:fName>
                    <m:r>
                      <m:rPr>
                        <m:sty m:val="p"/>
                      </m:rPr>
                      <w:rPr>
                        <w:rFonts w:ascii="Cambria Math" w:eastAsia="Times New Roman" w:hAnsi="Cambria Math" w:cs="Times New Roman"/>
                        <w:sz w:val="20"/>
                        <w:szCs w:val="20"/>
                      </w:rPr>
                      <m:t>max</m:t>
                    </m:r>
                    <m:ctrlPr>
                      <w:rPr>
                        <w:rFonts w:ascii="Cambria Math" w:eastAsia="Times New Roman" w:hAnsi="Cambria Math" w:cs="Times New Roman"/>
                        <w:i/>
                        <w:sz w:val="20"/>
                        <w:szCs w:val="20"/>
                      </w:rPr>
                    </m:ctrlPr>
                  </m:fName>
                  <m:e>
                    <m:r>
                      <w:rPr>
                        <w:rFonts w:ascii="Cambria Math" w:eastAsia="Times New Roman" w:hAnsi="Cambria Math" w:cs="Times New Roman"/>
                        <w:sz w:val="20"/>
                        <w:szCs w:val="20"/>
                      </w:rPr>
                      <m:t>(|X</m:t>
                    </m:r>
                    <m:d>
                      <m:dPr>
                        <m:ctrlPr>
                          <w:rPr>
                            <w:rFonts w:ascii="Cambria Math" w:eastAsia="Times New Roman" w:hAnsi="Cambria Math" w:cs="Times New Roman"/>
                            <w:i/>
                            <w:sz w:val="20"/>
                            <w:szCs w:val="20"/>
                          </w:rPr>
                        </m:ctrlPr>
                      </m:dPr>
                      <m:e>
                        <m:r>
                          <w:rPr>
                            <w:rFonts w:ascii="Cambria Math" w:eastAsia="Times New Roman" w:hAnsi="Cambria Math" w:cs="Times New Roman"/>
                            <w:sz w:val="20"/>
                            <w:szCs w:val="20"/>
                          </w:rPr>
                          <m:t>f</m:t>
                        </m:r>
                      </m:e>
                    </m:d>
                    <m:r>
                      <w:rPr>
                        <w:rFonts w:ascii="Cambria Math" w:eastAsia="Times New Roman" w:hAnsi="Cambria Math" w:cs="Times New Roman"/>
                        <w:sz w:val="20"/>
                        <w:szCs w:val="20"/>
                      </w:rPr>
                      <m:t>|)</m:t>
                    </m:r>
                  </m:e>
                </m:func>
                <m:r>
                  <w:rPr>
                    <w:rFonts w:ascii="Cambria Math" w:eastAsia="Times New Roman" w:hAnsi="Cambria Math" w:cs="Times New Roman"/>
                    <w:sz w:val="20"/>
                    <w:szCs w:val="20"/>
                  </w:rPr>
                  <m:t>×</m:t>
                </m:r>
                <m:f>
                  <m:fPr>
                    <m:type m:val="lin"/>
                    <m:ctrlPr>
                      <w:rPr>
                        <w:rFonts w:ascii="Cambria Math" w:eastAsia="Times New Roman" w:hAnsi="Cambria Math" w:cs="Times New Roman"/>
                        <w:i/>
                        <w:sz w:val="20"/>
                        <w:szCs w:val="20"/>
                      </w:rPr>
                    </m:ctrlPr>
                  </m:fPr>
                  <m:num>
                    <m:r>
                      <w:rPr>
                        <w:rFonts w:ascii="Cambria Math" w:eastAsia="Times New Roman" w:hAnsi="Cambria Math" w:cs="Times New Roman"/>
                        <w:sz w:val="20"/>
                        <w:szCs w:val="20"/>
                      </w:rPr>
                      <m:t>X(f)</m:t>
                    </m:r>
                  </m:num>
                  <m:den>
                    <m:r>
                      <w:rPr>
                        <w:rFonts w:ascii="Cambria Math" w:eastAsia="Times New Roman" w:hAnsi="Cambria Math" w:cs="Times New Roman"/>
                        <w:sz w:val="20"/>
                        <w:szCs w:val="20"/>
                      </w:rPr>
                      <m:t>|X</m:t>
                    </m:r>
                    <m:d>
                      <m:dPr>
                        <m:ctrlPr>
                          <w:rPr>
                            <w:rFonts w:ascii="Cambria Math" w:eastAsia="Times New Roman" w:hAnsi="Cambria Math" w:cs="Times New Roman"/>
                            <w:i/>
                            <w:sz w:val="20"/>
                            <w:szCs w:val="20"/>
                          </w:rPr>
                        </m:ctrlPr>
                      </m:dPr>
                      <m:e>
                        <m:r>
                          <w:rPr>
                            <w:rFonts w:ascii="Cambria Math" w:eastAsia="Times New Roman" w:hAnsi="Cambria Math" w:cs="Times New Roman"/>
                            <w:sz w:val="20"/>
                            <w:szCs w:val="20"/>
                          </w:rPr>
                          <m:t>f</m:t>
                        </m:r>
                      </m:e>
                    </m:d>
                    <m:r>
                      <w:rPr>
                        <w:rFonts w:ascii="Cambria Math" w:eastAsia="Times New Roman" w:hAnsi="Cambria Math" w:cs="Times New Roman"/>
                        <w:sz w:val="20"/>
                        <w:szCs w:val="20"/>
                      </w:rPr>
                      <m:t>|</m:t>
                    </m:r>
                  </m:den>
                </m:f>
              </m:den>
            </m:f>
          </m:e>
        </m:d>
      </m:oMath>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(A1)</w:t>
      </w:r>
    </w:p>
    <w:p w14:paraId="2FF4AE63" w14:textId="77777777" w:rsidR="00D363FD" w:rsidRDefault="00D363FD" w:rsidP="00D363FD">
      <w:pPr>
        <w:spacing w:after="20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 which </w:t>
      </w:r>
      <w:proofErr w:type="spellStart"/>
      <w:r>
        <w:rPr>
          <w:rFonts w:ascii="Times New Roman" w:eastAsia="Times New Roman" w:hAnsi="Times New Roman" w:cs="Times New Roman"/>
          <w:i/>
          <w:sz w:val="20"/>
          <w:szCs w:val="20"/>
        </w:rPr>
        <w:t>wl</w:t>
      </w:r>
      <w:proofErr w:type="spellEnd"/>
      <w:r>
        <w:rPr>
          <w:rFonts w:ascii="Times New Roman" w:eastAsia="Times New Roman" w:hAnsi="Times New Roman" w:cs="Times New Roman"/>
          <w:sz w:val="20"/>
          <w:szCs w:val="20"/>
        </w:rPr>
        <w:t xml:space="preserve"> defines the water level that is used for regularisation (Clayton &amp; Wiggins, 1976), </w:t>
      </w:r>
      <w:r>
        <w:rPr>
          <w:rFonts w:ascii="Times New Roman" w:eastAsia="Times New Roman" w:hAnsi="Times New Roman" w:cs="Times New Roman"/>
          <w:i/>
          <w:sz w:val="20"/>
          <w:szCs w:val="20"/>
        </w:rPr>
        <w:t>Y(f)</w:t>
      </w:r>
      <w:r>
        <w:rPr>
          <w:rFonts w:ascii="Times New Roman" w:eastAsia="Times New Roman" w:hAnsi="Times New Roman" w:cs="Times New Roman"/>
          <w:sz w:val="20"/>
          <w:szCs w:val="20"/>
        </w:rPr>
        <w:t xml:space="preserve">, and </w:t>
      </w:r>
      <w:r>
        <w:rPr>
          <w:rFonts w:ascii="Times New Roman" w:eastAsia="Times New Roman" w:hAnsi="Times New Roman" w:cs="Times New Roman"/>
          <w:i/>
          <w:sz w:val="20"/>
          <w:szCs w:val="20"/>
        </w:rPr>
        <w:t>X(f)</w:t>
      </w:r>
      <w:r>
        <w:rPr>
          <w:rFonts w:ascii="Times New Roman" w:eastAsia="Times New Roman" w:hAnsi="Times New Roman" w:cs="Times New Roman"/>
          <w:sz w:val="20"/>
          <w:szCs w:val="20"/>
        </w:rPr>
        <w:t xml:space="preserve"> are the Fourier transform of the bottom and top floors, respectively, and </w:t>
      </w:r>
      <w:r>
        <w:rPr>
          <w:rFonts w:ascii="Times New Roman" w:eastAsia="Times New Roman" w:hAnsi="Times New Roman" w:cs="Times New Roman"/>
          <w:i/>
          <w:sz w:val="20"/>
          <w:szCs w:val="20"/>
        </w:rPr>
        <w:t>FT</w:t>
      </w:r>
      <w:r>
        <w:rPr>
          <w:rFonts w:ascii="Times New Roman" w:eastAsia="Times New Roman" w:hAnsi="Times New Roman" w:cs="Times New Roman"/>
          <w:i/>
          <w:sz w:val="20"/>
          <w:szCs w:val="20"/>
          <w:vertAlign w:val="superscript"/>
        </w:rPr>
        <w:t>-1</w:t>
      </w:r>
      <w:r>
        <w:rPr>
          <w:rFonts w:ascii="Times New Roman" w:eastAsia="Times New Roman" w:hAnsi="Times New Roman" w:cs="Times New Roman"/>
          <w:sz w:val="20"/>
          <w:szCs w:val="20"/>
        </w:rPr>
        <w:t xml:space="preserve"> is the inverse Fourier transform operation. Up- and down-going waves refer to casual and </w:t>
      </w:r>
      <w:proofErr w:type="spellStart"/>
      <w:r>
        <w:rPr>
          <w:rFonts w:ascii="Times New Roman" w:eastAsia="Times New Roman" w:hAnsi="Times New Roman" w:cs="Times New Roman"/>
          <w:sz w:val="20"/>
          <w:szCs w:val="20"/>
        </w:rPr>
        <w:t>acasual</w:t>
      </w:r>
      <w:proofErr w:type="spellEnd"/>
      <w:r>
        <w:rPr>
          <w:rFonts w:ascii="Times New Roman" w:eastAsia="Times New Roman" w:hAnsi="Times New Roman" w:cs="Times New Roman"/>
          <w:sz w:val="20"/>
          <w:szCs w:val="20"/>
        </w:rPr>
        <w:t xml:space="preserve"> parts of the deconvolved signals. The time delay (</w:t>
      </w:r>
      <w:proofErr w:type="spellStart"/>
      <w:r>
        <w:rPr>
          <w:rFonts w:ascii="Times New Roman" w:eastAsia="Times New Roman" w:hAnsi="Times New Roman" w:cs="Times New Roman"/>
          <w:sz w:val="20"/>
          <w:szCs w:val="20"/>
        </w:rPr>
        <w:t>Δ</w:t>
      </w:r>
      <w:r>
        <w:rPr>
          <w:rFonts w:ascii="Times New Roman" w:eastAsia="Times New Roman" w:hAnsi="Times New Roman" w:cs="Times New Roman"/>
          <w:i/>
          <w:sz w:val="20"/>
          <w:szCs w:val="20"/>
        </w:rPr>
        <w:t>t</w:t>
      </w:r>
      <w:proofErr w:type="spellEnd"/>
      <w:r>
        <w:rPr>
          <w:rFonts w:ascii="Times New Roman" w:eastAsia="Times New Roman" w:hAnsi="Times New Roman" w:cs="Times New Roman"/>
          <w:sz w:val="20"/>
          <w:szCs w:val="20"/>
        </w:rPr>
        <w:t>) is estimated by picking the maxima to determine the shear wave velocity (β) of the building with the following equation:</w:t>
      </w:r>
    </w:p>
    <w:p w14:paraId="58D2DDA3" w14:textId="77777777" w:rsidR="00D363FD" w:rsidRDefault="00D363FD" w:rsidP="00D363FD">
      <w:pPr>
        <w:spacing w:after="200" w:line="360" w:lineRule="auto"/>
        <w:jc w:val="both"/>
        <w:rPr>
          <w:rFonts w:ascii="Times New Roman" w:eastAsia="Times New Roman" w:hAnsi="Times New Roman" w:cs="Times New Roman"/>
          <w:sz w:val="20"/>
          <w:szCs w:val="20"/>
        </w:rPr>
      </w:pPr>
      <m:oMath>
        <m:r>
          <w:rPr>
            <w:rFonts w:ascii="Cambria Math" w:eastAsia="Times New Roman" w:hAnsi="Cambria Math" w:cs="Times New Roman"/>
            <w:sz w:val="20"/>
            <w:szCs w:val="20"/>
          </w:rPr>
          <m:t>β=</m:t>
        </m:r>
        <m:f>
          <m:fPr>
            <m:ctrlPr>
              <w:rPr>
                <w:rFonts w:ascii="Cambria Math" w:eastAsia="Times New Roman" w:hAnsi="Cambria Math" w:cs="Times New Roman"/>
                <w:i/>
                <w:sz w:val="20"/>
                <w:szCs w:val="20"/>
              </w:rPr>
            </m:ctrlPr>
          </m:fPr>
          <m:num>
            <m:r>
              <w:rPr>
                <w:rFonts w:ascii="Cambria Math" w:eastAsia="Times New Roman" w:hAnsi="Cambria Math" w:cs="Times New Roman"/>
                <w:sz w:val="20"/>
                <w:szCs w:val="20"/>
              </w:rPr>
              <m:t>H</m:t>
            </m:r>
          </m:num>
          <m:den>
            <m:r>
              <m:rPr>
                <m:sty m:val="p"/>
              </m:rPr>
              <w:rPr>
                <w:rFonts w:ascii="Cambria Math" w:eastAsia="Times New Roman" w:hAnsi="Cambria Math" w:cs="Times New Roman"/>
                <w:sz w:val="20"/>
                <w:szCs w:val="20"/>
              </w:rPr>
              <m:t>Δ</m:t>
            </m:r>
            <m:r>
              <w:rPr>
                <w:rFonts w:ascii="Cambria Math" w:eastAsia="Times New Roman" w:hAnsi="Cambria Math" w:cs="Times New Roman"/>
                <w:sz w:val="20"/>
                <w:szCs w:val="20"/>
              </w:rPr>
              <m:t>t</m:t>
            </m:r>
          </m:den>
        </m:f>
      </m:oMath>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(A2)</w:t>
      </w:r>
    </w:p>
    <w:p w14:paraId="2C8D8F9B" w14:textId="77777777" w:rsidR="00D363FD" w:rsidRDefault="00D363FD" w:rsidP="00D363FD">
      <w:pPr>
        <w:spacing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where </w:t>
      </w:r>
      <w:r>
        <w:rPr>
          <w:rFonts w:ascii="Times New Roman" w:eastAsia="Times New Roman" w:hAnsi="Times New Roman" w:cs="Times New Roman"/>
          <w:i/>
          <w:sz w:val="20"/>
          <w:szCs w:val="20"/>
        </w:rPr>
        <w:t>H</w:t>
      </w:r>
      <w:r>
        <w:rPr>
          <w:rFonts w:ascii="Times New Roman" w:eastAsia="Times New Roman" w:hAnsi="Times New Roman" w:cs="Times New Roman"/>
          <w:sz w:val="20"/>
          <w:szCs w:val="20"/>
        </w:rPr>
        <w:t xml:space="preserve"> represents the distance between the two sensors. To estimate the velocity of the building, deconvolved signals are stacked to decrease the inter-event variability of the frequency content. </w:t>
      </w:r>
    </w:p>
    <w:p w14:paraId="5BBF7677" w14:textId="77777777" w:rsidR="007A6B14" w:rsidRDefault="007A6B14"/>
    <w:sectPr w:rsidR="007A6B14" w:rsidSect="00D363FD">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3FD"/>
    <w:rsid w:val="00685256"/>
    <w:rsid w:val="007A6B14"/>
    <w:rsid w:val="00D363F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BCAB7"/>
  <w15:chartTrackingRefBased/>
  <w15:docId w15:val="{0DDF2192-5234-48D3-8117-295B9295B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3FD"/>
    <w:pPr>
      <w:spacing w:after="0" w:line="276" w:lineRule="auto"/>
    </w:pPr>
    <w:rPr>
      <w:rFonts w:ascii="Arial" w:eastAsia="Arial" w:hAnsi="Arial" w:cs="Arial"/>
      <w:lang w:eastAsia="en-GB"/>
    </w:rPr>
  </w:style>
  <w:style w:type="paragraph" w:styleId="Heading2">
    <w:name w:val="heading 2"/>
    <w:basedOn w:val="Normal"/>
    <w:next w:val="Normal"/>
    <w:link w:val="Heading2Char"/>
    <w:uiPriority w:val="9"/>
    <w:unhideWhenUsed/>
    <w:qFormat/>
    <w:rsid w:val="00D363FD"/>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363FD"/>
    <w:rPr>
      <w:rFonts w:ascii="Arial" w:eastAsia="Arial" w:hAnsi="Arial" w:cs="Arial"/>
      <w:sz w:val="32"/>
      <w:szCs w:val="32"/>
      <w:lang w:eastAsia="en-GB"/>
    </w:rPr>
  </w:style>
  <w:style w:type="character" w:styleId="LineNumber">
    <w:name w:val="line number"/>
    <w:basedOn w:val="DefaultParagraphFont"/>
    <w:uiPriority w:val="99"/>
    <w:semiHidden/>
    <w:unhideWhenUsed/>
    <w:rsid w:val="00D36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FE9BBB-6F27-41E7-A03A-EE5333917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242</Words>
  <Characters>1385</Characters>
  <Application>Microsoft Office Word</Application>
  <DocSecurity>0</DocSecurity>
  <Lines>11</Lines>
  <Paragraphs>3</Paragraphs>
  <ScaleCrop>false</ScaleCrop>
  <Company>Università degli Studi di Trieste</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AMIRI FARD ROUHOLLAH [DR0900025]</dc:creator>
  <cp:keywords/>
  <dc:description/>
  <cp:lastModifiedBy>AMIRI FARD ROUHOLLAH [DR0900025]</cp:lastModifiedBy>
  <cp:revision>1</cp:revision>
  <dcterms:created xsi:type="dcterms:W3CDTF">2025-11-07T08:44:00Z</dcterms:created>
  <dcterms:modified xsi:type="dcterms:W3CDTF">2025-11-07T08:46:00Z</dcterms:modified>
</cp:coreProperties>
</file>