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CDB89D" w14:textId="77777777" w:rsidR="00C12D4D" w:rsidRDefault="00C12D4D" w:rsidP="00C12D4D">
      <w:pPr>
        <w:spacing w:line="276" w:lineRule="auto"/>
        <w:jc w:val="both"/>
        <w:rPr>
          <w:b/>
          <w:bCs/>
          <w:sz w:val="28"/>
          <w:szCs w:val="28"/>
        </w:rPr>
      </w:pPr>
      <w:r w:rsidRPr="00581107">
        <w:rPr>
          <w:b/>
          <w:bCs/>
          <w:sz w:val="28"/>
          <w:szCs w:val="28"/>
        </w:rPr>
        <w:t xml:space="preserve">Supplementary </w:t>
      </w:r>
      <w:r>
        <w:rPr>
          <w:b/>
          <w:bCs/>
          <w:sz w:val="28"/>
          <w:szCs w:val="28"/>
        </w:rPr>
        <w:t>Information</w:t>
      </w:r>
    </w:p>
    <w:p w14:paraId="7E304C48" w14:textId="77777777" w:rsidR="00C12D4D" w:rsidRDefault="00C12D4D" w:rsidP="00C12D4D">
      <w:pPr>
        <w:spacing w:line="276" w:lineRule="auto"/>
        <w:jc w:val="both"/>
        <w:rPr>
          <w:b/>
          <w:bCs/>
          <w:sz w:val="28"/>
          <w:szCs w:val="28"/>
        </w:rPr>
      </w:pPr>
    </w:p>
    <w:p w14:paraId="0129CC33" w14:textId="77777777" w:rsidR="00A95E62" w:rsidRPr="00581107" w:rsidRDefault="00A95E62" w:rsidP="00A95E62">
      <w:pPr>
        <w:spacing w:line="276" w:lineRule="auto"/>
        <w:jc w:val="both"/>
        <w:rPr>
          <w:b/>
          <w:bCs/>
          <w:sz w:val="28"/>
          <w:szCs w:val="28"/>
        </w:rPr>
      </w:pPr>
      <w:r>
        <w:rPr>
          <w:b/>
          <w:bCs/>
          <w:sz w:val="28"/>
          <w:szCs w:val="28"/>
        </w:rPr>
        <w:t>Climate</w:t>
      </w:r>
      <w:r w:rsidRPr="00581107">
        <w:rPr>
          <w:b/>
          <w:bCs/>
          <w:sz w:val="28"/>
          <w:szCs w:val="28"/>
        </w:rPr>
        <w:t xml:space="preserve"> risk</w:t>
      </w:r>
      <w:r>
        <w:rPr>
          <w:b/>
          <w:bCs/>
          <w:sz w:val="28"/>
          <w:szCs w:val="28"/>
        </w:rPr>
        <w:t>s</w:t>
      </w:r>
      <w:r w:rsidRPr="00581107">
        <w:rPr>
          <w:b/>
          <w:bCs/>
          <w:sz w:val="28"/>
          <w:szCs w:val="28"/>
        </w:rPr>
        <w:t xml:space="preserve"> to port infrastructure </w:t>
      </w:r>
      <w:r>
        <w:rPr>
          <w:b/>
          <w:bCs/>
          <w:sz w:val="28"/>
          <w:szCs w:val="28"/>
        </w:rPr>
        <w:t>for future global trade</w:t>
      </w:r>
    </w:p>
    <w:p w14:paraId="0AB02DF1" w14:textId="77777777" w:rsidR="00C12D4D" w:rsidRDefault="00C12D4D" w:rsidP="00C12D4D">
      <w:pPr>
        <w:spacing w:line="276" w:lineRule="auto"/>
      </w:pPr>
    </w:p>
    <w:p w14:paraId="3F756C7B" w14:textId="77777777" w:rsidR="00A95E62" w:rsidRDefault="00A95E62" w:rsidP="00C12D4D">
      <w:pPr>
        <w:spacing w:line="276" w:lineRule="auto"/>
      </w:pPr>
    </w:p>
    <w:p w14:paraId="7B080A5F" w14:textId="77777777" w:rsidR="00A95E62" w:rsidRDefault="00A95E62" w:rsidP="00C12D4D">
      <w:pPr>
        <w:spacing w:line="276" w:lineRule="auto"/>
      </w:pPr>
    </w:p>
    <w:p w14:paraId="56BB43F2" w14:textId="77777777" w:rsidR="00A95E62" w:rsidRDefault="00A95E62" w:rsidP="00C12D4D">
      <w:pPr>
        <w:spacing w:line="276" w:lineRule="auto"/>
      </w:pPr>
    </w:p>
    <w:p w14:paraId="59DFBD16" w14:textId="77777777" w:rsidR="00A95E62" w:rsidRDefault="00A95E62" w:rsidP="00C12D4D">
      <w:pPr>
        <w:spacing w:line="276" w:lineRule="auto"/>
      </w:pPr>
    </w:p>
    <w:p w14:paraId="4B2D0CFE" w14:textId="77777777" w:rsidR="00A95E62" w:rsidRDefault="00A95E62" w:rsidP="00C12D4D">
      <w:pPr>
        <w:spacing w:line="276" w:lineRule="auto"/>
      </w:pPr>
    </w:p>
    <w:p w14:paraId="5D9DC678" w14:textId="77777777" w:rsidR="00A95E62" w:rsidRDefault="00A95E62" w:rsidP="00C12D4D">
      <w:pPr>
        <w:spacing w:line="276" w:lineRule="auto"/>
      </w:pPr>
    </w:p>
    <w:p w14:paraId="5D8EE302" w14:textId="77777777" w:rsidR="00A95E62" w:rsidRDefault="00A95E62" w:rsidP="00C12D4D">
      <w:pPr>
        <w:spacing w:line="276" w:lineRule="auto"/>
      </w:pPr>
    </w:p>
    <w:p w14:paraId="1BB785DC" w14:textId="77777777" w:rsidR="00A95E62" w:rsidRDefault="00A95E62" w:rsidP="00C12D4D">
      <w:pPr>
        <w:spacing w:line="276" w:lineRule="auto"/>
      </w:pPr>
    </w:p>
    <w:p w14:paraId="7BAD752F" w14:textId="77777777" w:rsidR="00A95E62" w:rsidRDefault="00A95E62" w:rsidP="00C12D4D">
      <w:pPr>
        <w:spacing w:line="276" w:lineRule="auto"/>
      </w:pPr>
    </w:p>
    <w:p w14:paraId="4248E2BD" w14:textId="77777777" w:rsidR="00A95E62" w:rsidRDefault="00A95E62" w:rsidP="00C12D4D">
      <w:pPr>
        <w:spacing w:line="276" w:lineRule="auto"/>
        <w:rPr>
          <w:b/>
          <w:bCs/>
          <w:sz w:val="28"/>
          <w:szCs w:val="28"/>
        </w:rPr>
      </w:pPr>
    </w:p>
    <w:p w14:paraId="23DF303F" w14:textId="77777777" w:rsidR="00C12D4D" w:rsidRDefault="00C12D4D" w:rsidP="00C12D4D">
      <w:pPr>
        <w:spacing w:line="276" w:lineRule="auto"/>
        <w:rPr>
          <w:b/>
          <w:bCs/>
          <w:sz w:val="28"/>
          <w:szCs w:val="28"/>
        </w:rPr>
      </w:pPr>
    </w:p>
    <w:p w14:paraId="444AB57B" w14:textId="77777777" w:rsidR="00C12D4D" w:rsidRDefault="00C12D4D" w:rsidP="00C12D4D">
      <w:pPr>
        <w:spacing w:line="276" w:lineRule="auto"/>
        <w:rPr>
          <w:b/>
          <w:bCs/>
          <w:sz w:val="28"/>
          <w:szCs w:val="28"/>
        </w:rPr>
      </w:pPr>
    </w:p>
    <w:p w14:paraId="01210C4D" w14:textId="77777777" w:rsidR="00C12D4D" w:rsidRDefault="00C12D4D" w:rsidP="00C12D4D">
      <w:pPr>
        <w:spacing w:line="276" w:lineRule="auto"/>
        <w:rPr>
          <w:b/>
          <w:bCs/>
          <w:sz w:val="28"/>
          <w:szCs w:val="28"/>
        </w:rPr>
      </w:pPr>
    </w:p>
    <w:p w14:paraId="6BE18690" w14:textId="77777777" w:rsidR="00C12D4D" w:rsidRDefault="00C12D4D" w:rsidP="00C12D4D">
      <w:pPr>
        <w:spacing w:line="276" w:lineRule="auto"/>
        <w:rPr>
          <w:b/>
          <w:bCs/>
          <w:sz w:val="28"/>
          <w:szCs w:val="28"/>
        </w:rPr>
      </w:pPr>
    </w:p>
    <w:p w14:paraId="45F4430A" w14:textId="77777777" w:rsidR="00C12D4D" w:rsidRDefault="00C12D4D" w:rsidP="00C12D4D">
      <w:pPr>
        <w:spacing w:line="276" w:lineRule="auto"/>
        <w:rPr>
          <w:b/>
          <w:bCs/>
          <w:sz w:val="28"/>
          <w:szCs w:val="28"/>
        </w:rPr>
      </w:pPr>
    </w:p>
    <w:p w14:paraId="46BCBE42" w14:textId="77777777" w:rsidR="00C12D4D" w:rsidRDefault="00C12D4D" w:rsidP="00C12D4D">
      <w:pPr>
        <w:spacing w:line="276" w:lineRule="auto"/>
        <w:rPr>
          <w:b/>
          <w:bCs/>
          <w:sz w:val="28"/>
          <w:szCs w:val="28"/>
        </w:rPr>
      </w:pPr>
    </w:p>
    <w:p w14:paraId="51DBCBD5" w14:textId="77777777" w:rsidR="00C12D4D" w:rsidRDefault="00C12D4D" w:rsidP="00C12D4D">
      <w:pPr>
        <w:spacing w:line="276" w:lineRule="auto"/>
        <w:rPr>
          <w:b/>
          <w:bCs/>
          <w:sz w:val="28"/>
          <w:szCs w:val="28"/>
        </w:rPr>
      </w:pPr>
    </w:p>
    <w:p w14:paraId="78278CC2" w14:textId="77777777" w:rsidR="00C12D4D" w:rsidRDefault="00C12D4D" w:rsidP="00C12D4D">
      <w:pPr>
        <w:spacing w:line="276" w:lineRule="auto"/>
        <w:rPr>
          <w:b/>
          <w:bCs/>
          <w:sz w:val="28"/>
          <w:szCs w:val="28"/>
        </w:rPr>
      </w:pPr>
    </w:p>
    <w:p w14:paraId="204FDB46" w14:textId="77777777" w:rsidR="00C12D4D" w:rsidRDefault="00C12D4D" w:rsidP="00C12D4D">
      <w:pPr>
        <w:spacing w:line="276" w:lineRule="auto"/>
        <w:rPr>
          <w:b/>
          <w:bCs/>
          <w:sz w:val="28"/>
          <w:szCs w:val="28"/>
        </w:rPr>
      </w:pPr>
    </w:p>
    <w:p w14:paraId="329BDC61" w14:textId="77777777" w:rsidR="00C12D4D" w:rsidRDefault="00C12D4D" w:rsidP="00C12D4D">
      <w:pPr>
        <w:spacing w:line="276" w:lineRule="auto"/>
        <w:rPr>
          <w:b/>
          <w:bCs/>
          <w:sz w:val="28"/>
          <w:szCs w:val="28"/>
        </w:rPr>
      </w:pPr>
    </w:p>
    <w:p w14:paraId="206247D0" w14:textId="77777777" w:rsidR="00C12D4D" w:rsidRDefault="00C12D4D" w:rsidP="00C12D4D">
      <w:pPr>
        <w:spacing w:line="276" w:lineRule="auto"/>
        <w:rPr>
          <w:b/>
          <w:bCs/>
          <w:sz w:val="28"/>
          <w:szCs w:val="28"/>
        </w:rPr>
      </w:pPr>
    </w:p>
    <w:p w14:paraId="7569B07B" w14:textId="77777777" w:rsidR="00C12D4D" w:rsidRDefault="00C12D4D" w:rsidP="00C12D4D">
      <w:pPr>
        <w:spacing w:line="276" w:lineRule="auto"/>
        <w:rPr>
          <w:b/>
          <w:bCs/>
          <w:sz w:val="28"/>
          <w:szCs w:val="28"/>
        </w:rPr>
      </w:pPr>
    </w:p>
    <w:p w14:paraId="72A4482E" w14:textId="77777777" w:rsidR="00C12D4D" w:rsidRDefault="00C12D4D" w:rsidP="00C12D4D">
      <w:pPr>
        <w:spacing w:line="276" w:lineRule="auto"/>
        <w:rPr>
          <w:b/>
          <w:bCs/>
          <w:sz w:val="28"/>
          <w:szCs w:val="28"/>
        </w:rPr>
      </w:pPr>
    </w:p>
    <w:p w14:paraId="23720353" w14:textId="77777777" w:rsidR="00C12D4D" w:rsidRDefault="00C12D4D" w:rsidP="00C12D4D">
      <w:pPr>
        <w:spacing w:line="276" w:lineRule="auto"/>
        <w:rPr>
          <w:b/>
          <w:bCs/>
          <w:sz w:val="28"/>
          <w:szCs w:val="28"/>
        </w:rPr>
      </w:pPr>
    </w:p>
    <w:p w14:paraId="67F64F4E" w14:textId="77777777" w:rsidR="00C12D4D" w:rsidRDefault="00C12D4D" w:rsidP="00C12D4D">
      <w:pPr>
        <w:spacing w:line="276" w:lineRule="auto"/>
        <w:rPr>
          <w:b/>
          <w:bCs/>
          <w:sz w:val="28"/>
          <w:szCs w:val="28"/>
        </w:rPr>
      </w:pPr>
    </w:p>
    <w:p w14:paraId="6F4D6077" w14:textId="77777777" w:rsidR="00C12D4D" w:rsidRDefault="00C12D4D" w:rsidP="00C12D4D">
      <w:pPr>
        <w:spacing w:line="276" w:lineRule="auto"/>
        <w:rPr>
          <w:b/>
          <w:bCs/>
          <w:sz w:val="28"/>
          <w:szCs w:val="28"/>
        </w:rPr>
      </w:pPr>
    </w:p>
    <w:p w14:paraId="067A9C1C" w14:textId="77777777" w:rsidR="00C12D4D" w:rsidRDefault="00C12D4D" w:rsidP="00C12D4D">
      <w:pPr>
        <w:spacing w:line="276" w:lineRule="auto"/>
        <w:rPr>
          <w:b/>
          <w:bCs/>
          <w:sz w:val="28"/>
          <w:szCs w:val="28"/>
        </w:rPr>
      </w:pPr>
    </w:p>
    <w:p w14:paraId="28C3A0C9" w14:textId="77777777" w:rsidR="00C12D4D" w:rsidRDefault="00C12D4D" w:rsidP="00C12D4D">
      <w:pPr>
        <w:spacing w:line="276" w:lineRule="auto"/>
        <w:rPr>
          <w:b/>
          <w:bCs/>
          <w:sz w:val="28"/>
          <w:szCs w:val="28"/>
        </w:rPr>
      </w:pPr>
    </w:p>
    <w:p w14:paraId="73FC04DA" w14:textId="77777777" w:rsidR="00C12D4D" w:rsidRDefault="00C12D4D" w:rsidP="00C12D4D">
      <w:pPr>
        <w:spacing w:line="276" w:lineRule="auto"/>
        <w:rPr>
          <w:b/>
          <w:bCs/>
          <w:sz w:val="28"/>
          <w:szCs w:val="28"/>
        </w:rPr>
      </w:pPr>
    </w:p>
    <w:p w14:paraId="26530420" w14:textId="77777777" w:rsidR="00C12D4D" w:rsidRDefault="00C12D4D" w:rsidP="00C12D4D">
      <w:pPr>
        <w:spacing w:line="276" w:lineRule="auto"/>
        <w:rPr>
          <w:b/>
          <w:bCs/>
          <w:sz w:val="28"/>
          <w:szCs w:val="28"/>
        </w:rPr>
      </w:pPr>
    </w:p>
    <w:p w14:paraId="59D20CE0" w14:textId="77777777" w:rsidR="00C12D4D" w:rsidRDefault="00C12D4D" w:rsidP="00C12D4D">
      <w:pPr>
        <w:spacing w:line="276" w:lineRule="auto"/>
        <w:rPr>
          <w:b/>
          <w:bCs/>
        </w:rPr>
      </w:pPr>
    </w:p>
    <w:p w14:paraId="6A44D1A0" w14:textId="77777777" w:rsidR="00C12D4D" w:rsidRPr="001B45B0" w:rsidRDefault="00C12D4D" w:rsidP="00C12D4D">
      <w:pPr>
        <w:spacing w:line="276" w:lineRule="auto"/>
        <w:rPr>
          <w:b/>
          <w:bCs/>
        </w:rPr>
      </w:pPr>
      <w:r>
        <w:rPr>
          <w:b/>
          <w:bCs/>
        </w:rPr>
        <w:t>Contains:</w:t>
      </w:r>
    </w:p>
    <w:p w14:paraId="6D2AE8AC" w14:textId="2E1921DF" w:rsidR="00C12D4D" w:rsidRDefault="00C12D4D" w:rsidP="00C12D4D">
      <w:pPr>
        <w:spacing w:line="276" w:lineRule="auto"/>
      </w:pPr>
      <w:r>
        <w:t>Supplementary Note 1-</w:t>
      </w:r>
      <w:r w:rsidR="007B2653">
        <w:t>3</w:t>
      </w:r>
    </w:p>
    <w:p w14:paraId="222D10DD" w14:textId="5FEFE2E0" w:rsidR="00C12D4D" w:rsidRDefault="00C12D4D" w:rsidP="00C12D4D">
      <w:pPr>
        <w:spacing w:line="276" w:lineRule="auto"/>
      </w:pPr>
      <w:r>
        <w:t>Supplementary Fig</w:t>
      </w:r>
      <w:r w:rsidR="00DC08FB">
        <w:t xml:space="preserve">ure </w:t>
      </w:r>
      <w:r>
        <w:t>1-</w:t>
      </w:r>
      <w:r w:rsidR="007B2653">
        <w:t>1</w:t>
      </w:r>
      <w:r w:rsidR="00D23D1B">
        <w:t>3</w:t>
      </w:r>
    </w:p>
    <w:p w14:paraId="35ECA3DC" w14:textId="404CE676" w:rsidR="00C12D4D" w:rsidRPr="00BA1FB9" w:rsidRDefault="00C12D4D" w:rsidP="00C12D4D">
      <w:pPr>
        <w:spacing w:line="276" w:lineRule="auto"/>
        <w:rPr>
          <w:b/>
          <w:bCs/>
        </w:rPr>
      </w:pPr>
      <w:r>
        <w:t>Supplementary Table 1-</w:t>
      </w:r>
      <w:r w:rsidR="007B2653">
        <w:t>5</w:t>
      </w:r>
      <w:r w:rsidRPr="00BA1FB9">
        <w:rPr>
          <w:b/>
          <w:bCs/>
        </w:rPr>
        <w:br w:type="page"/>
      </w:r>
    </w:p>
    <w:p w14:paraId="525703E4" w14:textId="7A128AD4" w:rsidR="00C12D4D" w:rsidRPr="00C22A7C" w:rsidRDefault="00C12D4D" w:rsidP="00C12D4D">
      <w:pPr>
        <w:spacing w:line="276" w:lineRule="auto"/>
        <w:jc w:val="both"/>
        <w:rPr>
          <w:b/>
          <w:bCs/>
          <w:sz w:val="28"/>
          <w:szCs w:val="28"/>
        </w:rPr>
      </w:pPr>
      <w:r w:rsidRPr="00C22A7C">
        <w:rPr>
          <w:b/>
          <w:bCs/>
          <w:sz w:val="28"/>
          <w:szCs w:val="28"/>
        </w:rPr>
        <w:lastRenderedPageBreak/>
        <w:t xml:space="preserve">Supplementary </w:t>
      </w:r>
      <w:r w:rsidR="00C22A7C">
        <w:rPr>
          <w:b/>
          <w:bCs/>
          <w:sz w:val="28"/>
          <w:szCs w:val="28"/>
        </w:rPr>
        <w:t>N</w:t>
      </w:r>
      <w:r w:rsidRPr="00C22A7C">
        <w:rPr>
          <w:b/>
          <w:bCs/>
          <w:sz w:val="28"/>
          <w:szCs w:val="28"/>
        </w:rPr>
        <w:t xml:space="preserve">ote 1:  Port </w:t>
      </w:r>
      <w:r w:rsidR="00A8083D" w:rsidRPr="00C22A7C">
        <w:rPr>
          <w:b/>
          <w:bCs/>
          <w:sz w:val="28"/>
          <w:szCs w:val="28"/>
        </w:rPr>
        <w:t>planning</w:t>
      </w:r>
      <w:r w:rsidRPr="00C22A7C">
        <w:rPr>
          <w:b/>
          <w:bCs/>
          <w:sz w:val="28"/>
          <w:szCs w:val="28"/>
        </w:rPr>
        <w:t xml:space="preserve"> and cost </w:t>
      </w:r>
      <w:r w:rsidR="006622FC" w:rsidRPr="00C22A7C">
        <w:rPr>
          <w:b/>
          <w:bCs/>
          <w:sz w:val="28"/>
          <w:szCs w:val="28"/>
        </w:rPr>
        <w:t>model</w:t>
      </w:r>
    </w:p>
    <w:p w14:paraId="6F3D1AEA" w14:textId="51AF8BC8" w:rsidR="00C12D4D" w:rsidRDefault="00C12D4D" w:rsidP="00C12D4D">
      <w:pPr>
        <w:spacing w:line="276" w:lineRule="auto"/>
        <w:jc w:val="both"/>
      </w:pPr>
      <w:r>
        <w:t>The area of a port can be divided in the total terminal area (</w:t>
      </w:r>
      <w:proofErr w:type="spellStart"/>
      <w:r>
        <w:t>A</w:t>
      </w:r>
      <w:r w:rsidRPr="005A7627">
        <w:rPr>
          <w:vertAlign w:val="subscript"/>
        </w:rPr>
        <w:t>tot</w:t>
      </w:r>
      <w:proofErr w:type="spellEnd"/>
      <w:r>
        <w:t>) and the gross terminal area (</w:t>
      </w:r>
      <w:proofErr w:type="spellStart"/>
      <w:r>
        <w:t>A</w:t>
      </w:r>
      <w:r w:rsidRPr="005A7627">
        <w:rPr>
          <w:vertAlign w:val="subscript"/>
        </w:rPr>
        <w:t>gr</w:t>
      </w:r>
      <w:proofErr w:type="spellEnd"/>
      <w:r>
        <w:t xml:space="preserve">). The gross terminal area only includes the stacks and internal infrastructure of the storage area, while the total terminal area covers the total landside (e.g. gross terminal area, buildings) and </w:t>
      </w:r>
      <w:r w:rsidR="00CD02F5">
        <w:t>sea</w:t>
      </w:r>
      <w:r>
        <w:t xml:space="preserve">side areas (e.g. apron). </w:t>
      </w:r>
    </w:p>
    <w:p w14:paraId="163E8217" w14:textId="77777777" w:rsidR="00C12D4D" w:rsidRDefault="00C12D4D" w:rsidP="00C12D4D">
      <w:pPr>
        <w:spacing w:line="276" w:lineRule="auto"/>
        <w:jc w:val="both"/>
      </w:pPr>
    </w:p>
    <w:p w14:paraId="7711623A" w14:textId="79711CB0" w:rsidR="00C12D4D" w:rsidRDefault="00C12D4D" w:rsidP="00C12D4D">
      <w:pPr>
        <w:spacing w:line="276" w:lineRule="auto"/>
        <w:jc w:val="both"/>
      </w:pPr>
      <w:r>
        <w:t xml:space="preserve">The </w:t>
      </w:r>
      <w:r w:rsidR="00D23522">
        <w:t xml:space="preserve">investment </w:t>
      </w:r>
      <w:r>
        <w:t>cost</w:t>
      </w:r>
      <w:r w:rsidR="00D23522">
        <w:t xml:space="preserve"> </w:t>
      </w:r>
      <w:r>
        <w:t xml:space="preserve">of </w:t>
      </w:r>
      <w:r w:rsidR="00D23522">
        <w:t xml:space="preserve">a </w:t>
      </w:r>
      <w:r>
        <w:t>port terminal refer</w:t>
      </w:r>
      <w:r w:rsidR="00D23522">
        <w:t>s</w:t>
      </w:r>
      <w:r>
        <w:t xml:space="preserve"> to the greenfield cost of the terminal only, ignor</w:t>
      </w:r>
      <w:r w:rsidR="00EB3DFB">
        <w:t>ing</w:t>
      </w:r>
      <w:r>
        <w:t xml:space="preserve"> costs associated with supporting infrastructure (e.g. roads, rail, electricity), and the construction of breakwaters. We can distinguish between the total direct costs (</w:t>
      </w:r>
      <w:proofErr w:type="spellStart"/>
      <w:r>
        <w:t>C</w:t>
      </w:r>
      <w:r w:rsidRPr="004F3889">
        <w:rPr>
          <w:vertAlign w:val="subscript"/>
        </w:rPr>
        <w:t>dir</w:t>
      </w:r>
      <w:proofErr w:type="spellEnd"/>
      <w:r>
        <w:t>)</w:t>
      </w:r>
      <w:r w:rsidR="0035417D">
        <w:t xml:space="preserve"> (sometimes referred to as base costs)</w:t>
      </w:r>
      <w:r>
        <w:t>, which include the labour, equipment and materials needed to construct the terminal</w:t>
      </w:r>
      <w:r w:rsidR="00A67A90">
        <w:t xml:space="preserve"> and the</w:t>
      </w:r>
      <w:r>
        <w:t xml:space="preserve"> construction costs (</w:t>
      </w:r>
      <w:proofErr w:type="spellStart"/>
      <w:r>
        <w:t>C</w:t>
      </w:r>
      <w:r w:rsidRPr="004F3889">
        <w:rPr>
          <w:vertAlign w:val="subscript"/>
        </w:rPr>
        <w:t>con</w:t>
      </w:r>
      <w:proofErr w:type="spellEnd"/>
      <w:r>
        <w:t>)</w:t>
      </w:r>
      <w:r w:rsidR="00A67A90">
        <w:t xml:space="preserve">, which </w:t>
      </w:r>
      <w:r>
        <w:t>also include allowances (15%), indirect costs (25%), and contingencies (20%). In line with common practise, we assume:</w:t>
      </w:r>
    </w:p>
    <w:p w14:paraId="1F0AAA8B" w14:textId="77777777" w:rsidR="00994EEB" w:rsidRDefault="00994EEB" w:rsidP="00C12D4D">
      <w:pPr>
        <w:spacing w:line="276" w:lineRule="auto"/>
        <w:jc w:val="both"/>
      </w:pPr>
    </w:p>
    <w:p w14:paraId="70F23BE9" w14:textId="77777777" w:rsidR="00C12D4D" w:rsidRPr="00696745" w:rsidRDefault="00000000" w:rsidP="00C12D4D">
      <w:pPr>
        <w:spacing w:line="276" w:lineRule="auto"/>
        <w:jc w:val="both"/>
        <w:rPr>
          <w:rFonts w:eastAsiaTheme="minorEastAsia"/>
        </w:rPr>
      </w:pPr>
      <m:oMathPara>
        <m:oMath>
          <m:sSub>
            <m:sSubPr>
              <m:ctrlPr>
                <w:rPr>
                  <w:rFonts w:ascii="Cambria Math" w:hAnsi="Cambria Math"/>
                  <w:i/>
                </w:rPr>
              </m:ctrlPr>
            </m:sSubPr>
            <m:e>
              <m:r>
                <w:rPr>
                  <w:rFonts w:ascii="Cambria Math" w:hAnsi="Cambria Math"/>
                </w:rPr>
                <m:t>C</m:t>
              </m:r>
            </m:e>
            <m:sub>
              <m:r>
                <w:rPr>
                  <w:rFonts w:ascii="Cambria Math" w:hAnsi="Cambria Math"/>
                </w:rPr>
                <m:t>con</m:t>
              </m:r>
            </m:sub>
          </m:sSub>
          <m:r>
            <w:rPr>
              <w:rFonts w:ascii="Cambria Math" w:hAnsi="Cambria Math"/>
            </w:rPr>
            <m:t>=1.7*</m:t>
          </m:r>
          <m:sSub>
            <m:sSubPr>
              <m:ctrlPr>
                <w:rPr>
                  <w:rFonts w:ascii="Cambria Math" w:hAnsi="Cambria Math"/>
                  <w:i/>
                </w:rPr>
              </m:ctrlPr>
            </m:sSubPr>
            <m:e>
              <m:r>
                <w:rPr>
                  <w:rFonts w:ascii="Cambria Math" w:hAnsi="Cambria Math"/>
                </w:rPr>
                <m:t>C</m:t>
              </m:r>
            </m:e>
            <m:sub>
              <m:r>
                <w:rPr>
                  <w:rFonts w:ascii="Cambria Math" w:hAnsi="Cambria Math"/>
                </w:rPr>
                <m:t>dir</m:t>
              </m:r>
            </m:sub>
          </m:sSub>
        </m:oMath>
      </m:oMathPara>
    </w:p>
    <w:p w14:paraId="17F148C4" w14:textId="77777777" w:rsidR="00C12D4D" w:rsidRDefault="00C12D4D" w:rsidP="00C12D4D">
      <w:pPr>
        <w:spacing w:line="276" w:lineRule="auto"/>
        <w:jc w:val="both"/>
      </w:pPr>
    </w:p>
    <w:p w14:paraId="1E814911" w14:textId="511A69A8" w:rsidR="00C12D4D" w:rsidRPr="004F3889" w:rsidRDefault="00C12D4D" w:rsidP="00C12D4D">
      <w:pPr>
        <w:spacing w:line="276" w:lineRule="auto"/>
        <w:jc w:val="both"/>
      </w:pPr>
      <w:r>
        <w:t xml:space="preserve">Below we describe how </w:t>
      </w:r>
      <w:proofErr w:type="spellStart"/>
      <w:r>
        <w:t>C</w:t>
      </w:r>
      <w:r w:rsidRPr="004F3889">
        <w:rPr>
          <w:vertAlign w:val="subscript"/>
        </w:rPr>
        <w:t>dir</w:t>
      </w:r>
      <w:proofErr w:type="spellEnd"/>
      <w:r>
        <w:t xml:space="preserve"> </w:t>
      </w:r>
      <w:r w:rsidR="005A7627">
        <w:t xml:space="preserve">and </w:t>
      </w:r>
      <w:proofErr w:type="spellStart"/>
      <w:r w:rsidR="005A7627">
        <w:t>A</w:t>
      </w:r>
      <w:r w:rsidR="005A7627" w:rsidRPr="005A7627">
        <w:rPr>
          <w:vertAlign w:val="subscript"/>
        </w:rPr>
        <w:t>tot</w:t>
      </w:r>
      <w:proofErr w:type="spellEnd"/>
      <w:r w:rsidR="005A7627">
        <w:t xml:space="preserve"> </w:t>
      </w:r>
      <w:r>
        <w:t xml:space="preserve">are estimated per terminal type. The investment costs in the main manuscript all refer to the </w:t>
      </w:r>
      <w:proofErr w:type="spellStart"/>
      <w:r>
        <w:t>C</w:t>
      </w:r>
      <w:r>
        <w:rPr>
          <w:vertAlign w:val="subscript"/>
        </w:rPr>
        <w:t>con</w:t>
      </w:r>
      <w:proofErr w:type="spellEnd"/>
      <w:r>
        <w:t xml:space="preserve">. </w:t>
      </w:r>
      <w:r w:rsidR="003C655E">
        <w:t>We use cost scaling factors per region to reflect broad-scale differences in construction costs</w:t>
      </w:r>
      <w:r w:rsidR="00061570">
        <w:t xml:space="preserve"> (Supplementary Table 1)</w:t>
      </w:r>
      <w:r w:rsidR="003C655E">
        <w:t>. These cost ratios are derived in earlier work</w:t>
      </w:r>
      <w:r w:rsidR="008A5081">
        <w:fldChar w:fldCharType="begin" w:fldLock="1"/>
      </w:r>
      <w:r w:rsidR="00CB11A2">
        <w:instrText>ADDIN CSL_CITATION {"citationItems":[{"id":"ITEM-1","itemData":{"DOI":"10.1038/s43247-022-00656-7","ISSN":"2662-4435","abstract":"Despite their economic importance, the risk that ports face from multiple natural hazards has not yet been monetised on a global scale. Here, we perform an asset-level risk analysis of global port infrastructure from multiple hazards, quantifying the risk to physical asset damages and logistics services (i.e. port-specific risk) and maritime trade flows at-risk (i.e. trade risk). We find that 86% majority of ports are exposed to more than three hazards. Globally, port-specific risk totals 7.5 USD bn per year, with 32% of the risk attributed to tropical cyclone impacts. In addition, 63.1 USD bn of trade is at-risk every year, with trade risk as a fraction of total trade being particularly high in Small Island Developing States. Our result underline that port resilience is determined by various critical factors, such as engineering standards, operational thresholds, recovery duration, that vary widely across ports, requiring tailored solutions to improve port resilience.","author":[{"dropping-particle":"","family":"Verschuur","given":"J.","non-dropping-particle":"","parse-names":false,"suffix":""},{"dropping-particle":"","family":"Koks","given":"E. E.","non-dropping-particle":"","parse-names":false,"suffix":""},{"dropping-particle":"","family":"Li","given":"S.","non-dropping-particle":"","parse-names":false,"suffix":""},{"dropping-particle":"","family":"Hall","given":"J.W.","non-dropping-particle":"","parse-names":false,"suffix":""}],"container-title":"Communications Earth &amp; Environment","id":"ITEM-1","issue":"1","issued":{"date-parts":[["2023","1","12"]]},"page":"5","title":"Multi-hazard risk to global port infrastructure and resulting trade and logistics losses","type":"article-journal","volume":"4"},"uris":["http://www.mendeley.com/documents/?uuid=731330bf-a49a-4dd3-9378-a7dd17f6d94f"]}],"mendeley":{"formattedCitation":"&lt;sup&gt;1&lt;/sup&gt;","plainTextFormattedCitation":"1","previouslyFormattedCitation":"&lt;sup&gt;1&lt;/sup&gt;"},"properties":{"noteIndex":0},"schema":"https://github.com/citation-style-language/schema/raw/master/csl-citation.json"}</w:instrText>
      </w:r>
      <w:r w:rsidR="008A5081">
        <w:fldChar w:fldCharType="separate"/>
      </w:r>
      <w:r w:rsidR="008A5081" w:rsidRPr="008A5081">
        <w:rPr>
          <w:noProof/>
          <w:vertAlign w:val="superscript"/>
        </w:rPr>
        <w:t>1</w:t>
      </w:r>
      <w:r w:rsidR="008A5081">
        <w:fldChar w:fldCharType="end"/>
      </w:r>
      <w:r w:rsidR="008A5081">
        <w:t xml:space="preserve">. </w:t>
      </w:r>
      <w:r w:rsidR="003C655E">
        <w:t xml:space="preserve"> </w:t>
      </w:r>
    </w:p>
    <w:p w14:paraId="60DCDE0D" w14:textId="77777777" w:rsidR="00C12D4D" w:rsidRPr="00581107" w:rsidRDefault="00C12D4D" w:rsidP="00C12D4D">
      <w:pPr>
        <w:spacing w:line="276" w:lineRule="auto"/>
        <w:jc w:val="both"/>
        <w:rPr>
          <w:b/>
          <w:bCs/>
        </w:rPr>
      </w:pPr>
    </w:p>
    <w:p w14:paraId="143F8080" w14:textId="30A9FB66" w:rsidR="00C12D4D" w:rsidRPr="00D471A0" w:rsidRDefault="00C12D4D" w:rsidP="00C12D4D">
      <w:pPr>
        <w:spacing w:line="276" w:lineRule="auto"/>
        <w:jc w:val="both"/>
        <w:rPr>
          <w:b/>
          <w:bCs/>
        </w:rPr>
      </w:pPr>
      <w:r w:rsidRPr="00D471A0">
        <w:rPr>
          <w:b/>
          <w:bCs/>
        </w:rPr>
        <w:t>Container terminal</w:t>
      </w:r>
    </w:p>
    <w:p w14:paraId="633177EE" w14:textId="77777777" w:rsidR="00C12D4D" w:rsidRPr="00C15704" w:rsidRDefault="00C12D4D" w:rsidP="00C12D4D">
      <w:pPr>
        <w:spacing w:line="276" w:lineRule="auto"/>
        <w:jc w:val="both"/>
        <w:rPr>
          <w:i/>
          <w:iCs/>
        </w:rPr>
      </w:pPr>
      <w:r w:rsidRPr="00F0499B">
        <w:rPr>
          <w:i/>
          <w:iCs/>
        </w:rPr>
        <w:t>Area requirement</w:t>
      </w:r>
    </w:p>
    <w:p w14:paraId="7BD2BF99" w14:textId="77777777" w:rsidR="00C12D4D" w:rsidRPr="00581107" w:rsidRDefault="00C12D4D" w:rsidP="00C12D4D">
      <w:pPr>
        <w:spacing w:line="276" w:lineRule="auto"/>
        <w:jc w:val="both"/>
      </w:pPr>
      <w:r w:rsidRPr="00581107">
        <w:t>The container terminal st</w:t>
      </w:r>
      <w:r>
        <w:t>o</w:t>
      </w:r>
      <w:r w:rsidRPr="00581107">
        <w:t>rage area is predicted using the following formula:</w:t>
      </w:r>
    </w:p>
    <w:p w14:paraId="5F0D3E20" w14:textId="77777777" w:rsidR="00C12D4D" w:rsidRPr="00581107" w:rsidRDefault="00C12D4D" w:rsidP="00C12D4D">
      <w:pPr>
        <w:spacing w:line="276" w:lineRule="auto"/>
        <w:jc w:val="both"/>
      </w:pPr>
    </w:p>
    <w:p w14:paraId="1A15410C" w14:textId="77777777" w:rsidR="00C12D4D" w:rsidRPr="00581107" w:rsidRDefault="00000000" w:rsidP="00C12D4D">
      <w:pPr>
        <w:spacing w:line="276" w:lineRule="auto"/>
        <w:jc w:val="both"/>
        <w:rPr>
          <w:rFonts w:eastAsiaTheme="minorEastAsia"/>
        </w:rPr>
      </w:pPr>
      <m:oMathPara>
        <m:oMath>
          <m:sSub>
            <m:sSubPr>
              <m:ctrlPr>
                <w:rPr>
                  <w:rFonts w:ascii="Cambria Math" w:hAnsi="Cambria Math"/>
                  <w:i/>
                </w:rPr>
              </m:ctrlPr>
            </m:sSubPr>
            <m:e>
              <m:r>
                <w:rPr>
                  <w:rFonts w:ascii="Cambria Math" w:hAnsi="Cambria Math"/>
                </w:rPr>
                <m:t>A</m:t>
              </m:r>
            </m:e>
            <m:sub>
              <m:r>
                <w:rPr>
                  <w:rFonts w:ascii="Cambria Math" w:hAnsi="Cambria Math"/>
                </w:rPr>
                <m:t>tot</m:t>
              </m:r>
            </m:sub>
          </m:sSub>
          <m:r>
            <w:rPr>
              <w:rFonts w:ascii="Cambria Math" w:hAnsi="Cambria Math"/>
            </w:rPr>
            <m:t>=</m:t>
          </m:r>
          <m:sSub>
            <m:sSubPr>
              <m:ctrlPr>
                <w:rPr>
                  <w:rFonts w:ascii="Cambria Math" w:hAnsi="Cambria Math"/>
                  <w:i/>
                </w:rPr>
              </m:ctrlPr>
            </m:sSubPr>
            <m:e>
              <m:r>
                <m:rPr>
                  <m:sty m:val="p"/>
                </m:rPr>
                <w:rPr>
                  <w:rFonts w:ascii="Cambria Math" w:hAnsi="Cambria Math"/>
                </w:rPr>
                <m:t>α</m:t>
              </m:r>
            </m:e>
            <m:sub>
              <m:r>
                <w:rPr>
                  <w:rFonts w:ascii="Cambria Math" w:hAnsi="Cambria Math"/>
                </w:rPr>
                <m:t>C</m:t>
              </m:r>
            </m:sub>
          </m:sSub>
          <m:r>
            <w:rPr>
              <w:rFonts w:ascii="Cambria Math" w:hAnsi="Cambria Math"/>
            </w:rPr>
            <m:t>*</m:t>
          </m:r>
          <m:f>
            <m:fPr>
              <m:ctrlPr>
                <w:rPr>
                  <w:rFonts w:ascii="Cambria Math" w:hAnsi="Cambria Math"/>
                </w:rPr>
              </m:ctrlPr>
            </m:fPr>
            <m:num>
              <m:r>
                <w:rPr>
                  <w:rFonts w:ascii="Cambria Math" w:hAnsi="Cambria Math"/>
                </w:rPr>
                <m:t>T*t*</m:t>
              </m:r>
              <m:sSub>
                <m:sSubPr>
                  <m:ctrlPr>
                    <w:rPr>
                      <w:rFonts w:ascii="Cambria Math" w:hAnsi="Cambria Math"/>
                      <w:i/>
                    </w:rPr>
                  </m:ctrlPr>
                </m:sSubPr>
                <m:e>
                  <m:r>
                    <w:rPr>
                      <w:rFonts w:ascii="Cambria Math" w:hAnsi="Cambria Math"/>
                    </w:rPr>
                    <m:t>A</m:t>
                  </m:r>
                </m:e>
                <m:sub>
                  <m:r>
                    <w:rPr>
                      <w:rFonts w:ascii="Cambria Math" w:hAnsi="Cambria Math"/>
                    </w:rPr>
                    <m:t>TEU</m:t>
                  </m:r>
                </m:sub>
              </m:sSub>
              <m:ctrlPr>
                <w:rPr>
                  <w:rFonts w:ascii="Cambria Math" w:hAnsi="Cambria Math"/>
                  <w:i/>
                </w:rPr>
              </m:ctrlPr>
            </m:num>
            <m:den>
              <m:sSub>
                <m:sSubPr>
                  <m:ctrlPr>
                    <w:rPr>
                      <w:rFonts w:ascii="Cambria Math" w:hAnsi="Cambria Math"/>
                      <w:i/>
                    </w:rPr>
                  </m:ctrlPr>
                </m:sSubPr>
                <m:e>
                  <m:r>
                    <w:rPr>
                      <w:rFonts w:ascii="Cambria Math" w:hAnsi="Cambria Math"/>
                    </w:rPr>
                    <m:t>V</m:t>
                  </m:r>
                </m:e>
                <m:sub>
                  <m:r>
                    <w:rPr>
                      <w:rFonts w:ascii="Cambria Math" w:hAnsi="Cambria Math"/>
                    </w:rPr>
                    <m:t>TEU</m:t>
                  </m:r>
                </m:sub>
              </m:sSub>
              <m:r>
                <w:rPr>
                  <w:rFonts w:ascii="Cambria Math" w:hAnsi="Cambria Math"/>
                </w:rPr>
                <m:t>*r*m*365</m:t>
              </m:r>
              <m:ctrlPr>
                <w:rPr>
                  <w:rFonts w:ascii="Cambria Math" w:hAnsi="Cambria Math"/>
                  <w:i/>
                </w:rPr>
              </m:ctrlPr>
            </m:den>
          </m:f>
        </m:oMath>
      </m:oMathPara>
    </w:p>
    <w:p w14:paraId="3C6D20A8" w14:textId="77777777" w:rsidR="00C12D4D" w:rsidRPr="00581107" w:rsidRDefault="00C12D4D" w:rsidP="00C12D4D">
      <w:pPr>
        <w:spacing w:line="276" w:lineRule="auto"/>
        <w:jc w:val="both"/>
        <w:rPr>
          <w:rFonts w:eastAsiaTheme="minorEastAsia"/>
        </w:rPr>
      </w:pPr>
    </w:p>
    <w:p w14:paraId="418AA8D2" w14:textId="4467D28D" w:rsidR="00C12D4D" w:rsidRPr="00581107" w:rsidRDefault="00C12D4D" w:rsidP="00C12D4D">
      <w:pPr>
        <w:spacing w:line="276" w:lineRule="auto"/>
        <w:jc w:val="both"/>
        <w:rPr>
          <w:rFonts w:eastAsiaTheme="minorEastAsia"/>
        </w:rPr>
      </w:pPr>
      <w:r w:rsidRPr="00581107">
        <w:rPr>
          <w:rFonts w:eastAsiaTheme="minorEastAsia"/>
        </w:rPr>
        <w:t xml:space="preserve">With </w:t>
      </w:r>
      <m:oMath>
        <m:sSub>
          <m:sSubPr>
            <m:ctrlPr>
              <w:rPr>
                <w:rFonts w:ascii="Cambria Math" w:hAnsi="Cambria Math"/>
                <w:i/>
              </w:rPr>
            </m:ctrlPr>
          </m:sSubPr>
          <m:e>
            <m:r>
              <m:rPr>
                <m:sty m:val="p"/>
              </m:rPr>
              <w:rPr>
                <w:rFonts w:ascii="Cambria Math" w:hAnsi="Cambria Math"/>
              </w:rPr>
              <m:t>α</m:t>
            </m:r>
          </m:e>
          <m:sub>
            <m:r>
              <w:rPr>
                <w:rFonts w:ascii="Cambria Math" w:hAnsi="Cambria Math"/>
              </w:rPr>
              <m:t>C</m:t>
            </m:r>
          </m:sub>
        </m:sSub>
      </m:oMath>
      <w:r w:rsidRPr="00581107">
        <w:rPr>
          <w:rFonts w:eastAsiaTheme="minorEastAsia"/>
        </w:rPr>
        <w:t xml:space="preserve"> the terminal conversion factor for container terminal (the conversion from storage to gross terminal area), </w:t>
      </w:r>
      <w:r w:rsidRPr="00581107">
        <w:rPr>
          <w:rFonts w:eastAsiaTheme="minorEastAsia"/>
          <w:i/>
          <w:iCs/>
        </w:rPr>
        <w:t>T</w:t>
      </w:r>
      <w:r w:rsidRPr="00581107">
        <w:rPr>
          <w:rFonts w:eastAsiaTheme="minorEastAsia"/>
        </w:rPr>
        <w:t xml:space="preserve"> the throughput in tonnes per year,</w:t>
      </w:r>
      <w:r w:rsidRPr="00581107">
        <w:rPr>
          <w:rFonts w:eastAsiaTheme="minorEastAsia"/>
          <w:i/>
          <w:iCs/>
        </w:rPr>
        <w:t xml:space="preserve"> t</w:t>
      </w:r>
      <w:r w:rsidRPr="00581107">
        <w:rPr>
          <w:rFonts w:eastAsiaTheme="minorEastAsia"/>
        </w:rPr>
        <w:t xml:space="preserve"> the dwell time, </w:t>
      </w:r>
      <w:proofErr w:type="spellStart"/>
      <w:r w:rsidRPr="00581107">
        <w:rPr>
          <w:rFonts w:eastAsiaTheme="minorEastAsia"/>
          <w:i/>
          <w:iCs/>
        </w:rPr>
        <w:t>A</w:t>
      </w:r>
      <w:r w:rsidRPr="00581107">
        <w:rPr>
          <w:rFonts w:eastAsiaTheme="minorEastAsia"/>
          <w:i/>
          <w:iCs/>
          <w:vertAlign w:val="subscript"/>
        </w:rPr>
        <w:t>teu</w:t>
      </w:r>
      <w:proofErr w:type="spellEnd"/>
      <w:r w:rsidRPr="00581107">
        <w:rPr>
          <w:rFonts w:eastAsiaTheme="minorEastAsia"/>
        </w:rPr>
        <w:t xml:space="preserve"> the gross storage density of containers, </w:t>
      </w:r>
      <w:r w:rsidRPr="00581107">
        <w:rPr>
          <w:rFonts w:eastAsiaTheme="minorEastAsia"/>
          <w:i/>
          <w:iCs/>
        </w:rPr>
        <w:t>r</w:t>
      </w:r>
      <w:r w:rsidRPr="00581107">
        <w:rPr>
          <w:rFonts w:eastAsiaTheme="minorEastAsia"/>
        </w:rPr>
        <w:t xml:space="preserve"> the ratio of average over maximum stacking height, </w:t>
      </w:r>
      <w:r w:rsidRPr="00581107">
        <w:rPr>
          <w:rFonts w:eastAsiaTheme="minorEastAsia"/>
          <w:i/>
          <w:iCs/>
        </w:rPr>
        <w:t>m</w:t>
      </w:r>
      <w:r w:rsidRPr="00581107">
        <w:rPr>
          <w:rFonts w:eastAsiaTheme="minorEastAsia"/>
        </w:rPr>
        <w:t xml:space="preserve"> the storage occupancy ratio, and </w:t>
      </w:r>
      <w:proofErr w:type="spellStart"/>
      <w:r>
        <w:rPr>
          <w:rFonts w:eastAsiaTheme="minorEastAsia"/>
          <w:i/>
          <w:iCs/>
        </w:rPr>
        <w:t>V</w:t>
      </w:r>
      <w:r w:rsidRPr="00581107">
        <w:rPr>
          <w:rFonts w:eastAsiaTheme="minorEastAsia"/>
          <w:i/>
          <w:iCs/>
          <w:vertAlign w:val="subscript"/>
        </w:rPr>
        <w:t>teu</w:t>
      </w:r>
      <w:proofErr w:type="spellEnd"/>
      <w:r w:rsidRPr="00581107">
        <w:rPr>
          <w:rFonts w:eastAsiaTheme="minorEastAsia"/>
        </w:rPr>
        <w:t xml:space="preserve"> the tonnes to TEU conversion factor. </w:t>
      </w:r>
      <w:proofErr w:type="spellStart"/>
      <w:r w:rsidRPr="00581107">
        <w:rPr>
          <w:rFonts w:eastAsiaTheme="minorEastAsia"/>
          <w:i/>
          <w:iCs/>
        </w:rPr>
        <w:t>A</w:t>
      </w:r>
      <w:r w:rsidRPr="00581107">
        <w:rPr>
          <w:rFonts w:eastAsiaTheme="minorEastAsia"/>
          <w:i/>
          <w:iCs/>
          <w:vertAlign w:val="subscript"/>
        </w:rPr>
        <w:t>teu</w:t>
      </w:r>
      <w:proofErr w:type="spellEnd"/>
      <w:r w:rsidRPr="00581107">
        <w:rPr>
          <w:rFonts w:eastAsiaTheme="minorEastAsia"/>
        </w:rPr>
        <w:t xml:space="preserve"> and</w:t>
      </w:r>
      <w:r w:rsidRPr="00581107">
        <w:rPr>
          <w:rFonts w:eastAsiaTheme="minorEastAsia"/>
          <w:i/>
          <w:iCs/>
        </w:rPr>
        <w:t xml:space="preserve"> r</w:t>
      </w:r>
      <w:r w:rsidRPr="00581107">
        <w:rPr>
          <w:rFonts w:eastAsiaTheme="minorEastAsia"/>
        </w:rPr>
        <w:t xml:space="preserve"> depend on the equipment used in the storage yard (reach stacker, straddle carrier, gantry crane), see </w:t>
      </w:r>
      <w:r w:rsidR="00B72452">
        <w:rPr>
          <w:rFonts w:eastAsiaTheme="minorEastAsia"/>
        </w:rPr>
        <w:t>Supplementary Table 4</w:t>
      </w:r>
      <w:r w:rsidRPr="00581107">
        <w:rPr>
          <w:rFonts w:eastAsiaTheme="minorEastAsia"/>
        </w:rPr>
        <w:t xml:space="preserve"> for the general ranges. Transhipment ports often have smaller space requirement, because of lower dwell times and lower values of </w:t>
      </w:r>
      <m:oMath>
        <m:sSub>
          <m:sSubPr>
            <m:ctrlPr>
              <w:rPr>
                <w:rFonts w:ascii="Cambria Math" w:hAnsi="Cambria Math"/>
                <w:i/>
              </w:rPr>
            </m:ctrlPr>
          </m:sSubPr>
          <m:e>
            <m:r>
              <m:rPr>
                <m:sty m:val="p"/>
              </m:rPr>
              <w:rPr>
                <w:rFonts w:ascii="Cambria Math" w:hAnsi="Cambria Math"/>
              </w:rPr>
              <m:t>α</m:t>
            </m:r>
          </m:e>
          <m:sub>
            <m:r>
              <w:rPr>
                <w:rFonts w:ascii="Cambria Math" w:hAnsi="Cambria Math"/>
              </w:rPr>
              <m:t>C</m:t>
            </m:r>
          </m:sub>
        </m:sSub>
      </m:oMath>
      <w:r w:rsidRPr="00581107">
        <w:rPr>
          <w:rFonts w:eastAsiaTheme="minorEastAsia"/>
        </w:rPr>
        <w:t>. Hence, we adopt the following formula:</w:t>
      </w:r>
    </w:p>
    <w:p w14:paraId="7F7B4751" w14:textId="77777777" w:rsidR="00C12D4D" w:rsidRPr="00581107" w:rsidRDefault="00C12D4D" w:rsidP="00C12D4D">
      <w:pPr>
        <w:spacing w:line="276" w:lineRule="auto"/>
        <w:jc w:val="both"/>
        <w:rPr>
          <w:rFonts w:eastAsiaTheme="minorEastAsia"/>
        </w:rPr>
      </w:pPr>
    </w:p>
    <w:p w14:paraId="376BF61F" w14:textId="77777777" w:rsidR="00C12D4D" w:rsidRPr="00581107" w:rsidRDefault="00000000" w:rsidP="00C12D4D">
      <w:pPr>
        <w:spacing w:line="276" w:lineRule="auto"/>
        <w:jc w:val="both"/>
        <w:rPr>
          <w:rFonts w:eastAsiaTheme="minorEastAsia"/>
        </w:rPr>
      </w:pPr>
      <m:oMathPara>
        <m:oMath>
          <m:sSub>
            <m:sSubPr>
              <m:ctrlPr>
                <w:rPr>
                  <w:rFonts w:ascii="Cambria Math" w:hAnsi="Cambria Math"/>
                  <w:i/>
                </w:rPr>
              </m:ctrlPr>
            </m:sSubPr>
            <m:e>
              <m:r>
                <w:rPr>
                  <w:rFonts w:ascii="Cambria Math" w:hAnsi="Cambria Math"/>
                </w:rPr>
                <m:t>A</m:t>
              </m:r>
            </m:e>
            <m:sub>
              <m:r>
                <w:rPr>
                  <w:rFonts w:ascii="Cambria Math" w:hAnsi="Cambria Math"/>
                </w:rPr>
                <m:t>tot</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T</m:t>
              </m:r>
            </m:sub>
          </m:sSub>
          <m:r>
            <w:rPr>
              <w:rFonts w:ascii="Cambria Math" w:eastAsiaTheme="minorEastAsia" w:hAnsi="Cambria Math"/>
            </w:rPr>
            <m:t>*0.5*</m:t>
          </m:r>
          <m:sSub>
            <m:sSubPr>
              <m:ctrlPr>
                <w:rPr>
                  <w:rFonts w:ascii="Cambria Math" w:hAnsi="Cambria Math"/>
                  <w:i/>
                </w:rPr>
              </m:ctrlPr>
            </m:sSubPr>
            <m:e>
              <m:r>
                <w:rPr>
                  <w:rFonts w:ascii="Cambria Math" w:hAnsi="Cambria Math"/>
                </w:rPr>
                <m:t>A</m:t>
              </m:r>
            </m:e>
            <m:sub>
              <m:r>
                <w:rPr>
                  <w:rFonts w:ascii="Cambria Math" w:hAnsi="Cambria Math"/>
                </w:rPr>
                <m:t>tot</m:t>
              </m:r>
            </m:sub>
          </m:sSub>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1-</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T</m:t>
                  </m:r>
                </m:sub>
              </m:sSub>
            </m:e>
          </m:d>
          <m:r>
            <w:rPr>
              <w:rFonts w:ascii="Cambria Math" w:eastAsiaTheme="minorEastAsia" w:hAnsi="Cambria Math"/>
            </w:rPr>
            <m:t>*</m:t>
          </m:r>
          <m:sSub>
            <m:sSubPr>
              <m:ctrlPr>
                <w:rPr>
                  <w:rFonts w:ascii="Cambria Math" w:hAnsi="Cambria Math"/>
                  <w:i/>
                </w:rPr>
              </m:ctrlPr>
            </m:sSubPr>
            <m:e>
              <m:r>
                <w:rPr>
                  <w:rFonts w:ascii="Cambria Math" w:hAnsi="Cambria Math"/>
                </w:rPr>
                <m:t>A</m:t>
              </m:r>
            </m:e>
            <m:sub>
              <m:r>
                <w:rPr>
                  <w:rFonts w:ascii="Cambria Math" w:hAnsi="Cambria Math"/>
                </w:rPr>
                <m:t>tot</m:t>
              </m:r>
            </m:sub>
          </m:sSub>
        </m:oMath>
      </m:oMathPara>
    </w:p>
    <w:p w14:paraId="43CDDB4D" w14:textId="77777777" w:rsidR="00C12D4D" w:rsidRPr="00581107" w:rsidRDefault="00C12D4D" w:rsidP="00C12D4D">
      <w:pPr>
        <w:spacing w:line="276" w:lineRule="auto"/>
        <w:jc w:val="both"/>
        <w:rPr>
          <w:rFonts w:eastAsiaTheme="minorEastAsia"/>
        </w:rPr>
      </w:pPr>
    </w:p>
    <w:p w14:paraId="4B630338" w14:textId="3572AEB5" w:rsidR="00C12D4D" w:rsidRDefault="00C12D4D" w:rsidP="00C12D4D">
      <w:pPr>
        <w:spacing w:line="276" w:lineRule="auto"/>
        <w:jc w:val="both"/>
        <w:rPr>
          <w:rFonts w:eastAsiaTheme="minorEastAsia"/>
        </w:rPr>
      </w:pPr>
      <w:r w:rsidRPr="00581107">
        <w:rPr>
          <w:rFonts w:eastAsiaTheme="minorEastAsia"/>
        </w:rPr>
        <w:t xml:space="preserve">With </w:t>
      </w:r>
      <w:proofErr w:type="spellStart"/>
      <w:r w:rsidRPr="00A538B0">
        <w:rPr>
          <w:rFonts w:eastAsiaTheme="minorEastAsia"/>
          <w:i/>
          <w:iCs/>
        </w:rPr>
        <w:t>f</w:t>
      </w:r>
      <w:r w:rsidRPr="00A538B0">
        <w:rPr>
          <w:rFonts w:eastAsiaTheme="minorEastAsia"/>
          <w:i/>
          <w:iCs/>
          <w:vertAlign w:val="subscript"/>
        </w:rPr>
        <w:t>T</w:t>
      </w:r>
      <w:proofErr w:type="spellEnd"/>
      <w:r w:rsidRPr="00581107">
        <w:rPr>
          <w:rFonts w:eastAsiaTheme="minorEastAsia"/>
        </w:rPr>
        <w:t xml:space="preserve"> the fraction of throughput that is transhipment. </w:t>
      </w:r>
      <w:r w:rsidRPr="00581107">
        <w:rPr>
          <w:rFonts w:eastAsiaTheme="minorEastAsia"/>
          <w:i/>
          <w:iCs/>
        </w:rPr>
        <w:t>T</w:t>
      </w:r>
      <w:r w:rsidRPr="00581107">
        <w:rPr>
          <w:rFonts w:eastAsiaTheme="minorEastAsia"/>
        </w:rPr>
        <w:t xml:space="preserve"> and </w:t>
      </w:r>
      <w:proofErr w:type="spellStart"/>
      <w:r w:rsidRPr="00581107">
        <w:rPr>
          <w:rFonts w:eastAsiaTheme="minorEastAsia"/>
          <w:i/>
          <w:iCs/>
        </w:rPr>
        <w:t>f</w:t>
      </w:r>
      <w:r w:rsidRPr="00581107">
        <w:rPr>
          <w:rFonts w:eastAsiaTheme="minorEastAsia"/>
          <w:i/>
          <w:iCs/>
          <w:vertAlign w:val="subscript"/>
        </w:rPr>
        <w:t>T</w:t>
      </w:r>
      <w:proofErr w:type="spellEnd"/>
      <w:r w:rsidRPr="00581107">
        <w:rPr>
          <w:rFonts w:eastAsiaTheme="minorEastAsia"/>
        </w:rPr>
        <w:t xml:space="preserve"> come from the </w:t>
      </w:r>
      <w:r w:rsidR="00D60E54">
        <w:rPr>
          <w:rFonts w:eastAsiaTheme="minorEastAsia"/>
        </w:rPr>
        <w:t>Oxford M</w:t>
      </w:r>
      <w:r w:rsidR="008A5081">
        <w:rPr>
          <w:rFonts w:eastAsiaTheme="minorEastAsia"/>
        </w:rPr>
        <w:t xml:space="preserve">aritime </w:t>
      </w:r>
      <w:r w:rsidR="00D60E54">
        <w:rPr>
          <w:rFonts w:eastAsiaTheme="minorEastAsia"/>
        </w:rPr>
        <w:t>T</w:t>
      </w:r>
      <w:r w:rsidR="008A5081">
        <w:rPr>
          <w:rFonts w:eastAsiaTheme="minorEastAsia"/>
        </w:rPr>
        <w:t xml:space="preserve">ransport </w:t>
      </w:r>
      <w:r w:rsidR="00D60E54">
        <w:rPr>
          <w:rFonts w:eastAsiaTheme="minorEastAsia"/>
        </w:rPr>
        <w:t>m</w:t>
      </w:r>
      <w:r w:rsidR="008A5081">
        <w:rPr>
          <w:rFonts w:eastAsiaTheme="minorEastAsia"/>
        </w:rPr>
        <w:t>odel</w:t>
      </w:r>
      <w:r w:rsidR="00D60E54">
        <w:rPr>
          <w:rFonts w:eastAsiaTheme="minorEastAsia"/>
        </w:rPr>
        <w:t xml:space="preserve"> output</w:t>
      </w:r>
      <w:r w:rsidRPr="00581107">
        <w:rPr>
          <w:rFonts w:eastAsiaTheme="minorEastAsia"/>
        </w:rPr>
        <w:t xml:space="preserve">, while for the other parameters we use a range </w:t>
      </w:r>
      <w:r w:rsidR="00722996">
        <w:rPr>
          <w:rFonts w:eastAsiaTheme="minorEastAsia"/>
        </w:rPr>
        <w:t xml:space="preserve">of </w:t>
      </w:r>
      <w:r w:rsidRPr="00581107">
        <w:rPr>
          <w:rFonts w:eastAsiaTheme="minorEastAsia"/>
        </w:rPr>
        <w:t>values</w:t>
      </w:r>
      <w:r w:rsidR="00722996">
        <w:rPr>
          <w:rFonts w:eastAsiaTheme="minorEastAsia"/>
        </w:rPr>
        <w:t xml:space="preserve"> </w:t>
      </w:r>
      <w:r w:rsidRPr="00581107">
        <w:rPr>
          <w:rFonts w:eastAsiaTheme="minorEastAsia"/>
        </w:rPr>
        <w:t xml:space="preserve">from the literature (see </w:t>
      </w:r>
      <w:r w:rsidR="00475745">
        <w:rPr>
          <w:rFonts w:eastAsiaTheme="minorEastAsia"/>
        </w:rPr>
        <w:t>Supplementary T</w:t>
      </w:r>
      <w:r w:rsidRPr="00581107">
        <w:rPr>
          <w:rFonts w:eastAsiaTheme="minorEastAsia"/>
        </w:rPr>
        <w:t xml:space="preserve">able </w:t>
      </w:r>
      <w:r w:rsidR="008A5081">
        <w:rPr>
          <w:rFonts w:eastAsiaTheme="minorEastAsia"/>
        </w:rPr>
        <w:t>2</w:t>
      </w:r>
      <w:r w:rsidRPr="00581107">
        <w:rPr>
          <w:rFonts w:eastAsiaTheme="minorEastAsia"/>
        </w:rPr>
        <w:t xml:space="preserve">). </w:t>
      </w:r>
      <w:r w:rsidR="002A0A36" w:rsidRPr="00581107">
        <w:rPr>
          <w:rFonts w:eastAsiaTheme="minorEastAsia"/>
        </w:rPr>
        <w:t>For the construction of new container terminals, we use Rubble Tyred Gantry</w:t>
      </w:r>
      <w:r w:rsidR="00994EEB">
        <w:rPr>
          <w:rFonts w:eastAsiaTheme="minorEastAsia"/>
        </w:rPr>
        <w:t xml:space="preserve"> (RTG)</w:t>
      </w:r>
      <w:r w:rsidR="002A0A36" w:rsidRPr="00581107">
        <w:rPr>
          <w:rFonts w:eastAsiaTheme="minorEastAsia"/>
        </w:rPr>
        <w:t xml:space="preserve"> cranes as main yard equipment type, since this is the most common </w:t>
      </w:r>
      <w:r w:rsidR="002A0A36" w:rsidRPr="00581107">
        <w:rPr>
          <w:rFonts w:eastAsiaTheme="minorEastAsia"/>
        </w:rPr>
        <w:lastRenderedPageBreak/>
        <w:t>equipment type across modern container ports, in particular for larger ports which handle the majority of containers (and where most port expansions will take place)</w:t>
      </w:r>
      <w:r w:rsidR="002A0A36">
        <w:rPr>
          <w:rFonts w:eastAsiaTheme="minorEastAsia"/>
        </w:rPr>
        <w:fldChar w:fldCharType="begin" w:fldLock="1"/>
      </w:r>
      <w:r w:rsidR="008A5081">
        <w:rPr>
          <w:rFonts w:eastAsiaTheme="minorEastAsia"/>
        </w:rPr>
        <w:instrText>ADDIN CSL_CITATION {"citationItems":[{"id":"ITEM-1","itemData":{"author":[{"dropping-particle":"","family":"Wiese","given":"Jörg","non-dropping-particle":"","parse-names":false,"suffix":""},{"dropping-particle":"","family":"Kliewer","given":"Natalia","non-dropping-particle":"","parse-names":false,"suffix":""},{"dropping-particle":"","family":"Suhl","given":"Leena","non-dropping-particle":"","parse-names":false,"suffix":""},{"dropping-particle":"","family":"Str","given":"Warburger","non-dropping-particle":"","parse-names":false,"suffix":""}],"container-title":"Operations Research","id":"ITEM-1","issue":"March","issued":{"date-parts":[["2009"]]},"title":"A Survey of Container Terminal Characteristics and Equipment Types","type":"article-journal"},"uris":["http://www.mendeley.com/documents/?uuid=f49d85e7-a99f-484c-acdc-d8507ddcdeb1"]}],"mendeley":{"formattedCitation":"&lt;sup&gt;2&lt;/sup&gt;","plainTextFormattedCitation":"2","previouslyFormattedCitation":"&lt;sup&gt;2&lt;/sup&gt;"},"properties":{"noteIndex":0},"schema":"https://github.com/citation-style-language/schema/raw/master/csl-citation.json"}</w:instrText>
      </w:r>
      <w:r w:rsidR="002A0A36">
        <w:rPr>
          <w:rFonts w:eastAsiaTheme="minorEastAsia"/>
        </w:rPr>
        <w:fldChar w:fldCharType="separate"/>
      </w:r>
      <w:r w:rsidR="008A5081" w:rsidRPr="008A5081">
        <w:rPr>
          <w:rFonts w:eastAsiaTheme="minorEastAsia"/>
          <w:noProof/>
          <w:vertAlign w:val="superscript"/>
        </w:rPr>
        <w:t>2</w:t>
      </w:r>
      <w:r w:rsidR="002A0A36">
        <w:rPr>
          <w:rFonts w:eastAsiaTheme="minorEastAsia"/>
        </w:rPr>
        <w:fldChar w:fldCharType="end"/>
      </w:r>
      <w:r w:rsidR="002A0A36" w:rsidRPr="00581107">
        <w:rPr>
          <w:rFonts w:eastAsiaTheme="minorEastAsia"/>
        </w:rPr>
        <w:t>.</w:t>
      </w:r>
    </w:p>
    <w:p w14:paraId="2335583E" w14:textId="77777777" w:rsidR="00C12D4D" w:rsidRDefault="00C12D4D" w:rsidP="00C12D4D">
      <w:pPr>
        <w:spacing w:line="276" w:lineRule="auto"/>
        <w:jc w:val="both"/>
        <w:rPr>
          <w:i/>
          <w:iCs/>
        </w:rPr>
      </w:pPr>
    </w:p>
    <w:p w14:paraId="50871611" w14:textId="77777777" w:rsidR="00C12D4D" w:rsidRDefault="00C12D4D" w:rsidP="00C12D4D">
      <w:pPr>
        <w:spacing w:line="276" w:lineRule="auto"/>
        <w:jc w:val="both"/>
        <w:rPr>
          <w:i/>
          <w:iCs/>
        </w:rPr>
      </w:pPr>
      <w:r>
        <w:rPr>
          <w:i/>
          <w:iCs/>
        </w:rPr>
        <w:t>Cost</w:t>
      </w:r>
    </w:p>
    <w:p w14:paraId="69667851" w14:textId="7D985410" w:rsidR="00C12D4D" w:rsidRDefault="00C12D4D" w:rsidP="00C12D4D">
      <w:pPr>
        <w:spacing w:line="276" w:lineRule="auto"/>
        <w:jc w:val="both"/>
      </w:pPr>
      <w:r>
        <w:t xml:space="preserve">The cost of </w:t>
      </w:r>
      <w:r w:rsidR="00862892">
        <w:t xml:space="preserve">a </w:t>
      </w:r>
      <w:r>
        <w:t>container terminal consist</w:t>
      </w:r>
      <w:r w:rsidR="00862892">
        <w:t>s</w:t>
      </w:r>
      <w:r>
        <w:t xml:space="preserve"> of the cost</w:t>
      </w:r>
      <w:r w:rsidR="0097143F">
        <w:t>s</w:t>
      </w:r>
      <w:r>
        <w:t xml:space="preserve"> of the quay wall, the pavement</w:t>
      </w:r>
      <w:r w:rsidR="0035675B">
        <w:t xml:space="preserve">, </w:t>
      </w:r>
      <w:r>
        <w:t xml:space="preserve">yard, container cranes, and yard equipment. </w:t>
      </w:r>
    </w:p>
    <w:p w14:paraId="1B22BC15" w14:textId="77777777" w:rsidR="00C12D4D" w:rsidRDefault="00C12D4D" w:rsidP="00C12D4D">
      <w:pPr>
        <w:spacing w:line="276" w:lineRule="auto"/>
        <w:jc w:val="both"/>
      </w:pPr>
    </w:p>
    <w:p w14:paraId="1E962063" w14:textId="77777777" w:rsidR="00C12D4D" w:rsidRDefault="00C12D4D" w:rsidP="00C12D4D">
      <w:pPr>
        <w:spacing w:line="276" w:lineRule="auto"/>
        <w:jc w:val="both"/>
      </w:pPr>
      <w:r>
        <w:t>We can write the total costs as:</w:t>
      </w:r>
    </w:p>
    <w:p w14:paraId="006536A2" w14:textId="77777777" w:rsidR="00C12D4D" w:rsidRDefault="00C12D4D" w:rsidP="00C12D4D">
      <w:pPr>
        <w:spacing w:line="276" w:lineRule="auto"/>
        <w:jc w:val="both"/>
      </w:pPr>
    </w:p>
    <w:p w14:paraId="45ED8EF6" w14:textId="77777777" w:rsidR="00C12D4D" w:rsidRPr="00313C47" w:rsidRDefault="00000000" w:rsidP="00C12D4D">
      <w:pPr>
        <w:spacing w:line="276" w:lineRule="auto"/>
        <w:jc w:val="both"/>
        <w:rPr>
          <w:rFonts w:eastAsiaTheme="minorEastAsia"/>
        </w:rPr>
      </w:pPr>
      <m:oMathPara>
        <m:oMath>
          <m:sSub>
            <m:sSubPr>
              <m:ctrlPr>
                <w:rPr>
                  <w:rFonts w:ascii="Cambria Math" w:hAnsi="Cambria Math"/>
                  <w:i/>
                </w:rPr>
              </m:ctrlPr>
            </m:sSubPr>
            <m:e>
              <m:r>
                <w:rPr>
                  <w:rFonts w:ascii="Cambria Math" w:hAnsi="Cambria Math"/>
                </w:rPr>
                <m:t>C</m:t>
              </m:r>
            </m:e>
            <m:sub>
              <m:r>
                <w:rPr>
                  <w:rFonts w:ascii="Cambria Math" w:hAnsi="Cambria Math"/>
                </w:rPr>
                <m:t>dir</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q,c</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quay</m:t>
              </m:r>
            </m:sub>
          </m:sSub>
          <m:d>
            <m:dPr>
              <m:ctrlPr>
                <w:rPr>
                  <w:rFonts w:ascii="Cambria Math" w:hAnsi="Cambria Math"/>
                  <w:i/>
                </w:rPr>
              </m:ctrlPr>
            </m:dPr>
            <m:e>
              <m:r>
                <w:rPr>
                  <w:rFonts w:ascii="Cambria Math" w:hAnsi="Cambria Math"/>
                </w:rPr>
                <m:t>H</m:t>
              </m:r>
            </m:e>
          </m:d>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gr</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yard</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q,c</m:t>
              </m:r>
            </m:sub>
          </m:sSub>
          <m:r>
            <m:rPr>
              <m:lit/>
            </m:rP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crane</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crane</m:t>
              </m:r>
            </m:sub>
          </m:sSub>
          <m:r>
            <w:rPr>
              <w:rFonts w:ascii="Cambria Math" w:hAnsi="Cambria Math"/>
            </w:rPr>
            <m:t>+1.2</m:t>
          </m:r>
          <m:d>
            <m:dPr>
              <m:ctrlPr>
                <w:rPr>
                  <w:rFonts w:ascii="Cambria Math" w:hAnsi="Cambria Math"/>
                  <w:i/>
                </w:rPr>
              </m:ctrlPr>
            </m:dPr>
            <m:e>
              <m:sSub>
                <m:sSubPr>
                  <m:ctrlPr>
                    <w:rPr>
                      <w:rFonts w:ascii="Cambria Math" w:hAnsi="Cambria Math"/>
                      <w:i/>
                    </w:rPr>
                  </m:ctrlPr>
                </m:sSubPr>
                <m:e>
                  <m:sSub>
                    <m:sSubPr>
                      <m:ctrlPr>
                        <w:rPr>
                          <w:rFonts w:ascii="Cambria Math" w:hAnsi="Cambria Math"/>
                          <w:i/>
                        </w:rPr>
                      </m:ctrlPr>
                    </m:sSubPr>
                    <m:e>
                      <m:sSub>
                        <m:sSubPr>
                          <m:ctrlPr>
                            <w:rPr>
                              <w:rFonts w:ascii="Cambria Math" w:hAnsi="Cambria Math"/>
                              <w:i/>
                            </w:rPr>
                          </m:ctrlPr>
                        </m:sSubPr>
                        <m:e>
                          <m:r>
                            <w:rPr>
                              <w:rFonts w:ascii="Cambria Math" w:hAnsi="Cambria Math"/>
                            </w:rPr>
                            <m:t>L</m:t>
                          </m:r>
                        </m:e>
                        <m:sub>
                          <m:r>
                            <w:rPr>
                              <w:rFonts w:ascii="Cambria Math" w:hAnsi="Cambria Math"/>
                            </w:rPr>
                            <m:t>q,c</m:t>
                          </m:r>
                        </m:sub>
                      </m:sSub>
                      <m:r>
                        <m:rPr>
                          <m:lit/>
                        </m:rPr>
                        <w:rPr>
                          <w:rFonts w:ascii="Cambria Math" w:hAnsi="Cambria Math"/>
                        </w:rPr>
                        <m:t>/</m:t>
                      </m:r>
                      <m:r>
                        <w:rPr>
                          <w:rFonts w:ascii="Cambria Math" w:hAnsi="Cambria Math"/>
                        </w:rPr>
                        <m:t>n</m:t>
                      </m:r>
                    </m:e>
                    <m:sub>
                      <m:r>
                        <w:rPr>
                          <w:rFonts w:ascii="Cambria Math" w:hAnsi="Cambria Math"/>
                        </w:rPr>
                        <m:t>yard,eq</m:t>
                      </m:r>
                    </m:sub>
                  </m:sSub>
                  <m:r>
                    <w:rPr>
                      <w:rFonts w:ascii="Cambria Math" w:hAnsi="Cambria Math"/>
                    </w:rPr>
                    <m:t>*C</m:t>
                  </m:r>
                </m:e>
                <m:sub>
                  <m:r>
                    <w:rPr>
                      <w:rFonts w:ascii="Cambria Math" w:hAnsi="Cambria Math"/>
                    </w:rPr>
                    <m:t>yard,eq</m:t>
                  </m:r>
                </m:sub>
              </m:sSub>
            </m:e>
          </m:d>
          <m:r>
            <w:rPr>
              <w:rFonts w:ascii="Cambria Math" w:eastAsiaTheme="minorEastAsia" w:hAnsi="Cambria Math"/>
            </w:rPr>
            <m:t>+0.5*</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dredge</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gr</m:t>
              </m:r>
            </m:sub>
          </m:sSub>
          <m:r>
            <w:rPr>
              <w:rFonts w:ascii="Cambria Math" w:eastAsiaTheme="minorEastAsia" w:hAnsi="Cambria Math"/>
            </w:rPr>
            <m:t>*H*</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dredge</m:t>
              </m:r>
            </m:sub>
          </m:sSub>
        </m:oMath>
      </m:oMathPara>
    </w:p>
    <w:p w14:paraId="4592505B" w14:textId="77777777" w:rsidR="00C12D4D" w:rsidRDefault="00C12D4D" w:rsidP="00C12D4D">
      <w:pPr>
        <w:spacing w:line="276" w:lineRule="auto"/>
        <w:jc w:val="both"/>
        <w:rPr>
          <w:rFonts w:eastAsiaTheme="minorEastAsia"/>
        </w:rPr>
      </w:pPr>
    </w:p>
    <w:p w14:paraId="192184E2" w14:textId="50A35BE0" w:rsidR="00C12D4D" w:rsidRPr="00882DD2" w:rsidRDefault="00C12D4D" w:rsidP="00C12D4D">
      <w:pPr>
        <w:spacing w:line="276" w:lineRule="auto"/>
        <w:jc w:val="both"/>
        <w:rPr>
          <w:rFonts w:eastAsiaTheme="minorEastAsia"/>
        </w:rPr>
      </w:pPr>
      <w:r>
        <w:rPr>
          <w:rFonts w:eastAsiaTheme="minorEastAsia"/>
        </w:rPr>
        <w:t xml:space="preserve">With </w:t>
      </w:r>
      <w:proofErr w:type="spellStart"/>
      <w:r w:rsidRPr="00AC2EC3">
        <w:rPr>
          <w:rFonts w:eastAsiaTheme="minorEastAsia"/>
          <w:i/>
          <w:iCs/>
        </w:rPr>
        <w:t>L</w:t>
      </w:r>
      <w:r w:rsidRPr="00AC2EC3">
        <w:rPr>
          <w:rFonts w:eastAsiaTheme="minorEastAsia"/>
          <w:i/>
          <w:iCs/>
          <w:vertAlign w:val="subscript"/>
        </w:rPr>
        <w:t>q,c</w:t>
      </w:r>
      <w:proofErr w:type="spellEnd"/>
      <w:r>
        <w:rPr>
          <w:rFonts w:eastAsiaTheme="minorEastAsia"/>
        </w:rPr>
        <w:t xml:space="preserve"> the length of the quay, </w:t>
      </w:r>
      <w:proofErr w:type="spellStart"/>
      <w:r w:rsidRPr="00AC2EC3">
        <w:rPr>
          <w:rFonts w:eastAsiaTheme="minorEastAsia"/>
          <w:i/>
          <w:iCs/>
        </w:rPr>
        <w:t>C</w:t>
      </w:r>
      <w:r w:rsidRPr="00AC2EC3">
        <w:rPr>
          <w:rFonts w:eastAsiaTheme="minorEastAsia"/>
          <w:i/>
          <w:iCs/>
          <w:vertAlign w:val="subscript"/>
        </w:rPr>
        <w:t>quay</w:t>
      </w:r>
      <w:proofErr w:type="spellEnd"/>
      <w:r>
        <w:rPr>
          <w:rFonts w:eastAsiaTheme="minorEastAsia"/>
        </w:rPr>
        <w:t xml:space="preserve"> the construction costs of the quay as a function of the retaining height (</w:t>
      </w:r>
      <w:r w:rsidRPr="00AC2EC3">
        <w:rPr>
          <w:rFonts w:eastAsiaTheme="minorEastAsia"/>
          <w:i/>
          <w:iCs/>
        </w:rPr>
        <w:t>H</w:t>
      </w:r>
      <w:r>
        <w:rPr>
          <w:rFonts w:eastAsiaTheme="minorEastAsia"/>
        </w:rPr>
        <w:t xml:space="preserve">), </w:t>
      </w:r>
      <w:proofErr w:type="spellStart"/>
      <w:r w:rsidRPr="00AC2EC3">
        <w:rPr>
          <w:rFonts w:eastAsiaTheme="minorEastAsia"/>
          <w:i/>
          <w:iCs/>
        </w:rPr>
        <w:t>C</w:t>
      </w:r>
      <w:r w:rsidRPr="00AC2EC3">
        <w:rPr>
          <w:rFonts w:eastAsiaTheme="minorEastAsia"/>
          <w:i/>
          <w:iCs/>
          <w:vertAlign w:val="subscript"/>
        </w:rPr>
        <w:t>yard</w:t>
      </w:r>
      <w:proofErr w:type="spellEnd"/>
      <w:r>
        <w:rPr>
          <w:rFonts w:eastAsiaTheme="minorEastAsia"/>
        </w:rPr>
        <w:t xml:space="preserve"> the cost of the yard, </w:t>
      </w:r>
      <w:proofErr w:type="spellStart"/>
      <w:r w:rsidRPr="00AC2EC3">
        <w:rPr>
          <w:rFonts w:eastAsiaTheme="minorEastAsia"/>
          <w:i/>
          <w:iCs/>
        </w:rPr>
        <w:t>n</w:t>
      </w:r>
      <w:r w:rsidRPr="00AC2EC3">
        <w:rPr>
          <w:rFonts w:eastAsiaTheme="minorEastAsia"/>
          <w:i/>
          <w:iCs/>
          <w:vertAlign w:val="subscript"/>
        </w:rPr>
        <w:t>crane</w:t>
      </w:r>
      <w:proofErr w:type="spellEnd"/>
      <w:r>
        <w:rPr>
          <w:rFonts w:eastAsiaTheme="minorEastAsia"/>
        </w:rPr>
        <w:t xml:space="preserve"> the number of ship-to-shore cranes per quay length, </w:t>
      </w:r>
      <w:proofErr w:type="spellStart"/>
      <w:r w:rsidRPr="00AC2EC3">
        <w:rPr>
          <w:rFonts w:eastAsiaTheme="minorEastAsia"/>
          <w:i/>
          <w:iCs/>
        </w:rPr>
        <w:t>C</w:t>
      </w:r>
      <w:r w:rsidRPr="00AC2EC3">
        <w:rPr>
          <w:rFonts w:eastAsiaTheme="minorEastAsia"/>
          <w:i/>
          <w:iCs/>
          <w:vertAlign w:val="subscript"/>
        </w:rPr>
        <w:t>crane</w:t>
      </w:r>
      <w:proofErr w:type="spellEnd"/>
      <w:r>
        <w:rPr>
          <w:rFonts w:eastAsiaTheme="minorEastAsia"/>
        </w:rPr>
        <w:t xml:space="preserve"> the costs per ship-to-shore crane, </w:t>
      </w:r>
      <w:proofErr w:type="spellStart"/>
      <w:r w:rsidRPr="00AC2EC3">
        <w:rPr>
          <w:rFonts w:eastAsiaTheme="minorEastAsia"/>
          <w:i/>
          <w:iCs/>
        </w:rPr>
        <w:t>n</w:t>
      </w:r>
      <w:r w:rsidRPr="00AC2EC3">
        <w:rPr>
          <w:rFonts w:eastAsiaTheme="minorEastAsia"/>
          <w:i/>
          <w:iCs/>
          <w:vertAlign w:val="subscript"/>
        </w:rPr>
        <w:t>yard</w:t>
      </w:r>
      <w:r w:rsidR="00AC2EC3">
        <w:rPr>
          <w:rFonts w:eastAsiaTheme="minorEastAsia"/>
          <w:i/>
          <w:iCs/>
          <w:vertAlign w:val="subscript"/>
        </w:rPr>
        <w:t>,</w:t>
      </w:r>
      <w:r w:rsidRPr="00AC2EC3">
        <w:rPr>
          <w:rFonts w:eastAsiaTheme="minorEastAsia"/>
          <w:i/>
          <w:iCs/>
          <w:vertAlign w:val="subscript"/>
        </w:rPr>
        <w:t>eq</w:t>
      </w:r>
      <w:proofErr w:type="spellEnd"/>
      <w:r>
        <w:rPr>
          <w:rFonts w:eastAsiaTheme="minorEastAsia"/>
        </w:rPr>
        <w:t xml:space="preserve"> the </w:t>
      </w:r>
      <w:r w:rsidR="00AC2EC3">
        <w:rPr>
          <w:rFonts w:eastAsiaTheme="minorEastAsia"/>
        </w:rPr>
        <w:t>amount</w:t>
      </w:r>
      <w:r>
        <w:rPr>
          <w:rFonts w:eastAsiaTheme="minorEastAsia"/>
        </w:rPr>
        <w:t xml:space="preserve"> of </w:t>
      </w:r>
      <w:r w:rsidR="00AC2EC3">
        <w:rPr>
          <w:rFonts w:eastAsiaTheme="minorEastAsia"/>
        </w:rPr>
        <w:t xml:space="preserve">main </w:t>
      </w:r>
      <w:r>
        <w:rPr>
          <w:rFonts w:eastAsiaTheme="minorEastAsia"/>
        </w:rPr>
        <w:t xml:space="preserve">yard equipment per quay length, </w:t>
      </w:r>
      <w:proofErr w:type="spellStart"/>
      <w:r w:rsidRPr="00AC2EC3">
        <w:rPr>
          <w:rFonts w:eastAsiaTheme="minorEastAsia"/>
          <w:i/>
          <w:iCs/>
        </w:rPr>
        <w:t>C</w:t>
      </w:r>
      <w:r w:rsidRPr="00AC2EC3">
        <w:rPr>
          <w:rFonts w:eastAsiaTheme="minorEastAsia"/>
          <w:i/>
          <w:iCs/>
          <w:vertAlign w:val="subscript"/>
        </w:rPr>
        <w:t>yard,eq</w:t>
      </w:r>
      <w:proofErr w:type="spellEnd"/>
      <w:r w:rsidRPr="00145458">
        <w:rPr>
          <w:rFonts w:eastAsiaTheme="minorEastAsia"/>
          <w:vertAlign w:val="subscript"/>
        </w:rPr>
        <w:t xml:space="preserve"> </w:t>
      </w:r>
      <w:r>
        <w:rPr>
          <w:rFonts w:eastAsiaTheme="minorEastAsia"/>
        </w:rPr>
        <w:t xml:space="preserve">the cost of the yard equipment, </w:t>
      </w:r>
      <w:proofErr w:type="spellStart"/>
      <w:r w:rsidRPr="00AC2EC3">
        <w:rPr>
          <w:rFonts w:eastAsiaTheme="minorEastAsia"/>
          <w:i/>
          <w:iCs/>
        </w:rPr>
        <w:t>C</w:t>
      </w:r>
      <w:r w:rsidRPr="00AC2EC3">
        <w:rPr>
          <w:rFonts w:eastAsiaTheme="minorEastAsia"/>
          <w:i/>
          <w:iCs/>
          <w:vertAlign w:val="subscript"/>
        </w:rPr>
        <w:t>dredge</w:t>
      </w:r>
      <w:proofErr w:type="spellEnd"/>
      <w:r w:rsidRPr="00AC2EC3">
        <w:rPr>
          <w:rFonts w:eastAsiaTheme="minorEastAsia"/>
          <w:i/>
          <w:iCs/>
        </w:rPr>
        <w:t xml:space="preserve"> </w:t>
      </w:r>
      <w:r>
        <w:rPr>
          <w:rFonts w:eastAsiaTheme="minorEastAsia"/>
        </w:rPr>
        <w:t xml:space="preserve">the cost of dredge materials for the landfill, and </w:t>
      </w:r>
      <w:proofErr w:type="spellStart"/>
      <w:r w:rsidRPr="00AC2EC3">
        <w:rPr>
          <w:rFonts w:eastAsiaTheme="minorEastAsia"/>
          <w:i/>
          <w:iCs/>
        </w:rPr>
        <w:t>F</w:t>
      </w:r>
      <w:r w:rsidRPr="00AC2EC3">
        <w:rPr>
          <w:rFonts w:eastAsiaTheme="minorEastAsia"/>
          <w:i/>
          <w:iCs/>
          <w:vertAlign w:val="subscript"/>
        </w:rPr>
        <w:t>dredge</w:t>
      </w:r>
      <w:proofErr w:type="spellEnd"/>
      <w:r>
        <w:rPr>
          <w:rFonts w:eastAsiaTheme="minorEastAsia"/>
          <w:vertAlign w:val="subscript"/>
        </w:rPr>
        <w:t xml:space="preserve"> </w:t>
      </w:r>
      <w:r>
        <w:rPr>
          <w:rFonts w:eastAsiaTheme="minorEastAsia"/>
        </w:rPr>
        <w:t xml:space="preserve">the fraction of the hypothetical landfill that needs to be filled. The factor 1.2 covers that other yard equipment (e.g. side lifter, chassis) are ~20% of the </w:t>
      </w:r>
      <w:r w:rsidR="00AC2EC3">
        <w:rPr>
          <w:rFonts w:eastAsiaTheme="minorEastAsia"/>
        </w:rPr>
        <w:t>main y</w:t>
      </w:r>
      <w:r>
        <w:rPr>
          <w:rFonts w:eastAsiaTheme="minorEastAsia"/>
        </w:rPr>
        <w:t xml:space="preserve">ard equipment costs. </w:t>
      </w:r>
    </w:p>
    <w:p w14:paraId="35F39311" w14:textId="77777777" w:rsidR="00C12D4D" w:rsidRDefault="00C12D4D" w:rsidP="00C12D4D">
      <w:pPr>
        <w:spacing w:line="276" w:lineRule="auto"/>
        <w:jc w:val="both"/>
      </w:pPr>
    </w:p>
    <w:p w14:paraId="5C5DB928" w14:textId="3BB2A503" w:rsidR="00C12D4D" w:rsidRDefault="00C12D4D" w:rsidP="00C12D4D">
      <w:pPr>
        <w:spacing w:line="276" w:lineRule="auto"/>
        <w:jc w:val="both"/>
      </w:pPr>
      <w:r>
        <w:t>The cost of the quay wall depends critically on the retaining height of the quay wall (i.e. the depth of the wall and sheet piles). To estimate the costs of the quay wall per running meter of quay, we use the formula of de Gijt</w:t>
      </w:r>
      <w:r w:rsidR="001B02D4">
        <w:fldChar w:fldCharType="begin" w:fldLock="1"/>
      </w:r>
      <w:r w:rsidR="008A5081">
        <w:instrText>ADDIN CSL_CITATION {"citationItems":[{"id":"ITEM-1","itemData":{"abstract":"Port authories and other organisations involved in designing and building of port infrastructure are at first glance interested in predicting adequatly the expected costs. This paper discusses the costs development of quay walls versus time. The basis for the costs development of quay walls is discussed on the basis of two methods. The MTI method and MII method. These methods are compared and discussed. Further a database with the construction costs of approximately three hundred quay walls from between 1850 to 2008 enables the composition of relations of the construction costs for several countries and port cities. In addition also relations are developed for different types of quay walls. With the developed model predictions can be made for the costs of quay walls in the future under the assumptions of certain boundary conditions. In addition to the initial costs also the the overall costs are including the effects of lifecycle concepts. Finally some conclusions and recommendations for the application of the developed model are presented and for further research.","author":[{"dropping-particle":"","family":"J.G. de Gijt","given":"","non-dropping-particle":"","parse-names":false,"suffix":""}],"container-title":"3rd International Conference EACEF","id":"ITEM-1","issued":{"date-parts":[["2011"]]},"page":"83-89","title":"Cost of quay walls","type":"article-journal"},"uris":["http://www.mendeley.com/documents/?uuid=1365824b-c152-454e-bdd5-0a9d03b44ff3"]}],"mendeley":{"formattedCitation":"&lt;sup&gt;3&lt;/sup&gt;","plainTextFormattedCitation":"3","previouslyFormattedCitation":"&lt;sup&gt;3&lt;/sup&gt;"},"properties":{"noteIndex":0},"schema":"https://github.com/citation-style-language/schema/raw/master/csl-citation.json"}</w:instrText>
      </w:r>
      <w:r w:rsidR="001B02D4">
        <w:fldChar w:fldCharType="separate"/>
      </w:r>
      <w:r w:rsidR="008A5081" w:rsidRPr="008A5081">
        <w:rPr>
          <w:noProof/>
          <w:vertAlign w:val="superscript"/>
        </w:rPr>
        <w:t>3</w:t>
      </w:r>
      <w:r w:rsidR="001B02D4">
        <w:fldChar w:fldCharType="end"/>
      </w:r>
      <w:r w:rsidR="0035675B">
        <w:t xml:space="preserve"> </w:t>
      </w:r>
      <w:r w:rsidR="00D15496">
        <w:t xml:space="preserve">that is </w:t>
      </w:r>
      <w:r w:rsidR="0035675B">
        <w:t>based on an analysis of a large number of quay walls globally</w:t>
      </w:r>
      <w:r>
        <w:t>, which is corrected from 2008 Euros to 2015 USD:</w:t>
      </w:r>
    </w:p>
    <w:p w14:paraId="12952666" w14:textId="77777777" w:rsidR="00C12D4D" w:rsidRDefault="00C12D4D" w:rsidP="00C12D4D">
      <w:pPr>
        <w:spacing w:line="276" w:lineRule="auto"/>
        <w:jc w:val="both"/>
      </w:pPr>
    </w:p>
    <w:p w14:paraId="7EEEDBFC" w14:textId="77777777" w:rsidR="00C12D4D" w:rsidRPr="00E95890" w:rsidRDefault="00000000" w:rsidP="00C12D4D">
      <w:pPr>
        <w:spacing w:line="276" w:lineRule="auto"/>
        <w:jc w:val="both"/>
        <w:rPr>
          <w:rFonts w:eastAsiaTheme="minorEastAsia"/>
        </w:rPr>
      </w:pPr>
      <m:oMathPara>
        <m:oMath>
          <m:sSub>
            <m:sSubPr>
              <m:ctrlPr>
                <w:rPr>
                  <w:rFonts w:ascii="Cambria Math" w:hAnsi="Cambria Math"/>
                  <w:i/>
                </w:rPr>
              </m:ctrlPr>
            </m:sSubPr>
            <m:e>
              <m:r>
                <w:rPr>
                  <w:rFonts w:ascii="Cambria Math" w:hAnsi="Cambria Math"/>
                </w:rPr>
                <m:t>C</m:t>
              </m:r>
            </m:e>
            <m:sub>
              <m:r>
                <w:rPr>
                  <w:rFonts w:ascii="Cambria Math" w:hAnsi="Cambria Math"/>
                </w:rPr>
                <m:t>quay</m:t>
              </m:r>
            </m:sub>
          </m:sSub>
          <m:d>
            <m:dPr>
              <m:ctrlPr>
                <w:rPr>
                  <w:rFonts w:ascii="Cambria Math" w:hAnsi="Cambria Math"/>
                  <w:i/>
                </w:rPr>
              </m:ctrlPr>
            </m:dPr>
            <m:e>
              <m:r>
                <w:rPr>
                  <w:rFonts w:ascii="Cambria Math" w:hAnsi="Cambria Math"/>
                </w:rPr>
                <m:t>H</m:t>
              </m:r>
            </m:e>
          </m:d>
          <m:r>
            <w:rPr>
              <w:rFonts w:ascii="Cambria Math" w:hAnsi="Cambria Math"/>
            </w:rPr>
            <m:t xml:space="preserve">=1130 </m:t>
          </m:r>
          <m:sSup>
            <m:sSupPr>
              <m:ctrlPr>
                <w:rPr>
                  <w:rFonts w:ascii="Cambria Math" w:hAnsi="Cambria Math"/>
                  <w:i/>
                </w:rPr>
              </m:ctrlPr>
            </m:sSupPr>
            <m:e>
              <m:r>
                <w:rPr>
                  <w:rFonts w:ascii="Cambria Math" w:hAnsi="Cambria Math"/>
                </w:rPr>
                <m:t>H</m:t>
              </m:r>
            </m:e>
            <m:sup>
              <m:r>
                <w:rPr>
                  <w:rFonts w:ascii="Cambria Math" w:hAnsi="Cambria Math"/>
                </w:rPr>
                <m:t>1.2729</m:t>
              </m:r>
            </m:sup>
          </m:sSup>
        </m:oMath>
      </m:oMathPara>
    </w:p>
    <w:p w14:paraId="2C7A56F2" w14:textId="77777777" w:rsidR="00C12D4D" w:rsidRDefault="00C12D4D" w:rsidP="00C12D4D">
      <w:pPr>
        <w:spacing w:line="276" w:lineRule="auto"/>
        <w:jc w:val="both"/>
      </w:pPr>
    </w:p>
    <w:p w14:paraId="6C665A41" w14:textId="67AA783D" w:rsidR="00C12D4D" w:rsidRDefault="00C12D4D" w:rsidP="00C12D4D">
      <w:pPr>
        <w:spacing w:line="276" w:lineRule="auto"/>
        <w:jc w:val="both"/>
      </w:pPr>
      <w:r>
        <w:t xml:space="preserve">With </w:t>
      </w:r>
      <w:r w:rsidRPr="00A82640">
        <w:rPr>
          <w:i/>
          <w:iCs/>
        </w:rPr>
        <w:t>H</w:t>
      </w:r>
      <w:r>
        <w:t xml:space="preserve"> the retaining height. The retaining height depends on the design draft (</w:t>
      </w:r>
      <w:proofErr w:type="spellStart"/>
      <w:r w:rsidRPr="00A82640">
        <w:rPr>
          <w:i/>
          <w:iCs/>
        </w:rPr>
        <w:t>d</w:t>
      </w:r>
      <w:r w:rsidRPr="00A82640">
        <w:rPr>
          <w:i/>
          <w:iCs/>
          <w:vertAlign w:val="subscript"/>
        </w:rPr>
        <w:t>design</w:t>
      </w:r>
      <w:proofErr w:type="spellEnd"/>
      <w:r>
        <w:t>) of the largest vessel that calls at the port (which determines the freeboard and design water depth). Here, we assume that the retaining height is equal to 1.8 to 2.5 times the design draft  (</w:t>
      </w:r>
      <w:proofErr w:type="spellStart"/>
      <w:r w:rsidRPr="00A82640">
        <w:rPr>
          <w:i/>
          <w:iCs/>
        </w:rPr>
        <w:t>H</w:t>
      </w:r>
      <w:r w:rsidRPr="00A82640">
        <w:rPr>
          <w:i/>
          <w:iCs/>
          <w:vertAlign w:val="subscript"/>
        </w:rPr>
        <w:t>ratio</w:t>
      </w:r>
      <w:proofErr w:type="spellEnd"/>
      <w:r>
        <w:t xml:space="preserve">) of the vessel in line with </w:t>
      </w:r>
      <w:r w:rsidRPr="0002735F">
        <w:t>Kox</w:t>
      </w:r>
      <w:r w:rsidR="001B02D4">
        <w:t xml:space="preserve"> (2016)</w:t>
      </w:r>
      <w:r w:rsidR="001B02D4">
        <w:fldChar w:fldCharType="begin" w:fldLock="1"/>
      </w:r>
      <w:r w:rsidR="008A5081">
        <w:instrText>ADDIN CSL_CITATION {"citationItems":[{"id":"ITEM-1","itemData":{"author":[{"dropping-particle":"","family":"Kox","given":"S.A.J.","non-dropping-particle":"","parse-names":false,"suffix":""}],"id":"ITEM-1","issued":{"date-parts":[["2016"]]},"page":"203","title":"A Tool for Determining Marine Terminal Dimensions and Costs in a Project's Feasibility Phase.","type":"article-journal"},"uris":["http://www.mendeley.com/documents/?uuid=5d51f26b-6431-4721-8b88-3f04a222e1cf"]}],"mendeley":{"formattedCitation":"&lt;sup&gt;4&lt;/sup&gt;","plainTextFormattedCitation":"4","previouslyFormattedCitation":"&lt;sup&gt;4&lt;/sup&gt;"},"properties":{"noteIndex":0},"schema":"https://github.com/citation-style-language/schema/raw/master/csl-citation.json"}</w:instrText>
      </w:r>
      <w:r w:rsidR="001B02D4">
        <w:fldChar w:fldCharType="separate"/>
      </w:r>
      <w:r w:rsidR="008A5081" w:rsidRPr="008A5081">
        <w:rPr>
          <w:noProof/>
          <w:vertAlign w:val="superscript"/>
        </w:rPr>
        <w:t>4</w:t>
      </w:r>
      <w:r w:rsidR="001B02D4">
        <w:fldChar w:fldCharType="end"/>
      </w:r>
      <w:r w:rsidRPr="0002735F">
        <w:t xml:space="preserve"> and as mentioned in ITF</w:t>
      </w:r>
      <w:r w:rsidR="001B02D4">
        <w:t>-OECD (2015)</w:t>
      </w:r>
      <w:r w:rsidR="001B02D4">
        <w:fldChar w:fldCharType="begin" w:fldLock="1"/>
      </w:r>
      <w:r w:rsidR="008A5081">
        <w:instrText>ADDIN CSL_CITATION {"citationItems":[{"id":"ITEM-1","itemData":{"author":[{"dropping-particle":"","family":"OECD-ITF","given":"","non-dropping-particle":"","parse-names":false,"suffix":""}],"container-title":"Case-Specific Policy Analysis","id":"ITEM-1","issued":{"date-parts":[["2015"]]},"publisher-place":"Paris","title":"The Impact of Mega-Ships","type":"report"},"uris":["http://www.mendeley.com/documents/?uuid=58c37d2a-bd54-4cec-9d4f-69bb391b7e80"]}],"mendeley":{"formattedCitation":"&lt;sup&gt;5&lt;/sup&gt;","plainTextFormattedCitation":"5","previouslyFormattedCitation":"&lt;sup&gt;5&lt;/sup&gt;"},"properties":{"noteIndex":0},"schema":"https://github.com/citation-style-language/schema/raw/master/csl-citation.json"}</w:instrText>
      </w:r>
      <w:r w:rsidR="001B02D4">
        <w:fldChar w:fldCharType="separate"/>
      </w:r>
      <w:r w:rsidR="008A5081" w:rsidRPr="008A5081">
        <w:rPr>
          <w:noProof/>
          <w:vertAlign w:val="superscript"/>
        </w:rPr>
        <w:t>5</w:t>
      </w:r>
      <w:r w:rsidR="001B02D4">
        <w:fldChar w:fldCharType="end"/>
      </w:r>
      <w:r w:rsidRPr="0002735F">
        <w:t>.</w:t>
      </w:r>
      <w:r>
        <w:t xml:space="preserve"> </w:t>
      </w:r>
    </w:p>
    <w:p w14:paraId="2DA14F60" w14:textId="77777777" w:rsidR="00C12D4D" w:rsidRDefault="00C12D4D" w:rsidP="00C12D4D">
      <w:pPr>
        <w:spacing w:line="276" w:lineRule="auto"/>
        <w:jc w:val="both"/>
      </w:pPr>
    </w:p>
    <w:p w14:paraId="206ECEBF" w14:textId="77777777" w:rsidR="00C12D4D" w:rsidRPr="001710DF" w:rsidRDefault="00C12D4D" w:rsidP="00C12D4D">
      <w:pPr>
        <w:spacing w:line="276" w:lineRule="auto"/>
        <w:jc w:val="both"/>
        <w:rPr>
          <w:rFonts w:eastAsiaTheme="minorEastAsia"/>
        </w:rPr>
      </w:pPr>
      <m:oMathPara>
        <m:oMath>
          <m:r>
            <w:rPr>
              <w:rFonts w:ascii="Cambria Math" w:hAnsi="Cambria Math"/>
            </w:rPr>
            <m:t>H=</m:t>
          </m:r>
          <m:sSub>
            <m:sSubPr>
              <m:ctrlPr>
                <w:rPr>
                  <w:rFonts w:ascii="Cambria Math" w:hAnsi="Cambria Math"/>
                  <w:i/>
                </w:rPr>
              </m:ctrlPr>
            </m:sSubPr>
            <m:e>
              <m:r>
                <w:rPr>
                  <w:rFonts w:ascii="Cambria Math" w:hAnsi="Cambria Math"/>
                </w:rPr>
                <m:t>H</m:t>
              </m:r>
            </m:e>
            <m:sub>
              <m:r>
                <w:rPr>
                  <w:rFonts w:ascii="Cambria Math" w:hAnsi="Cambria Math"/>
                </w:rPr>
                <m:t>ratio</m:t>
              </m:r>
            </m:sub>
          </m:sSub>
          <m:r>
            <w:rPr>
              <w:rFonts w:ascii="Cambria Math" w:hAnsi="Cambria Math"/>
            </w:rPr>
            <m:t xml:space="preserve">* </m:t>
          </m:r>
          <m:sSub>
            <m:sSubPr>
              <m:ctrlPr>
                <w:rPr>
                  <w:rFonts w:ascii="Cambria Math" w:hAnsi="Cambria Math"/>
                  <w:i/>
                </w:rPr>
              </m:ctrlPr>
            </m:sSubPr>
            <m:e>
              <m:r>
                <w:rPr>
                  <w:rFonts w:ascii="Cambria Math" w:hAnsi="Cambria Math"/>
                </w:rPr>
                <m:t>d</m:t>
              </m:r>
            </m:e>
            <m:sub>
              <m:r>
                <w:rPr>
                  <w:rFonts w:ascii="Cambria Math" w:hAnsi="Cambria Math"/>
                </w:rPr>
                <m:t>design</m:t>
              </m:r>
            </m:sub>
          </m:sSub>
        </m:oMath>
      </m:oMathPara>
    </w:p>
    <w:p w14:paraId="55FE4A0E" w14:textId="77777777" w:rsidR="00C12D4D" w:rsidRDefault="00C12D4D" w:rsidP="00C12D4D">
      <w:pPr>
        <w:spacing w:line="276" w:lineRule="auto"/>
        <w:jc w:val="both"/>
        <w:rPr>
          <w:rFonts w:eastAsiaTheme="minorEastAsia"/>
        </w:rPr>
      </w:pPr>
    </w:p>
    <w:p w14:paraId="176BDEAB" w14:textId="2AABC220" w:rsidR="00C12D4D" w:rsidRDefault="00C12D4D" w:rsidP="00C12D4D">
      <w:pPr>
        <w:spacing w:line="276" w:lineRule="auto"/>
        <w:jc w:val="both"/>
        <w:rPr>
          <w:rFonts w:eastAsiaTheme="minorEastAsia"/>
        </w:rPr>
      </w:pPr>
      <w:r>
        <w:rPr>
          <w:rFonts w:eastAsiaTheme="minorEastAsia"/>
        </w:rPr>
        <w:t xml:space="preserve">The design draft of the largest vessel is estimated per port based on </w:t>
      </w:r>
      <w:r w:rsidR="00872679">
        <w:rPr>
          <w:rFonts w:eastAsiaTheme="minorEastAsia"/>
        </w:rPr>
        <w:t>Automatic Identification System (</w:t>
      </w:r>
      <w:r>
        <w:rPr>
          <w:rFonts w:eastAsiaTheme="minorEastAsia"/>
        </w:rPr>
        <w:t>AIS</w:t>
      </w:r>
      <w:r w:rsidR="00872679">
        <w:rPr>
          <w:rFonts w:eastAsiaTheme="minorEastAsia"/>
        </w:rPr>
        <w:t>)</w:t>
      </w:r>
      <w:r>
        <w:rPr>
          <w:rFonts w:eastAsiaTheme="minorEastAsia"/>
        </w:rPr>
        <w:t xml:space="preserve"> data for 2019 – 2020</w:t>
      </w:r>
      <w:r w:rsidR="00872679">
        <w:rPr>
          <w:rFonts w:eastAsiaTheme="minorEastAsia"/>
        </w:rPr>
        <w:t xml:space="preserve"> as derived in previous work</w:t>
      </w:r>
      <w:r w:rsidR="00872679">
        <w:rPr>
          <w:rFonts w:eastAsiaTheme="minorEastAsia"/>
        </w:rPr>
        <w:fldChar w:fldCharType="begin" w:fldLock="1"/>
      </w:r>
      <w:r w:rsidR="00CB11A2">
        <w:rPr>
          <w:rFonts w:eastAsiaTheme="minorEastAsia"/>
        </w:rPr>
        <w:instrText>ADDIN CSL_CITATION {"citationItems":[{"id":"ITEM-1","itemData":{"DOI":"10.1371/journal.pone.0248818","ISSN":"1932-6203","abstract":"The implementation of large-scale containment measures by governments to contain the spread of the COVID-19 virus has resulted in large impacts to the global economy. Here, we derive a new high-frequency indicator of economic activity using empirical vessel tracking data, and use it to estimate the global maritime trade losses during the first eight months of the pandemic. We go on to use this high-frequency dataset to infer the effect of individual non-pharmaceutical interventions on maritime exports, which we use as a proxy of economic activity. Our results show widespread port-level trade losses, with the largest absolute losses found for ports in China, the Middle-East and Western Europe, associated with the collapse of specific supply-chains (e.g. oil, vehicle manufacturing). In total, we estimate that global maritime trade reduced by -7.0% to -9.6% during the first eight months of 2020, which is equal to around 206–286 million tonnes in volume losses and up to 225–412 billion USD in value losses. We find large sectoral and geographical disparities in impacts. Manufacturing sectors are hit hardest, with losses up to 11.8%, whilst some small islands developing states and low-income economies suffered the largest relative trade losses. Moreover, we find a clear negative impact of COVID-19 related school and public transport closures on country-wide exports. Overall, we show how real-time indicators of economic activity can inform policy-makers about the impacts of individual policies on the economy, and can support economic recovery efforts by allocating funds to the hardest hit economies and sectors.","author":[{"dropping-particle":"","family":"Verschuur","given":"Jasper","non-dropping-particle":"","parse-names":false,"suffix":""},{"dropping-particle":"","family":"Koks","given":"Elco E.","non-dropping-particle":"","parse-names":false,"suffix":""},{"dropping-particle":"","family":"Hall","given":"Jim W.","non-dropping-particle":"","parse-names":false,"suffix":""}],"container-title":"PLOS ONE","id":"ITEM-1","issue":"4","issued":{"date-parts":[["2021"]]},"page":"e0248818","title":"Global economic impacts of COVID-19 lockdown measures stand out in high-frequency shipping data","type":"article-journal","volume":"16"},"uris":["http://www.mendeley.com/documents/?uuid=c2768b1f-7b6c-4ecf-a305-a63b0125e5d5"]}],"mendeley":{"formattedCitation":"&lt;sup&gt;6&lt;/sup&gt;","plainTextFormattedCitation":"6","previouslyFormattedCitation":"&lt;sup&gt;6&lt;/sup&gt;"},"properties":{"noteIndex":0},"schema":"https://github.com/citation-style-language/schema/raw/master/csl-citation.json"}</w:instrText>
      </w:r>
      <w:r w:rsidR="00872679">
        <w:rPr>
          <w:rFonts w:eastAsiaTheme="minorEastAsia"/>
        </w:rPr>
        <w:fldChar w:fldCharType="separate"/>
      </w:r>
      <w:r w:rsidR="008A5081" w:rsidRPr="008A5081">
        <w:rPr>
          <w:rFonts w:eastAsiaTheme="minorEastAsia"/>
          <w:noProof/>
          <w:vertAlign w:val="superscript"/>
        </w:rPr>
        <w:t>6</w:t>
      </w:r>
      <w:r w:rsidR="00872679">
        <w:rPr>
          <w:rFonts w:eastAsiaTheme="minorEastAsia"/>
        </w:rPr>
        <w:fldChar w:fldCharType="end"/>
      </w:r>
      <w:r>
        <w:rPr>
          <w:rFonts w:eastAsiaTheme="minorEastAsia"/>
        </w:rPr>
        <w:t xml:space="preserve">. </w:t>
      </w:r>
    </w:p>
    <w:p w14:paraId="204A08F6" w14:textId="77777777" w:rsidR="00C12D4D" w:rsidRDefault="00C12D4D" w:rsidP="00C12D4D">
      <w:pPr>
        <w:spacing w:line="276" w:lineRule="auto"/>
        <w:jc w:val="both"/>
        <w:rPr>
          <w:rFonts w:eastAsiaTheme="minorEastAsia"/>
        </w:rPr>
      </w:pPr>
    </w:p>
    <w:p w14:paraId="534679BE" w14:textId="161AAABF" w:rsidR="00C12D4D" w:rsidRDefault="00C12D4D" w:rsidP="00C12D4D">
      <w:pPr>
        <w:spacing w:line="276" w:lineRule="auto"/>
        <w:jc w:val="both"/>
        <w:rPr>
          <w:rFonts w:eastAsiaTheme="minorEastAsia"/>
        </w:rPr>
      </w:pPr>
      <w:r>
        <w:rPr>
          <w:rFonts w:eastAsiaTheme="minorEastAsia"/>
        </w:rPr>
        <w:t>The length of the quay (</w:t>
      </w:r>
      <w:proofErr w:type="spellStart"/>
      <w:r w:rsidRPr="00E41778">
        <w:rPr>
          <w:rFonts w:eastAsiaTheme="minorEastAsia"/>
          <w:i/>
          <w:iCs/>
        </w:rPr>
        <w:t>L</w:t>
      </w:r>
      <w:r w:rsidRPr="00E41778">
        <w:rPr>
          <w:rFonts w:eastAsiaTheme="minorEastAsia"/>
          <w:i/>
          <w:iCs/>
          <w:vertAlign w:val="subscript"/>
        </w:rPr>
        <w:t>q,c</w:t>
      </w:r>
      <w:proofErr w:type="spellEnd"/>
      <w:r>
        <w:rPr>
          <w:rFonts w:eastAsiaTheme="minorEastAsia"/>
        </w:rPr>
        <w:t>) depend</w:t>
      </w:r>
      <w:r w:rsidR="00E41778">
        <w:rPr>
          <w:rFonts w:eastAsiaTheme="minorEastAsia"/>
        </w:rPr>
        <w:t>s</w:t>
      </w:r>
      <w:r>
        <w:rPr>
          <w:rFonts w:eastAsiaTheme="minorEastAsia"/>
        </w:rPr>
        <w:t xml:space="preserve"> on the number of container handled</w:t>
      </w:r>
      <w:r w:rsidR="0085656C">
        <w:rPr>
          <w:rFonts w:eastAsiaTheme="minorEastAsia"/>
        </w:rPr>
        <w:t xml:space="preserve"> per year</w:t>
      </w:r>
      <w:r>
        <w:rPr>
          <w:rFonts w:eastAsiaTheme="minorEastAsia"/>
        </w:rPr>
        <w:t xml:space="preserve">. Based on </w:t>
      </w:r>
      <w:r w:rsidR="00E41778">
        <w:rPr>
          <w:rFonts w:eastAsiaTheme="minorEastAsia"/>
        </w:rPr>
        <w:t xml:space="preserve">data in </w:t>
      </w:r>
      <w:r>
        <w:rPr>
          <w:rFonts w:eastAsiaTheme="minorEastAsia"/>
        </w:rPr>
        <w:t>Wiese et al</w:t>
      </w:r>
      <w:r w:rsidR="001B02D4">
        <w:rPr>
          <w:rFonts w:eastAsiaTheme="minorEastAsia"/>
        </w:rPr>
        <w:fldChar w:fldCharType="begin" w:fldLock="1"/>
      </w:r>
      <w:r w:rsidR="008A5081">
        <w:rPr>
          <w:rFonts w:eastAsiaTheme="minorEastAsia"/>
        </w:rPr>
        <w:instrText>ADDIN CSL_CITATION {"citationItems":[{"id":"ITEM-1","itemData":{"author":[{"dropping-particle":"","family":"Wiese","given":"Jörg","non-dropping-particle":"","parse-names":false,"suffix":""},{"dropping-particle":"","family":"Kliewer","given":"Natalia","non-dropping-particle":"","parse-names":false,"suffix":""},{"dropping-particle":"","family":"Suhl","given":"Leena","non-dropping-particle":"","parse-names":false,"suffix":""},{"dropping-particle":"","family":"Str","given":"Warburger","non-dropping-particle":"","parse-names":false,"suffix":""}],"container-title":"Operations Research","id":"ITEM-1","issue":"March","issued":{"date-parts":[["2009"]]},"title":"A Survey of Container Terminal Characteristics and Equipment Types","type":"article-journal"},"uris":["http://www.mendeley.com/documents/?uuid=f49d85e7-a99f-484c-acdc-d8507ddcdeb1"]}],"mendeley":{"formattedCitation":"&lt;sup&gt;2&lt;/sup&gt;","plainTextFormattedCitation":"2","previouslyFormattedCitation":"&lt;sup&gt;2&lt;/sup&gt;"},"properties":{"noteIndex":0},"schema":"https://github.com/citation-style-language/schema/raw/master/csl-citation.json"}</w:instrText>
      </w:r>
      <w:r w:rsidR="001B02D4">
        <w:rPr>
          <w:rFonts w:eastAsiaTheme="minorEastAsia"/>
        </w:rPr>
        <w:fldChar w:fldCharType="separate"/>
      </w:r>
      <w:r w:rsidR="008A5081" w:rsidRPr="008A5081">
        <w:rPr>
          <w:rFonts w:eastAsiaTheme="minorEastAsia"/>
          <w:noProof/>
          <w:vertAlign w:val="superscript"/>
        </w:rPr>
        <w:t>2</w:t>
      </w:r>
      <w:r w:rsidR="001B02D4">
        <w:rPr>
          <w:rFonts w:eastAsiaTheme="minorEastAsia"/>
        </w:rPr>
        <w:fldChar w:fldCharType="end"/>
      </w:r>
      <w:r>
        <w:rPr>
          <w:rFonts w:eastAsiaTheme="minorEastAsia"/>
        </w:rPr>
        <w:t>, we find this relationship (R</w:t>
      </w:r>
      <w:r w:rsidRPr="00B302B5">
        <w:rPr>
          <w:rFonts w:eastAsiaTheme="minorEastAsia"/>
          <w:vertAlign w:val="superscript"/>
        </w:rPr>
        <w:t>2</w:t>
      </w:r>
      <w:r>
        <w:rPr>
          <w:rFonts w:eastAsiaTheme="minorEastAsia"/>
        </w:rPr>
        <w:t xml:space="preserve"> = 0.92) to be:</w:t>
      </w:r>
    </w:p>
    <w:p w14:paraId="51B94697" w14:textId="77777777" w:rsidR="00C12D4D" w:rsidRDefault="00C12D4D" w:rsidP="00C12D4D">
      <w:pPr>
        <w:spacing w:line="276" w:lineRule="auto"/>
        <w:jc w:val="both"/>
        <w:rPr>
          <w:rFonts w:eastAsiaTheme="minorEastAsia"/>
        </w:rPr>
      </w:pPr>
    </w:p>
    <w:p w14:paraId="4BD5DD28" w14:textId="77777777" w:rsidR="00C12D4D" w:rsidRPr="003F3F68" w:rsidRDefault="00000000" w:rsidP="00C12D4D">
      <w:pPr>
        <w:spacing w:line="276" w:lineRule="auto"/>
        <w:jc w:val="both"/>
        <w:rPr>
          <w:rFonts w:eastAsiaTheme="minorEastAsia"/>
        </w:rPr>
      </w:pPr>
      <m:oMathPara>
        <m:oMath>
          <m:sSub>
            <m:sSubPr>
              <m:ctrlPr>
                <w:rPr>
                  <w:rFonts w:ascii="Cambria Math" w:hAnsi="Cambria Math"/>
                  <w:i/>
                </w:rPr>
              </m:ctrlPr>
            </m:sSubPr>
            <m:e>
              <m:r>
                <w:rPr>
                  <w:rFonts w:ascii="Cambria Math" w:hAnsi="Cambria Math"/>
                </w:rPr>
                <m:t>L</m:t>
              </m:r>
            </m:e>
            <m:sub>
              <m:r>
                <w:rPr>
                  <w:rFonts w:ascii="Cambria Math" w:hAnsi="Cambria Math"/>
                </w:rPr>
                <m:t>q,c</m:t>
              </m:r>
            </m:sub>
          </m:sSub>
          <m:r>
            <w:rPr>
              <w:rFonts w:ascii="Cambria Math" w:hAnsi="Cambria Math"/>
            </w:rPr>
            <m:t>=</m:t>
          </m:r>
          <m:r>
            <m:rPr>
              <m:sty m:val="p"/>
            </m:rPr>
            <w:rPr>
              <w:rFonts w:ascii="Cambria Math" w:hAnsi="Cambria Math"/>
            </w:rPr>
            <m:t>0.62 (TEU/1000)</m:t>
          </m:r>
        </m:oMath>
      </m:oMathPara>
    </w:p>
    <w:p w14:paraId="66921A40" w14:textId="77777777" w:rsidR="00C12D4D" w:rsidRDefault="00C12D4D" w:rsidP="00C12D4D">
      <w:pPr>
        <w:spacing w:line="276" w:lineRule="auto"/>
        <w:jc w:val="both"/>
        <w:rPr>
          <w:rFonts w:eastAsiaTheme="minorEastAsia"/>
        </w:rPr>
      </w:pPr>
    </w:p>
    <w:p w14:paraId="0E05F779" w14:textId="77777777" w:rsidR="00C12D4D" w:rsidRDefault="00C12D4D" w:rsidP="00C12D4D">
      <w:pPr>
        <w:spacing w:line="276" w:lineRule="auto"/>
        <w:jc w:val="both"/>
        <w:rPr>
          <w:rFonts w:eastAsiaTheme="minorEastAsia"/>
        </w:rPr>
      </w:pPr>
      <w:r>
        <w:rPr>
          <w:rFonts w:eastAsiaTheme="minorEastAsia"/>
        </w:rPr>
        <w:t xml:space="preserve">With </w:t>
      </w:r>
      <w:r w:rsidRPr="00762B11">
        <w:rPr>
          <w:rFonts w:eastAsiaTheme="minorEastAsia"/>
          <w:i/>
          <w:iCs/>
        </w:rPr>
        <w:t>TEU</w:t>
      </w:r>
      <w:r>
        <w:rPr>
          <w:rFonts w:eastAsiaTheme="minorEastAsia"/>
        </w:rPr>
        <w:t xml:space="preserve"> the number of TEUs handled, which is derived by dividing T/C</w:t>
      </w:r>
      <w:r w:rsidRPr="00AE0A08">
        <w:rPr>
          <w:rFonts w:eastAsiaTheme="minorEastAsia"/>
          <w:vertAlign w:val="subscript"/>
        </w:rPr>
        <w:t>TEU</w:t>
      </w:r>
    </w:p>
    <w:p w14:paraId="15F397DB" w14:textId="77777777" w:rsidR="00C12D4D" w:rsidRDefault="00C12D4D" w:rsidP="00C12D4D">
      <w:pPr>
        <w:spacing w:line="276" w:lineRule="auto"/>
        <w:jc w:val="both"/>
        <w:rPr>
          <w:rFonts w:eastAsiaTheme="minorEastAsia"/>
        </w:rPr>
      </w:pPr>
    </w:p>
    <w:p w14:paraId="3D155731" w14:textId="5BDFBD50" w:rsidR="00C12D4D" w:rsidRDefault="00C12D4D" w:rsidP="00C12D4D">
      <w:pPr>
        <w:spacing w:line="276" w:lineRule="auto"/>
        <w:jc w:val="both"/>
        <w:rPr>
          <w:rFonts w:eastAsiaTheme="minorEastAsia"/>
        </w:rPr>
      </w:pPr>
      <w:r>
        <w:rPr>
          <w:rFonts w:eastAsiaTheme="minorEastAsia"/>
        </w:rPr>
        <w:t>The yard costs (</w:t>
      </w:r>
      <w:proofErr w:type="spellStart"/>
      <w:r w:rsidRPr="00762B11">
        <w:rPr>
          <w:rFonts w:eastAsiaTheme="minorEastAsia"/>
          <w:i/>
          <w:iCs/>
        </w:rPr>
        <w:t>C</w:t>
      </w:r>
      <w:r w:rsidRPr="00762B11">
        <w:rPr>
          <w:rFonts w:eastAsiaTheme="minorEastAsia"/>
          <w:i/>
          <w:iCs/>
          <w:vertAlign w:val="subscript"/>
        </w:rPr>
        <w:t>yard</w:t>
      </w:r>
      <w:proofErr w:type="spellEnd"/>
      <w:r>
        <w:rPr>
          <w:rFonts w:eastAsiaTheme="minorEastAsia"/>
        </w:rPr>
        <w:t xml:space="preserve">) are derived from </w:t>
      </w:r>
      <w:r w:rsidR="004021A2">
        <w:rPr>
          <w:rFonts w:eastAsiaTheme="minorEastAsia"/>
        </w:rPr>
        <w:t xml:space="preserve">Becker </w:t>
      </w:r>
      <w:r>
        <w:rPr>
          <w:rFonts w:eastAsiaTheme="minorEastAsia"/>
        </w:rPr>
        <w:t>et al.</w:t>
      </w:r>
      <w:r w:rsidR="001B02D4">
        <w:rPr>
          <w:rFonts w:eastAsiaTheme="minorEastAsia"/>
        </w:rPr>
        <w:fldChar w:fldCharType="begin" w:fldLock="1"/>
      </w:r>
      <w:r w:rsidR="008A5081">
        <w:rPr>
          <w:rFonts w:eastAsiaTheme="minorEastAsia"/>
        </w:rPr>
        <w:instrText>ADDIN CSL_CITATION {"citationItems":[{"id":"ITEM-1","itemData":{"DOI":"10.3390/jmse5030044","ISSN":"2077-1312","abstract":"Climate changes projected for 2100 and beyond could result in a worldwide race for adaptation resources on a scale never seen before. This paper describes a model for estimating the cost and materials of elevating coastal seaport infrastructure in the United States to prevent damage from sea level rise associated with climate change. This study pilots the use of a generic port model (GenPort) as a basis from which to estimate regional materials and monetary demands, resulting in projections that would be infeasible to calculate on an individual port-by-port basis. We estimate the combined cost of adding two meters of additional fill material to elevate the working surface and then reconstructing the generic port. We use the resulting unit area cost to develop an estimate to elevate and retrofit 100 major United States commercial coastal ports. A total of $57 billion to $78 billion (2012 US dollars) and 704 million cubic meters of fill would be required to elevate the 100 ports by two meters and to reconstruct associated infrastructure. This estimation method and the results serve as a thought exercise to provoke considerations of the cumulative monetary and material demands of widespread adaptations of seaport infrastructure. The model can be adapted for use in multiple infrastructure sectors and coastal managers can use the outlined considerations as a basis for individual port adaptation strategy assessments. Keywords: seaports; resilience; climate adaptation; estimating; el","author":[{"dropping-particle":"","family":"Becker","given":"Austin","non-dropping-particle":"","parse-names":false,"suffix":""},{"dropping-particle":"","family":"Hippe","given":"Ariel","non-dropping-particle":"","parse-names":false,"suffix":""},{"dropping-particle":"","family":"Mclean","given":"Elizabeth","non-dropping-particle":"","parse-names":false,"suffix":""}],"container-title":"Journal of Marine Science and Engineering","id":"ITEM-1","issue":"3","issued":{"date-parts":[["2017"]]},"page":"44","title":"Cost and Materials Required to Retrofit US Seaports in Response to Sea Level Rise: A Thought Exercise for Climate Response","type":"article-journal","volume":"5"},"uris":["http://www.mendeley.com/documents/?uuid=74249fcd-ea04-477c-b66c-a4d7379bdd79"]}],"mendeley":{"formattedCitation":"&lt;sup&gt;7&lt;/sup&gt;","plainTextFormattedCitation":"7","previouslyFormattedCitation":"&lt;sup&gt;7&lt;/sup&gt;"},"properties":{"noteIndex":0},"schema":"https://github.com/citation-style-language/schema/raw/master/csl-citation.json"}</w:instrText>
      </w:r>
      <w:r w:rsidR="001B02D4">
        <w:rPr>
          <w:rFonts w:eastAsiaTheme="minorEastAsia"/>
        </w:rPr>
        <w:fldChar w:fldCharType="separate"/>
      </w:r>
      <w:r w:rsidR="008A5081" w:rsidRPr="008A5081">
        <w:rPr>
          <w:rFonts w:eastAsiaTheme="minorEastAsia"/>
          <w:noProof/>
          <w:vertAlign w:val="superscript"/>
        </w:rPr>
        <w:t>7</w:t>
      </w:r>
      <w:r w:rsidR="001B02D4">
        <w:rPr>
          <w:rFonts w:eastAsiaTheme="minorEastAsia"/>
        </w:rPr>
        <w:fldChar w:fldCharType="end"/>
      </w:r>
      <w:r>
        <w:rPr>
          <w:rFonts w:eastAsiaTheme="minorEastAsia"/>
        </w:rPr>
        <w:t>, who estimate the yard costs (which include pavement, warehouse, unpaved areas, buildings) to be 100 - 153 USD/m</w:t>
      </w:r>
      <w:r w:rsidRPr="00AE0A08">
        <w:rPr>
          <w:rFonts w:eastAsiaTheme="minorEastAsia"/>
          <w:vertAlign w:val="superscript"/>
        </w:rPr>
        <w:t>2</w:t>
      </w:r>
      <w:r>
        <w:rPr>
          <w:rFonts w:eastAsiaTheme="minorEastAsia"/>
        </w:rPr>
        <w:t xml:space="preserve">. </w:t>
      </w:r>
    </w:p>
    <w:p w14:paraId="76BEDA33" w14:textId="77777777" w:rsidR="00C12D4D" w:rsidRDefault="00C12D4D" w:rsidP="00C12D4D">
      <w:pPr>
        <w:spacing w:line="276" w:lineRule="auto"/>
        <w:jc w:val="both"/>
        <w:rPr>
          <w:rFonts w:eastAsiaTheme="minorEastAsia"/>
        </w:rPr>
      </w:pPr>
    </w:p>
    <w:p w14:paraId="12C5C9D8" w14:textId="3547E6FF" w:rsidR="00C12D4D" w:rsidRDefault="00C12D4D" w:rsidP="00C12D4D">
      <w:pPr>
        <w:spacing w:line="276" w:lineRule="auto"/>
        <w:jc w:val="both"/>
        <w:rPr>
          <w:rFonts w:eastAsiaTheme="minorEastAsia"/>
        </w:rPr>
      </w:pPr>
      <w:r>
        <w:rPr>
          <w:rFonts w:eastAsiaTheme="minorEastAsia"/>
        </w:rPr>
        <w:t>The number of ship</w:t>
      </w:r>
      <w:r w:rsidR="00762B11">
        <w:rPr>
          <w:rFonts w:eastAsiaTheme="minorEastAsia"/>
        </w:rPr>
        <w:t>-to-</w:t>
      </w:r>
      <w:r>
        <w:rPr>
          <w:rFonts w:eastAsiaTheme="minorEastAsia"/>
        </w:rPr>
        <w:t xml:space="preserve">shore cranes depends on the length of the berth. Based on </w:t>
      </w:r>
      <w:r w:rsidR="004021A2">
        <w:rPr>
          <w:rFonts w:eastAsiaTheme="minorEastAsia"/>
        </w:rPr>
        <w:t xml:space="preserve">data in </w:t>
      </w:r>
      <w:r>
        <w:rPr>
          <w:rFonts w:eastAsiaTheme="minorEastAsia"/>
        </w:rPr>
        <w:t>Wiese et al</w:t>
      </w:r>
      <w:r w:rsidR="004021A2">
        <w:rPr>
          <w:rFonts w:eastAsiaTheme="minorEastAsia"/>
        </w:rPr>
        <w:t>.</w:t>
      </w:r>
      <w:r w:rsidR="004021A2">
        <w:rPr>
          <w:rFonts w:eastAsiaTheme="minorEastAsia"/>
        </w:rPr>
        <w:fldChar w:fldCharType="begin" w:fldLock="1"/>
      </w:r>
      <w:r w:rsidR="008A5081">
        <w:rPr>
          <w:rFonts w:eastAsiaTheme="minorEastAsia"/>
        </w:rPr>
        <w:instrText>ADDIN CSL_CITATION {"citationItems":[{"id":"ITEM-1","itemData":{"author":[{"dropping-particle":"","family":"Wiese","given":"Jörg","non-dropping-particle":"","parse-names":false,"suffix":""},{"dropping-particle":"","family":"Kliewer","given":"Natalia","non-dropping-particle":"","parse-names":false,"suffix":""},{"dropping-particle":"","family":"Suhl","given":"Leena","non-dropping-particle":"","parse-names":false,"suffix":""},{"dropping-particle":"","family":"Str","given":"Warburger","non-dropping-particle":"","parse-names":false,"suffix":""}],"container-title":"Operations Research","id":"ITEM-1","issue":"March","issued":{"date-parts":[["2009"]]},"title":"A Survey of Container Terminal Characteristics and Equipment Types","type":"article-journal"},"uris":["http://www.mendeley.com/documents/?uuid=f49d85e7-a99f-484c-acdc-d8507ddcdeb1"]}],"mendeley":{"formattedCitation":"&lt;sup&gt;2&lt;/sup&gt;","plainTextFormattedCitation":"2","previouslyFormattedCitation":"&lt;sup&gt;2&lt;/sup&gt;"},"properties":{"noteIndex":0},"schema":"https://github.com/citation-style-language/schema/raw/master/csl-citation.json"}</w:instrText>
      </w:r>
      <w:r w:rsidR="004021A2">
        <w:rPr>
          <w:rFonts w:eastAsiaTheme="minorEastAsia"/>
        </w:rPr>
        <w:fldChar w:fldCharType="separate"/>
      </w:r>
      <w:r w:rsidR="008A5081" w:rsidRPr="008A5081">
        <w:rPr>
          <w:rFonts w:eastAsiaTheme="minorEastAsia"/>
          <w:noProof/>
          <w:vertAlign w:val="superscript"/>
        </w:rPr>
        <w:t>2</w:t>
      </w:r>
      <w:r w:rsidR="004021A2">
        <w:rPr>
          <w:rFonts w:eastAsiaTheme="minorEastAsia"/>
        </w:rPr>
        <w:fldChar w:fldCharType="end"/>
      </w:r>
      <w:r w:rsidR="004021A2">
        <w:rPr>
          <w:rFonts w:eastAsiaTheme="minorEastAsia"/>
        </w:rPr>
        <w:t xml:space="preserve"> </w:t>
      </w:r>
      <w:r>
        <w:rPr>
          <w:rFonts w:eastAsiaTheme="minorEastAsia"/>
        </w:rPr>
        <w:t>we find approximately one crane per 80 – 120 meter quay length</w:t>
      </w:r>
      <w:r w:rsidR="00D217C8">
        <w:rPr>
          <w:rFonts w:eastAsiaTheme="minorEastAsia"/>
        </w:rPr>
        <w:t xml:space="preserve"> at a cost of approximately </w:t>
      </w:r>
      <w:r w:rsidR="00974CB6">
        <w:rPr>
          <w:rFonts w:eastAsiaTheme="minorEastAsia"/>
        </w:rPr>
        <w:t>7 - 11</w:t>
      </w:r>
      <w:r w:rsidR="00D217C8">
        <w:rPr>
          <w:rFonts w:eastAsiaTheme="minorEastAsia"/>
        </w:rPr>
        <w:t xml:space="preserve"> million USD per crane</w:t>
      </w:r>
      <w:r>
        <w:rPr>
          <w:rFonts w:eastAsiaTheme="minorEastAsia"/>
        </w:rPr>
        <w:t xml:space="preserve">. For the yard equipment, </w:t>
      </w:r>
      <w:r w:rsidR="00D217C8">
        <w:rPr>
          <w:rFonts w:eastAsiaTheme="minorEastAsia"/>
        </w:rPr>
        <w:t>o</w:t>
      </w:r>
      <w:r>
        <w:rPr>
          <w:rFonts w:eastAsiaTheme="minorEastAsia"/>
        </w:rPr>
        <w:t xml:space="preserve">ne uses approximately 1 RTG per 40-60 m quay wall at a cost of </w:t>
      </w:r>
      <w:r w:rsidR="00974CB6">
        <w:rPr>
          <w:rFonts w:eastAsiaTheme="minorEastAsia"/>
        </w:rPr>
        <w:t>1 - 2</w:t>
      </w:r>
      <w:r>
        <w:rPr>
          <w:rFonts w:eastAsiaTheme="minorEastAsia"/>
        </w:rPr>
        <w:t xml:space="preserve"> USD million per RTG. </w:t>
      </w:r>
    </w:p>
    <w:p w14:paraId="48DD2BED" w14:textId="77777777" w:rsidR="00C12D4D" w:rsidRDefault="00C12D4D" w:rsidP="00C12D4D">
      <w:pPr>
        <w:spacing w:line="276" w:lineRule="auto"/>
        <w:jc w:val="both"/>
        <w:rPr>
          <w:rFonts w:eastAsiaTheme="minorEastAsia"/>
        </w:rPr>
      </w:pPr>
    </w:p>
    <w:p w14:paraId="67EAEF5F" w14:textId="4EF98123" w:rsidR="00C12D4D" w:rsidRDefault="00C12D4D" w:rsidP="00C12D4D">
      <w:pPr>
        <w:spacing w:line="276" w:lineRule="auto"/>
        <w:jc w:val="both"/>
        <w:rPr>
          <w:rFonts w:eastAsiaTheme="minorEastAsia"/>
        </w:rPr>
      </w:pPr>
      <w:r>
        <w:rPr>
          <w:rFonts w:eastAsiaTheme="minorEastAsia"/>
        </w:rPr>
        <w:t>The cost of land reclamation is related to the volume to be filled, assumed to be half of the gross area times the retaining depth (i.e. half because it is assumed that the original land has a sloping side), and the cost of dredging suitable materials (</w:t>
      </w:r>
      <w:proofErr w:type="spellStart"/>
      <w:r>
        <w:rPr>
          <w:rFonts w:eastAsiaTheme="minorEastAsia"/>
        </w:rPr>
        <w:t>C</w:t>
      </w:r>
      <w:r>
        <w:rPr>
          <w:rFonts w:eastAsiaTheme="minorEastAsia"/>
          <w:vertAlign w:val="subscript"/>
        </w:rPr>
        <w:t>dredge</w:t>
      </w:r>
      <w:proofErr w:type="spellEnd"/>
      <w:r>
        <w:rPr>
          <w:rFonts w:eastAsiaTheme="minorEastAsia"/>
        </w:rPr>
        <w:t xml:space="preserve">). The cost of </w:t>
      </w:r>
      <w:r w:rsidR="00E514D7">
        <w:rPr>
          <w:rFonts w:eastAsiaTheme="minorEastAsia"/>
        </w:rPr>
        <w:t xml:space="preserve">the </w:t>
      </w:r>
      <w:r>
        <w:rPr>
          <w:rFonts w:eastAsiaTheme="minorEastAsia"/>
        </w:rPr>
        <w:t>landfill material depends a lot on the availability of suitable materials (e.g. imported or locally available) and the costs to extract and transport it. The cost range can therefore be large, and based on different unit costs found in the literature</w:t>
      </w:r>
      <w:r w:rsidR="004021A2">
        <w:rPr>
          <w:rFonts w:eastAsiaTheme="minorEastAsia"/>
        </w:rPr>
        <w:fldChar w:fldCharType="begin" w:fldLock="1"/>
      </w:r>
      <w:r w:rsidR="008A5081">
        <w:rPr>
          <w:rFonts w:eastAsiaTheme="minorEastAsia"/>
        </w:rPr>
        <w:instrText>ADDIN CSL_CITATION {"citationItems":[{"id":"ITEM-1","itemData":{"DOI":"10.3390/jmse5030044","ISSN":"2077-1312","abstract":"Climate changes projected for 2100 and beyond could result in a worldwide race for adaptation resources on a scale never seen before. This paper describes a model for estimating the cost and materials of elevating coastal seaport infrastructure in the United States to prevent damage from sea level rise associated with climate change. This study pilots the use of a generic port model (GenPort) as a basis from which to estimate regional materials and monetary demands, resulting in projections that would be infeasible to calculate on an individual port-by-port basis. We estimate the combined cost of adding two meters of additional fill material to elevate the working surface and then reconstructing the generic port. We use the resulting unit area cost to develop an estimate to elevate and retrofit 100 major United States commercial coastal ports. A total of $57 billion to $78 billion (2012 US dollars) and 704 million cubic meters of fill would be required to elevate the 100 ports by two meters and to reconstruct associated infrastructure. This estimation method and the results serve as a thought exercise to provoke considerations of the cumulative monetary and material demands of widespread adaptations of seaport infrastructure. The model can be adapted for use in multiple infrastructure sectors and coastal managers can use the outlined considerations as a basis for individual port adaptation strategy assessments. Keywords: seaports; resilience; climate adaptation; estimating; el","author":[{"dropping-particle":"","family":"Becker","given":"Austin","non-dropping-particle":"","parse-names":false,"suffix":""},{"dropping-particle":"","family":"Hippe","given":"Ariel","non-dropping-particle":"","parse-names":false,"suffix":""},{"dropping-particle":"","family":"Mclean","given":"Elizabeth","non-dropping-particle":"","parse-names":false,"suffix":""}],"container-title":"Journal of Marine Science and Engineering","id":"ITEM-1","issue":"3","issued":{"date-parts":[["2017"]]},"page":"44","title":"Cost and Materials Required to Retrofit US Seaports in Response to Sea Level Rise: A Thought Exercise for Climate Response","type":"article-journal","volume":"5"},"uris":["http://www.mendeley.com/documents/?uuid=74249fcd-ea04-477c-b66c-a4d7379bdd79"]}],"mendeley":{"formattedCitation":"&lt;sup&gt;7&lt;/sup&gt;","plainTextFormattedCitation":"7","previouslyFormattedCitation":"&lt;sup&gt;7&lt;/sup&gt;"},"properties":{"noteIndex":0},"schema":"https://github.com/citation-style-language/schema/raw/master/csl-citation.json"}</w:instrText>
      </w:r>
      <w:r w:rsidR="004021A2">
        <w:rPr>
          <w:rFonts w:eastAsiaTheme="minorEastAsia"/>
        </w:rPr>
        <w:fldChar w:fldCharType="separate"/>
      </w:r>
      <w:r w:rsidR="008A5081" w:rsidRPr="008A5081">
        <w:rPr>
          <w:rFonts w:eastAsiaTheme="minorEastAsia"/>
          <w:noProof/>
          <w:vertAlign w:val="superscript"/>
        </w:rPr>
        <w:t>7</w:t>
      </w:r>
      <w:r w:rsidR="004021A2">
        <w:rPr>
          <w:rFonts w:eastAsiaTheme="minorEastAsia"/>
        </w:rPr>
        <w:fldChar w:fldCharType="end"/>
      </w:r>
      <w:r>
        <w:rPr>
          <w:rFonts w:eastAsiaTheme="minorEastAsia"/>
        </w:rPr>
        <w:t>, we set this value to 10 – 25 USD/m</w:t>
      </w:r>
      <w:r w:rsidRPr="00AA1333">
        <w:rPr>
          <w:rFonts w:eastAsiaTheme="minorEastAsia"/>
          <w:vertAlign w:val="superscript"/>
        </w:rPr>
        <w:t>3</w:t>
      </w:r>
      <w:r>
        <w:rPr>
          <w:rFonts w:eastAsiaTheme="minorEastAsia"/>
        </w:rPr>
        <w:t xml:space="preserve">.  </w:t>
      </w:r>
      <w:r w:rsidR="004D3BCA">
        <w:rPr>
          <w:rFonts w:eastAsiaTheme="minorEastAsia"/>
        </w:rPr>
        <w:t xml:space="preserve">Supplementary Table 3 provides an overview of all parameters. </w:t>
      </w:r>
    </w:p>
    <w:p w14:paraId="3AEE0C45" w14:textId="77777777" w:rsidR="00C12D4D" w:rsidRDefault="00C12D4D" w:rsidP="00C12D4D">
      <w:pPr>
        <w:spacing w:line="276" w:lineRule="auto"/>
        <w:jc w:val="both"/>
        <w:rPr>
          <w:rFonts w:eastAsiaTheme="minorEastAsia"/>
        </w:rPr>
      </w:pPr>
    </w:p>
    <w:p w14:paraId="5959771A" w14:textId="24CEF1FF" w:rsidR="00C12D4D" w:rsidRPr="00D471A0" w:rsidRDefault="00C12D4D" w:rsidP="00C12D4D">
      <w:pPr>
        <w:spacing w:line="276" w:lineRule="auto"/>
        <w:jc w:val="both"/>
        <w:rPr>
          <w:b/>
          <w:bCs/>
        </w:rPr>
      </w:pPr>
      <w:proofErr w:type="spellStart"/>
      <w:r w:rsidRPr="00D471A0">
        <w:rPr>
          <w:b/>
          <w:bCs/>
        </w:rPr>
        <w:t>RoRo</w:t>
      </w:r>
      <w:proofErr w:type="spellEnd"/>
      <w:r w:rsidRPr="00D471A0">
        <w:rPr>
          <w:b/>
          <w:bCs/>
        </w:rPr>
        <w:t xml:space="preserve"> terminal</w:t>
      </w:r>
    </w:p>
    <w:p w14:paraId="583AF796" w14:textId="77777777" w:rsidR="00C12D4D" w:rsidRPr="00F0499B" w:rsidRDefault="00C12D4D" w:rsidP="00C12D4D">
      <w:pPr>
        <w:spacing w:line="276" w:lineRule="auto"/>
        <w:jc w:val="both"/>
        <w:rPr>
          <w:i/>
          <w:iCs/>
        </w:rPr>
      </w:pPr>
      <w:r w:rsidRPr="00F0499B">
        <w:rPr>
          <w:i/>
          <w:iCs/>
        </w:rPr>
        <w:t>Area requirement</w:t>
      </w:r>
    </w:p>
    <w:p w14:paraId="693918D8" w14:textId="3B9151A5" w:rsidR="00C12D4D" w:rsidRDefault="00C12D4D" w:rsidP="00C12D4D">
      <w:pPr>
        <w:spacing w:line="276" w:lineRule="auto"/>
        <w:jc w:val="both"/>
      </w:pPr>
      <w:r w:rsidRPr="00581107">
        <w:t xml:space="preserve">There are no general guidelines for the design of </w:t>
      </w:r>
      <w:proofErr w:type="spellStart"/>
      <w:r w:rsidRPr="00581107">
        <w:t>RoRo</w:t>
      </w:r>
      <w:proofErr w:type="spellEnd"/>
      <w:r w:rsidRPr="00581107">
        <w:t xml:space="preserve"> terminals. Therefore, we use the terminal area and throughput dataset to come up with a </w:t>
      </w:r>
      <w:r w:rsidR="00AC5B44">
        <w:t>suitable scaling factor (Supplementary Note 2)</w:t>
      </w:r>
      <w:r w:rsidRPr="00581107">
        <w:t xml:space="preserve">. We find a global average value of </w:t>
      </w:r>
      <w:r>
        <w:t>4.1</w:t>
      </w:r>
      <w:r w:rsidRPr="00581107">
        <w:t xml:space="preserve"> tonnes/m</w:t>
      </w:r>
      <w:r w:rsidRPr="00CA7FB2">
        <w:rPr>
          <w:vertAlign w:val="superscript"/>
        </w:rPr>
        <w:t>2</w:t>
      </w:r>
      <w:r w:rsidRPr="00581107">
        <w:t>, with a 25-75% uncertainty (for 66 ports) of 1.</w:t>
      </w:r>
      <w:r>
        <w:t>5</w:t>
      </w:r>
      <w:r w:rsidRPr="00581107">
        <w:t xml:space="preserve"> to 9.</w:t>
      </w:r>
      <w:r>
        <w:t>7</w:t>
      </w:r>
      <w:r w:rsidRPr="00581107">
        <w:t xml:space="preserve"> tonnes/m</w:t>
      </w:r>
      <w:r w:rsidRPr="00CA7FB2">
        <w:rPr>
          <w:vertAlign w:val="superscript"/>
        </w:rPr>
        <w:t>2</w:t>
      </w:r>
      <w:r w:rsidRPr="00581107">
        <w:t>. We therefore model this using a triangular distribution function to sample possible tonnes</w:t>
      </w:r>
      <w:r w:rsidR="003013D4">
        <w:t>-</w:t>
      </w:r>
      <w:r w:rsidRPr="00581107">
        <w:t>to</w:t>
      </w:r>
      <w:r w:rsidR="003013D4">
        <w:t>-</w:t>
      </w:r>
      <w:r w:rsidRPr="00581107">
        <w:t xml:space="preserve">area conversion values. </w:t>
      </w:r>
    </w:p>
    <w:p w14:paraId="4E7B1120" w14:textId="77777777" w:rsidR="00C12D4D" w:rsidRDefault="00C12D4D" w:rsidP="00C12D4D">
      <w:pPr>
        <w:spacing w:line="276" w:lineRule="auto"/>
        <w:jc w:val="both"/>
      </w:pPr>
    </w:p>
    <w:p w14:paraId="624CDFB9" w14:textId="77777777" w:rsidR="00C12D4D" w:rsidRDefault="00C12D4D" w:rsidP="00C12D4D">
      <w:pPr>
        <w:spacing w:line="276" w:lineRule="auto"/>
        <w:jc w:val="both"/>
        <w:rPr>
          <w:i/>
          <w:iCs/>
        </w:rPr>
      </w:pPr>
      <w:r>
        <w:rPr>
          <w:i/>
          <w:iCs/>
        </w:rPr>
        <w:t>Cost</w:t>
      </w:r>
    </w:p>
    <w:p w14:paraId="3A2FBA03" w14:textId="1777C163" w:rsidR="00C12D4D" w:rsidRDefault="00C12D4D" w:rsidP="00C12D4D">
      <w:pPr>
        <w:spacing w:line="276" w:lineRule="auto"/>
        <w:jc w:val="both"/>
      </w:pPr>
      <w:r>
        <w:t xml:space="preserve">The total cost of </w:t>
      </w:r>
      <w:r w:rsidR="00B372D4">
        <w:t xml:space="preserve">a </w:t>
      </w:r>
      <w:proofErr w:type="spellStart"/>
      <w:r>
        <w:t>RoRo</w:t>
      </w:r>
      <w:proofErr w:type="spellEnd"/>
      <w:r>
        <w:t xml:space="preserve"> terminal</w:t>
      </w:r>
      <w:r w:rsidR="00B372D4">
        <w:t xml:space="preserve"> </w:t>
      </w:r>
      <w:r>
        <w:t>consist</w:t>
      </w:r>
      <w:r w:rsidR="00B372D4">
        <w:t>s</w:t>
      </w:r>
      <w:r>
        <w:t xml:space="preserve"> of the cost</w:t>
      </w:r>
      <w:r w:rsidR="0097143F">
        <w:t>s</w:t>
      </w:r>
      <w:r>
        <w:t xml:space="preserve"> of </w:t>
      </w:r>
      <w:r w:rsidR="0097143F">
        <w:t xml:space="preserve">the </w:t>
      </w:r>
      <w:r>
        <w:t xml:space="preserve">quay wall and </w:t>
      </w:r>
      <w:r w:rsidR="009B5E4B">
        <w:t xml:space="preserve">the yard </w:t>
      </w:r>
      <w:r>
        <w:t xml:space="preserve">pavement. Equipment is not considered </w:t>
      </w:r>
      <w:r w:rsidR="00CA7FB2">
        <w:t>for</w:t>
      </w:r>
      <w:r>
        <w:t xml:space="preserve"> </w:t>
      </w:r>
      <w:proofErr w:type="spellStart"/>
      <w:r>
        <w:t>RoRo</w:t>
      </w:r>
      <w:proofErr w:type="spellEnd"/>
      <w:r>
        <w:t xml:space="preserve"> terminals, as little landside equipment is required. The costs can be written as</w:t>
      </w:r>
    </w:p>
    <w:p w14:paraId="53FFDDF4" w14:textId="77777777" w:rsidR="00C12D4D" w:rsidRDefault="00C12D4D" w:rsidP="00C12D4D">
      <w:pPr>
        <w:spacing w:line="276" w:lineRule="auto"/>
        <w:jc w:val="both"/>
      </w:pPr>
    </w:p>
    <w:p w14:paraId="19F2C3D1" w14:textId="77777777" w:rsidR="00C12D4D" w:rsidRPr="00CF2EA3" w:rsidRDefault="00000000" w:rsidP="00C12D4D">
      <w:pPr>
        <w:spacing w:line="276" w:lineRule="auto"/>
        <w:jc w:val="both"/>
        <w:rPr>
          <w:rFonts w:eastAsiaTheme="minorEastAsia"/>
        </w:rPr>
      </w:pPr>
      <m:oMathPara>
        <m:oMath>
          <m:sSub>
            <m:sSubPr>
              <m:ctrlPr>
                <w:rPr>
                  <w:rFonts w:ascii="Cambria Math" w:hAnsi="Cambria Math"/>
                  <w:i/>
                </w:rPr>
              </m:ctrlPr>
            </m:sSubPr>
            <m:e>
              <m:r>
                <w:rPr>
                  <w:rFonts w:ascii="Cambria Math" w:hAnsi="Cambria Math"/>
                </w:rPr>
                <m:t>C</m:t>
              </m:r>
            </m:e>
            <m:sub>
              <m:r>
                <w:rPr>
                  <w:rFonts w:ascii="Cambria Math" w:hAnsi="Cambria Math"/>
                </w:rPr>
                <m:t>dir</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gr</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quay</m:t>
              </m:r>
            </m:sub>
          </m:sSub>
          <m:d>
            <m:dPr>
              <m:ctrlPr>
                <w:rPr>
                  <w:rFonts w:ascii="Cambria Math" w:hAnsi="Cambria Math"/>
                  <w:i/>
                </w:rPr>
              </m:ctrlPr>
            </m:dPr>
            <m:e>
              <m:r>
                <w:rPr>
                  <w:rFonts w:ascii="Cambria Math" w:hAnsi="Cambria Math"/>
                </w:rPr>
                <m:t>H</m:t>
              </m:r>
            </m:e>
          </m:d>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gr</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pav</m:t>
              </m:r>
            </m:sub>
          </m:sSub>
          <m:r>
            <w:rPr>
              <w:rFonts w:ascii="Cambria Math" w:hAnsi="Cambria Math"/>
            </w:rPr>
            <m:t xml:space="preserve"> </m:t>
          </m:r>
          <m:r>
            <w:rPr>
              <w:rFonts w:ascii="Cambria Math" w:eastAsiaTheme="minorEastAsia" w:hAnsi="Cambria Math"/>
            </w:rPr>
            <m:t>+0.5*</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dredge</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gr</m:t>
              </m:r>
            </m:sub>
          </m:sSub>
          <m:r>
            <w:rPr>
              <w:rFonts w:ascii="Cambria Math" w:eastAsiaTheme="minorEastAsia" w:hAnsi="Cambria Math"/>
            </w:rPr>
            <m:t>*H*</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dredge</m:t>
              </m:r>
            </m:sub>
          </m:sSub>
        </m:oMath>
      </m:oMathPara>
    </w:p>
    <w:p w14:paraId="114EEB2A" w14:textId="77777777" w:rsidR="00C12D4D" w:rsidRPr="00581107" w:rsidRDefault="00C12D4D" w:rsidP="00C12D4D">
      <w:pPr>
        <w:spacing w:line="276" w:lineRule="auto"/>
        <w:jc w:val="both"/>
      </w:pPr>
    </w:p>
    <w:p w14:paraId="1BA0739D" w14:textId="66A90FB1" w:rsidR="00C12D4D" w:rsidRDefault="00C12D4D" w:rsidP="00C12D4D">
      <w:pPr>
        <w:spacing w:line="276" w:lineRule="auto"/>
        <w:jc w:val="both"/>
      </w:pPr>
      <w:r>
        <w:t xml:space="preserve">With </w:t>
      </w:r>
      <w:r w:rsidRPr="00FA27D3">
        <w:rPr>
          <w:i/>
          <w:iCs/>
        </w:rPr>
        <w:t>R</w:t>
      </w:r>
      <w:r w:rsidRPr="00FA27D3">
        <w:rPr>
          <w:i/>
          <w:iCs/>
          <w:vertAlign w:val="subscript"/>
        </w:rPr>
        <w:t>a</w:t>
      </w:r>
      <w:r>
        <w:t xml:space="preserve"> the quay wall length to storage area ratio and </w:t>
      </w:r>
      <w:proofErr w:type="spellStart"/>
      <w:r w:rsidRPr="00FA27D3">
        <w:rPr>
          <w:i/>
          <w:iCs/>
        </w:rPr>
        <w:t>C</w:t>
      </w:r>
      <w:r w:rsidRPr="00FA27D3">
        <w:rPr>
          <w:i/>
          <w:iCs/>
          <w:vertAlign w:val="subscript"/>
        </w:rPr>
        <w:t>pav</w:t>
      </w:r>
      <w:proofErr w:type="spellEnd"/>
      <w:r>
        <w:t xml:space="preserve"> the pavement costs of heavy duty pavement including buried service infrastructure. </w:t>
      </w:r>
    </w:p>
    <w:p w14:paraId="7ECBF3F4" w14:textId="77777777" w:rsidR="007D53E0" w:rsidRDefault="007D53E0" w:rsidP="00C12D4D">
      <w:pPr>
        <w:spacing w:line="276" w:lineRule="auto"/>
        <w:jc w:val="both"/>
      </w:pPr>
    </w:p>
    <w:p w14:paraId="75802134" w14:textId="2FF232BB" w:rsidR="00C12D4D" w:rsidRDefault="00C12D4D" w:rsidP="00C12D4D">
      <w:pPr>
        <w:spacing w:line="276" w:lineRule="auto"/>
        <w:jc w:val="both"/>
        <w:rPr>
          <w:b/>
          <w:bCs/>
        </w:rPr>
      </w:pPr>
      <w:r>
        <w:t xml:space="preserve">Based on the design of existing </w:t>
      </w:r>
      <w:proofErr w:type="spellStart"/>
      <w:r>
        <w:t>RoRo</w:t>
      </w:r>
      <w:proofErr w:type="spellEnd"/>
      <w:r>
        <w:t xml:space="preserve"> terminals </w:t>
      </w:r>
      <w:r w:rsidR="004021A2">
        <w:t>as described in HPA (2017)</w:t>
      </w:r>
      <w:r w:rsidR="004021A2">
        <w:fldChar w:fldCharType="begin" w:fldLock="1"/>
      </w:r>
      <w:r w:rsidR="008A5081">
        <w:instrText>ADDIN CSL_CITATION {"citationItems":[{"id":"ITEM-1","itemData":{"author":[{"dropping-particle":"","family":"Hamburg Port Authority","given":"","non-dropping-particle":"","parse-names":false,"suffix":""}],"id":"ITEM-1","issued":{"date-parts":[["2017"]]},"publisher-place":"Hamburg","title":"Optimized Modern Multi-Purpose Terminals","type":"report"},"uris":["http://www.mendeley.com/documents/?uuid=e7a0cb89-72ad-430b-8870-20d4fec9e897"]}],"mendeley":{"formattedCitation":"&lt;sup&gt;8&lt;/sup&gt;","plainTextFormattedCitation":"8","previouslyFormattedCitation":"&lt;sup&gt;8&lt;/sup&gt;"},"properties":{"noteIndex":0},"schema":"https://github.com/citation-style-language/schema/raw/master/csl-citation.json"}</w:instrText>
      </w:r>
      <w:r w:rsidR="004021A2">
        <w:fldChar w:fldCharType="separate"/>
      </w:r>
      <w:r w:rsidR="008A5081" w:rsidRPr="008A5081">
        <w:rPr>
          <w:noProof/>
          <w:vertAlign w:val="superscript"/>
        </w:rPr>
        <w:t>8</w:t>
      </w:r>
      <w:r w:rsidR="004021A2">
        <w:fldChar w:fldCharType="end"/>
      </w:r>
      <w:r w:rsidR="00EF12A3">
        <w:t xml:space="preserve">, </w:t>
      </w:r>
      <w:r w:rsidRPr="001353D1">
        <w:rPr>
          <w:i/>
          <w:iCs/>
        </w:rPr>
        <w:t>R</w:t>
      </w:r>
      <w:r w:rsidRPr="001353D1">
        <w:rPr>
          <w:i/>
          <w:iCs/>
          <w:vertAlign w:val="subscript"/>
        </w:rPr>
        <w:t>a</w:t>
      </w:r>
      <w:r>
        <w:t xml:space="preserve"> is found to be around</w:t>
      </w:r>
      <w:r w:rsidR="001353D1">
        <w:t xml:space="preserve"> </w:t>
      </w:r>
      <w:r>
        <w:t>0.001 – 0.005</w:t>
      </w:r>
      <w:r w:rsidR="001353D1">
        <w:t xml:space="preserve"> </w:t>
      </w:r>
      <w:r>
        <w:t>m/m</w:t>
      </w:r>
      <w:r w:rsidRPr="004021A2">
        <w:rPr>
          <w:vertAlign w:val="superscript"/>
        </w:rPr>
        <w:t>2</w:t>
      </w:r>
      <w:r>
        <w:t xml:space="preserve">, and the </w:t>
      </w:r>
      <w:proofErr w:type="spellStart"/>
      <w:r>
        <w:t>C</w:t>
      </w:r>
      <w:r w:rsidRPr="009117A8">
        <w:rPr>
          <w:vertAlign w:val="subscript"/>
        </w:rPr>
        <w:t>pav</w:t>
      </w:r>
      <w:proofErr w:type="spellEnd"/>
      <w:r>
        <w:t xml:space="preserve"> around 150 – 250 USD/m</w:t>
      </w:r>
      <w:r>
        <w:rPr>
          <w:vertAlign w:val="superscript"/>
        </w:rPr>
        <w:t>2</w:t>
      </w:r>
      <w:r>
        <w:t>.</w:t>
      </w:r>
    </w:p>
    <w:p w14:paraId="4F86B98E" w14:textId="77777777" w:rsidR="00C12D4D" w:rsidRPr="00581107" w:rsidRDefault="00C12D4D" w:rsidP="00C12D4D">
      <w:pPr>
        <w:spacing w:line="276" w:lineRule="auto"/>
        <w:jc w:val="both"/>
        <w:rPr>
          <w:b/>
          <w:bCs/>
        </w:rPr>
      </w:pPr>
    </w:p>
    <w:p w14:paraId="7E896B8D" w14:textId="24F0DDA2" w:rsidR="00C12D4D" w:rsidRPr="00D471A0" w:rsidRDefault="00C12D4D" w:rsidP="00C12D4D">
      <w:pPr>
        <w:spacing w:line="276" w:lineRule="auto"/>
        <w:jc w:val="both"/>
        <w:rPr>
          <w:b/>
          <w:bCs/>
        </w:rPr>
      </w:pPr>
      <w:r w:rsidRPr="00D471A0">
        <w:rPr>
          <w:b/>
          <w:bCs/>
        </w:rPr>
        <w:t>General cargo</w:t>
      </w:r>
      <w:r w:rsidR="00D471A0">
        <w:rPr>
          <w:b/>
          <w:bCs/>
        </w:rPr>
        <w:t xml:space="preserve"> terminal</w:t>
      </w:r>
    </w:p>
    <w:p w14:paraId="78F000CC" w14:textId="77777777" w:rsidR="00C12D4D" w:rsidRPr="00254E17" w:rsidRDefault="00C12D4D" w:rsidP="00C12D4D">
      <w:pPr>
        <w:spacing w:line="276" w:lineRule="auto"/>
        <w:jc w:val="both"/>
        <w:rPr>
          <w:i/>
          <w:iCs/>
        </w:rPr>
      </w:pPr>
      <w:r w:rsidRPr="00F0499B">
        <w:rPr>
          <w:i/>
          <w:iCs/>
        </w:rPr>
        <w:t>Area requirement</w:t>
      </w:r>
    </w:p>
    <w:p w14:paraId="2A5B86A0" w14:textId="77777777" w:rsidR="00C12D4D" w:rsidRPr="00581107" w:rsidRDefault="00C12D4D" w:rsidP="00C12D4D">
      <w:pPr>
        <w:spacing w:line="276" w:lineRule="auto"/>
        <w:jc w:val="both"/>
      </w:pPr>
      <w:r w:rsidRPr="00581107">
        <w:t>The general cargo storage area can be predicted using the following formula:</w:t>
      </w:r>
    </w:p>
    <w:p w14:paraId="14486CFD" w14:textId="77777777" w:rsidR="00C12D4D" w:rsidRPr="00581107" w:rsidRDefault="00C12D4D" w:rsidP="00C12D4D">
      <w:pPr>
        <w:spacing w:line="276" w:lineRule="auto"/>
        <w:jc w:val="both"/>
      </w:pPr>
    </w:p>
    <w:p w14:paraId="3989D69D" w14:textId="77777777" w:rsidR="00C12D4D" w:rsidRPr="00581107" w:rsidRDefault="00000000" w:rsidP="00C12D4D">
      <w:pPr>
        <w:spacing w:line="276" w:lineRule="auto"/>
        <w:jc w:val="both"/>
        <w:rPr>
          <w:rFonts w:eastAsiaTheme="minorEastAsia"/>
        </w:rPr>
      </w:pPr>
      <m:oMathPara>
        <m:oMath>
          <m:sSub>
            <m:sSubPr>
              <m:ctrlPr>
                <w:rPr>
                  <w:rFonts w:ascii="Cambria Math" w:hAnsi="Cambria Math"/>
                  <w:i/>
                </w:rPr>
              </m:ctrlPr>
            </m:sSubPr>
            <m:e>
              <m:r>
                <w:rPr>
                  <w:rFonts w:ascii="Cambria Math" w:hAnsi="Cambria Math"/>
                </w:rPr>
                <m:t>A</m:t>
              </m:r>
            </m:e>
            <m:sub>
              <m:r>
                <w:rPr>
                  <w:rFonts w:ascii="Cambria Math" w:hAnsi="Cambria Math"/>
                </w:rPr>
                <m:t>tot</m:t>
              </m:r>
            </m:sub>
          </m:sSub>
          <m:r>
            <w:rPr>
              <w:rFonts w:ascii="Cambria Math" w:hAnsi="Cambria Math"/>
            </w:rPr>
            <m:t>=</m:t>
          </m:r>
          <m:sSub>
            <m:sSubPr>
              <m:ctrlPr>
                <w:rPr>
                  <w:rFonts w:ascii="Cambria Math" w:hAnsi="Cambria Math"/>
                  <w:i/>
                </w:rPr>
              </m:ctrlPr>
            </m:sSubPr>
            <m:e>
              <m:r>
                <m:rPr>
                  <m:sty m:val="p"/>
                </m:rPr>
                <w:rPr>
                  <w:rFonts w:ascii="Cambria Math" w:hAnsi="Cambria Math"/>
                </w:rPr>
                <m:t>α</m:t>
              </m:r>
            </m:e>
            <m:sub>
              <m:r>
                <w:rPr>
                  <w:rFonts w:ascii="Cambria Math" w:hAnsi="Cambria Math"/>
                </w:rPr>
                <m:t>GC</m:t>
              </m:r>
            </m:sub>
          </m:sSub>
          <m:r>
            <w:rPr>
              <w:rFonts w:ascii="Cambria Math" w:hAnsi="Cambria Math"/>
            </w:rPr>
            <m:t>*</m:t>
          </m:r>
          <m:f>
            <m:fPr>
              <m:ctrlPr>
                <w:rPr>
                  <w:rFonts w:ascii="Cambria Math" w:hAnsi="Cambria Math"/>
                </w:rPr>
              </m:ctrlPr>
            </m:fPr>
            <m:num>
              <m:r>
                <w:rPr>
                  <w:rFonts w:ascii="Cambria Math" w:hAnsi="Cambria Math"/>
                </w:rPr>
                <m:t>T*t*</m:t>
              </m:r>
              <m:sSub>
                <m:sSubPr>
                  <m:ctrlPr>
                    <w:rPr>
                      <w:rFonts w:ascii="Cambria Math" w:hAnsi="Cambria Math"/>
                      <w:i/>
                    </w:rPr>
                  </m:ctrlPr>
                </m:sSubPr>
                <m:e>
                  <m:r>
                    <w:rPr>
                      <w:rFonts w:ascii="Cambria Math" w:hAnsi="Cambria Math"/>
                    </w:rPr>
                    <m:t>f</m:t>
                  </m:r>
                </m:e>
                <m:sub>
                  <m:r>
                    <w:rPr>
                      <w:rFonts w:ascii="Cambria Math" w:hAnsi="Cambria Math"/>
                    </w:rPr>
                    <m:t>area</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bulk</m:t>
                  </m:r>
                </m:sub>
              </m:sSub>
              <m:ctrlPr>
                <w:rPr>
                  <w:rFonts w:ascii="Cambria Math" w:hAnsi="Cambria Math"/>
                  <w:i/>
                </w:rPr>
              </m:ctrlPr>
            </m:num>
            <m:den>
              <m:sSub>
                <m:sSubPr>
                  <m:ctrlPr>
                    <w:rPr>
                      <w:rFonts w:ascii="Cambria Math" w:hAnsi="Cambria Math"/>
                      <w:i/>
                    </w:rPr>
                  </m:ctrlPr>
                </m:sSubPr>
                <m:e>
                  <m:r>
                    <w:rPr>
                      <w:rFonts w:ascii="Cambria Math" w:hAnsi="Cambria Math"/>
                    </w:rPr>
                    <m:t>h</m:t>
                  </m:r>
                </m:e>
                <m:sub>
                  <m:r>
                    <w:rPr>
                      <w:rFonts w:ascii="Cambria Math" w:hAnsi="Cambria Math"/>
                    </w:rPr>
                    <m:t>s</m:t>
                  </m:r>
                </m:sub>
              </m:sSub>
              <m:r>
                <w:rPr>
                  <w:rFonts w:ascii="Cambria Math" w:hAnsi="Cambria Math"/>
                </w:rPr>
                <m:t>*m*</m:t>
              </m:r>
              <m:sSub>
                <m:sSubPr>
                  <m:ctrlPr>
                    <w:rPr>
                      <w:rFonts w:ascii="Cambria Math" w:hAnsi="Cambria Math"/>
                      <w:i/>
                    </w:rPr>
                  </m:ctrlPr>
                </m:sSubPr>
                <m:e>
                  <m:r>
                    <m:rPr>
                      <m:sty m:val="p"/>
                    </m:rPr>
                    <w:rPr>
                      <w:rFonts w:ascii="Cambria Math" w:hAnsi="Cambria Math"/>
                    </w:rPr>
                    <m:t>ρ</m:t>
                  </m:r>
                </m:e>
                <m:sub>
                  <m:r>
                    <w:rPr>
                      <w:rFonts w:ascii="Cambria Math" w:hAnsi="Cambria Math"/>
                    </w:rPr>
                    <m:t>cargo</m:t>
                  </m:r>
                </m:sub>
              </m:sSub>
              <m:r>
                <w:rPr>
                  <w:rFonts w:ascii="Cambria Math" w:hAnsi="Cambria Math"/>
                </w:rPr>
                <m:t>*365</m:t>
              </m:r>
              <m:ctrlPr>
                <w:rPr>
                  <w:rFonts w:ascii="Cambria Math" w:hAnsi="Cambria Math"/>
                  <w:i/>
                </w:rPr>
              </m:ctrlPr>
            </m:den>
          </m:f>
        </m:oMath>
      </m:oMathPara>
    </w:p>
    <w:p w14:paraId="77FB216B" w14:textId="77777777" w:rsidR="00C12D4D" w:rsidRPr="00581107" w:rsidRDefault="00C12D4D" w:rsidP="00C12D4D">
      <w:pPr>
        <w:spacing w:line="276" w:lineRule="auto"/>
        <w:jc w:val="both"/>
        <w:rPr>
          <w:rFonts w:eastAsiaTheme="minorEastAsia"/>
        </w:rPr>
      </w:pPr>
    </w:p>
    <w:p w14:paraId="35FEB890" w14:textId="31566A9D" w:rsidR="009D3E9B" w:rsidRPr="00581107" w:rsidRDefault="00C12D4D" w:rsidP="00C12D4D">
      <w:pPr>
        <w:spacing w:line="276" w:lineRule="auto"/>
        <w:jc w:val="both"/>
      </w:pPr>
      <w:r w:rsidRPr="00581107">
        <w:t>With</w:t>
      </w:r>
      <w:r w:rsidRPr="00581107">
        <w:rPr>
          <w:i/>
          <w:iCs/>
        </w:rPr>
        <w:t xml:space="preserve"> </w:t>
      </w:r>
      <w:proofErr w:type="spellStart"/>
      <w:r w:rsidRPr="00581107">
        <w:rPr>
          <w:i/>
          <w:iCs/>
        </w:rPr>
        <w:t>f</w:t>
      </w:r>
      <w:r w:rsidRPr="00581107">
        <w:rPr>
          <w:i/>
          <w:iCs/>
          <w:vertAlign w:val="subscript"/>
        </w:rPr>
        <w:t>area</w:t>
      </w:r>
      <w:proofErr w:type="spellEnd"/>
      <w:r w:rsidRPr="00581107">
        <w:t xml:space="preserve"> the area factor of bulk, </w:t>
      </w:r>
      <w:proofErr w:type="spellStart"/>
      <w:r w:rsidRPr="00581107">
        <w:rPr>
          <w:i/>
          <w:iCs/>
        </w:rPr>
        <w:t>f</w:t>
      </w:r>
      <w:r w:rsidRPr="00581107">
        <w:rPr>
          <w:i/>
          <w:iCs/>
          <w:vertAlign w:val="subscript"/>
        </w:rPr>
        <w:t>bulk</w:t>
      </w:r>
      <w:proofErr w:type="spellEnd"/>
      <w:r w:rsidRPr="00581107">
        <w:rPr>
          <w:i/>
          <w:iCs/>
        </w:rPr>
        <w:t xml:space="preserve"> </w:t>
      </w:r>
      <w:r w:rsidRPr="00581107">
        <w:t xml:space="preserve">the bulk factor, </w:t>
      </w:r>
      <w:proofErr w:type="spellStart"/>
      <w:r w:rsidRPr="00581107">
        <w:rPr>
          <w:i/>
          <w:iCs/>
        </w:rPr>
        <w:t>h</w:t>
      </w:r>
      <w:r w:rsidRPr="00581107">
        <w:rPr>
          <w:i/>
          <w:iCs/>
          <w:vertAlign w:val="subscript"/>
        </w:rPr>
        <w:t>s</w:t>
      </w:r>
      <w:proofErr w:type="spellEnd"/>
      <w:r w:rsidRPr="00581107">
        <w:t xml:space="preserve"> the average stacking height, and </w:t>
      </w:r>
      <m:oMath>
        <m:sSub>
          <m:sSubPr>
            <m:ctrlPr>
              <w:rPr>
                <w:rFonts w:ascii="Cambria Math" w:hAnsi="Cambria Math"/>
                <w:i/>
              </w:rPr>
            </m:ctrlPr>
          </m:sSubPr>
          <m:e>
            <m:r>
              <w:rPr>
                <w:rFonts w:ascii="Cambria Math" w:hAnsi="Cambria Math"/>
              </w:rPr>
              <m:t>ρ</m:t>
            </m:r>
          </m:e>
          <m:sub>
            <m:r>
              <w:rPr>
                <w:rFonts w:ascii="Cambria Math" w:hAnsi="Cambria Math"/>
              </w:rPr>
              <m:t>cargo</m:t>
            </m:r>
          </m:sub>
        </m:sSub>
        <m:r>
          <w:rPr>
            <w:rFonts w:ascii="Cambria Math" w:hAnsi="Cambria Math"/>
          </w:rPr>
          <m:t xml:space="preserve"> </m:t>
        </m:r>
      </m:oMath>
      <w:r w:rsidRPr="00581107">
        <w:t xml:space="preserve">the average density of cargo. </w:t>
      </w:r>
      <w:r w:rsidR="009D3E9B" w:rsidRPr="009D3E9B">
        <w:rPr>
          <w:rFonts w:eastAsiaTheme="minorEastAsia"/>
        </w:rPr>
        <w:t>We</w:t>
      </w:r>
      <w:r w:rsidRPr="009D3E9B">
        <w:rPr>
          <w:rFonts w:eastAsiaTheme="minorEastAsia"/>
        </w:rPr>
        <w:t xml:space="preserve"> </w:t>
      </w:r>
      <w:r w:rsidRPr="00581107">
        <w:rPr>
          <w:rFonts w:eastAsiaTheme="minorEastAsia"/>
        </w:rPr>
        <w:t xml:space="preserve">use a range </w:t>
      </w:r>
      <w:r w:rsidR="0004219C">
        <w:rPr>
          <w:rFonts w:eastAsiaTheme="minorEastAsia"/>
        </w:rPr>
        <w:t xml:space="preserve">of </w:t>
      </w:r>
      <w:r w:rsidRPr="00581107">
        <w:rPr>
          <w:rFonts w:eastAsiaTheme="minorEastAsia"/>
        </w:rPr>
        <w:t xml:space="preserve">values from the literature (see </w:t>
      </w:r>
      <w:r w:rsidR="004021A2">
        <w:rPr>
          <w:rFonts w:eastAsiaTheme="minorEastAsia"/>
        </w:rPr>
        <w:t xml:space="preserve">Supplementary </w:t>
      </w:r>
      <w:r w:rsidRPr="00581107">
        <w:rPr>
          <w:rFonts w:eastAsiaTheme="minorEastAsia"/>
        </w:rPr>
        <w:t xml:space="preserve">Table </w:t>
      </w:r>
      <w:r w:rsidR="002B20AB">
        <w:rPr>
          <w:rFonts w:eastAsiaTheme="minorEastAsia"/>
        </w:rPr>
        <w:t>2</w:t>
      </w:r>
      <w:r w:rsidRPr="00581107">
        <w:rPr>
          <w:rFonts w:eastAsiaTheme="minorEastAsia"/>
        </w:rPr>
        <w:t>).</w:t>
      </w:r>
      <w:r w:rsidRPr="00581107">
        <w:t xml:space="preserve"> </w:t>
      </w:r>
    </w:p>
    <w:p w14:paraId="7E453B07" w14:textId="77777777" w:rsidR="00C12D4D" w:rsidRDefault="00C12D4D" w:rsidP="00C12D4D">
      <w:pPr>
        <w:spacing w:line="276" w:lineRule="auto"/>
        <w:jc w:val="both"/>
      </w:pPr>
    </w:p>
    <w:p w14:paraId="40F67CF2" w14:textId="77777777" w:rsidR="00C12D4D" w:rsidRDefault="00C12D4D" w:rsidP="00C12D4D">
      <w:pPr>
        <w:spacing w:line="276" w:lineRule="auto"/>
        <w:jc w:val="both"/>
        <w:rPr>
          <w:i/>
          <w:iCs/>
        </w:rPr>
      </w:pPr>
      <w:r>
        <w:rPr>
          <w:i/>
          <w:iCs/>
        </w:rPr>
        <w:t>Cost</w:t>
      </w:r>
    </w:p>
    <w:p w14:paraId="4B241E10" w14:textId="7D24A057" w:rsidR="00C12D4D" w:rsidRDefault="00C12D4D" w:rsidP="00C12D4D">
      <w:pPr>
        <w:spacing w:line="276" w:lineRule="auto"/>
        <w:jc w:val="both"/>
      </w:pPr>
      <w:r>
        <w:t>The total cost</w:t>
      </w:r>
      <w:r w:rsidR="009F5CDE">
        <w:t xml:space="preserve"> </w:t>
      </w:r>
      <w:r>
        <w:t xml:space="preserve">of </w:t>
      </w:r>
      <w:r w:rsidR="009F5CDE">
        <w:t>a g</w:t>
      </w:r>
      <w:r>
        <w:t xml:space="preserve">eneral </w:t>
      </w:r>
      <w:r w:rsidR="009F5CDE">
        <w:t>c</w:t>
      </w:r>
      <w:r>
        <w:t>argo terminal</w:t>
      </w:r>
      <w:r w:rsidR="009F5CDE">
        <w:t xml:space="preserve"> </w:t>
      </w:r>
      <w:r>
        <w:t>consist</w:t>
      </w:r>
      <w:r w:rsidR="009F5CDE">
        <w:t>s</w:t>
      </w:r>
      <w:r>
        <w:t xml:space="preserve"> of the costs of </w:t>
      </w:r>
      <w:r w:rsidR="007D69DA">
        <w:t xml:space="preserve">the </w:t>
      </w:r>
      <w:r>
        <w:t xml:space="preserve">quay wall, equipment and pavement. </w:t>
      </w:r>
    </w:p>
    <w:p w14:paraId="43A236F6" w14:textId="77777777" w:rsidR="00C12D4D" w:rsidRPr="008B0109" w:rsidRDefault="00C12D4D" w:rsidP="00C12D4D">
      <w:pPr>
        <w:spacing w:line="276" w:lineRule="auto"/>
        <w:jc w:val="both"/>
        <w:rPr>
          <w:rFonts w:eastAsiaTheme="minorEastAsia"/>
        </w:rPr>
      </w:pPr>
      <w:r w:rsidRPr="005B3BC4">
        <w:rPr>
          <w:rFonts w:ascii="Cambria Math" w:hAnsi="Cambria Math"/>
          <w:i/>
        </w:rPr>
        <w:br/>
      </w:r>
      <m:oMathPara>
        <m:oMath>
          <m:sSub>
            <m:sSubPr>
              <m:ctrlPr>
                <w:rPr>
                  <w:rFonts w:ascii="Cambria Math" w:hAnsi="Cambria Math"/>
                  <w:i/>
                </w:rPr>
              </m:ctrlPr>
            </m:sSubPr>
            <m:e>
              <m:r>
                <w:rPr>
                  <w:rFonts w:ascii="Cambria Math" w:hAnsi="Cambria Math"/>
                </w:rPr>
                <m:t>C</m:t>
              </m:r>
            </m:e>
            <m:sub>
              <m:r>
                <w:rPr>
                  <w:rFonts w:ascii="Cambria Math" w:hAnsi="Cambria Math"/>
                </w:rPr>
                <m:t>dir</m:t>
              </m:r>
            </m:sub>
          </m:sSub>
          <m:r>
            <w:rPr>
              <w:rFonts w:ascii="Cambria Math" w:hAnsi="Cambria Math"/>
            </w:rPr>
            <m:t>=</m:t>
          </m:r>
          <m:sSub>
            <m:sSubPr>
              <m:ctrlPr>
                <w:rPr>
                  <w:rFonts w:ascii="Cambria Math" w:hAnsi="Cambria Math"/>
                  <w:i/>
                </w:rPr>
              </m:ctrlPr>
            </m:sSubPr>
            <m:e>
              <m:r>
                <w:rPr>
                  <w:rFonts w:ascii="Cambria Math" w:hAnsi="Cambria Math"/>
                </w:rPr>
                <m:t>1.2 (A</m:t>
              </m:r>
            </m:e>
            <m:sub>
              <m:r>
                <w:rPr>
                  <w:rFonts w:ascii="Cambria Math" w:hAnsi="Cambria Math"/>
                </w:rPr>
                <m:t>gr</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quay</m:t>
              </m:r>
            </m:sub>
          </m:sSub>
          <m:d>
            <m:dPr>
              <m:ctrlPr>
                <w:rPr>
                  <w:rFonts w:ascii="Cambria Math" w:hAnsi="Cambria Math"/>
                  <w:i/>
                </w:rPr>
              </m:ctrlPr>
            </m:dPr>
            <m:e>
              <m:r>
                <w:rPr>
                  <w:rFonts w:ascii="Cambria Math" w:hAnsi="Cambria Math"/>
                </w:rPr>
                <m:t>H</m:t>
              </m:r>
            </m:e>
          </m:d>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gr</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pav</m:t>
              </m:r>
            </m:sub>
          </m:sSub>
          <m:r>
            <w:rPr>
              <w:rFonts w:ascii="Cambria Math" w:hAnsi="Cambria Math"/>
            </w:rPr>
            <m:t xml:space="preserve">) </m:t>
          </m:r>
          <m:r>
            <w:rPr>
              <w:rFonts w:ascii="Cambria Math" w:eastAsiaTheme="minorEastAsia" w:hAnsi="Cambria Math"/>
            </w:rPr>
            <m:t>+0.5*</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dredge</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gr</m:t>
              </m:r>
            </m:sub>
          </m:sSub>
          <m:r>
            <w:rPr>
              <w:rFonts w:ascii="Cambria Math" w:eastAsiaTheme="minorEastAsia" w:hAnsi="Cambria Math"/>
            </w:rPr>
            <m:t>*H *</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dredge</m:t>
              </m:r>
            </m:sub>
          </m:sSub>
        </m:oMath>
      </m:oMathPara>
    </w:p>
    <w:p w14:paraId="41234B77" w14:textId="77777777" w:rsidR="00C12D4D" w:rsidRDefault="00C12D4D" w:rsidP="00C12D4D">
      <w:pPr>
        <w:spacing w:line="276" w:lineRule="auto"/>
        <w:jc w:val="both"/>
      </w:pPr>
    </w:p>
    <w:p w14:paraId="0212F4BE" w14:textId="77777777" w:rsidR="00C12D4D" w:rsidRPr="00254E17" w:rsidRDefault="00C12D4D" w:rsidP="00C12D4D">
      <w:pPr>
        <w:spacing w:line="276" w:lineRule="auto"/>
        <w:jc w:val="both"/>
        <w:rPr>
          <w:i/>
          <w:iCs/>
        </w:rPr>
      </w:pPr>
    </w:p>
    <w:p w14:paraId="2C43CEB4" w14:textId="39788471" w:rsidR="00C12D4D" w:rsidRDefault="00C12D4D" w:rsidP="00C12D4D">
      <w:pPr>
        <w:spacing w:line="276" w:lineRule="auto"/>
        <w:jc w:val="both"/>
      </w:pPr>
      <w:r>
        <w:t xml:space="preserve">To estimate the quay length, we use </w:t>
      </w:r>
      <w:r w:rsidR="0004219C" w:rsidRPr="001353D1">
        <w:rPr>
          <w:i/>
          <w:iCs/>
        </w:rPr>
        <w:t>R</w:t>
      </w:r>
      <w:r w:rsidR="0004219C" w:rsidRPr="001353D1">
        <w:rPr>
          <w:i/>
          <w:iCs/>
          <w:vertAlign w:val="subscript"/>
        </w:rPr>
        <w:t>a</w:t>
      </w:r>
      <w:r w:rsidR="0004219C">
        <w:t xml:space="preserve"> values of </w:t>
      </w:r>
      <w:r>
        <w:t>0.001 - 0.005 m/m</w:t>
      </w:r>
      <w:r w:rsidRPr="00AE0A08">
        <w:rPr>
          <w:vertAlign w:val="superscript"/>
        </w:rPr>
        <w:t>2</w:t>
      </w:r>
      <w:r>
        <w:t>, which are common values found for a range of general cargo terminals across geographies</w:t>
      </w:r>
      <w:r w:rsidR="006C16CA">
        <w:fldChar w:fldCharType="begin" w:fldLock="1"/>
      </w:r>
      <w:r w:rsidR="008A5081">
        <w:instrText>ADDIN CSL_CITATION {"citationItems":[{"id":"ITEM-1","itemData":{"author":[{"dropping-particle":"","family":"Hamburg Port Authority","given":"","non-dropping-particle":"","parse-names":false,"suffix":""}],"id":"ITEM-1","issued":{"date-parts":[["2017"]]},"publisher-place":"Hamburg","title":"Optimized Modern Multi-Purpose Terminals","type":"report"},"uris":["http://www.mendeley.com/documents/?uuid=e7a0cb89-72ad-430b-8870-20d4fec9e897"]}],"mendeley":{"formattedCitation":"&lt;sup&gt;8&lt;/sup&gt;","plainTextFormattedCitation":"8","previouslyFormattedCitation":"&lt;sup&gt;8&lt;/sup&gt;"},"properties":{"noteIndex":0},"schema":"https://github.com/citation-style-language/schema/raw/master/csl-citation.json"}</w:instrText>
      </w:r>
      <w:r w:rsidR="006C16CA">
        <w:fldChar w:fldCharType="separate"/>
      </w:r>
      <w:r w:rsidR="008A5081" w:rsidRPr="008A5081">
        <w:rPr>
          <w:noProof/>
          <w:vertAlign w:val="superscript"/>
        </w:rPr>
        <w:t>8</w:t>
      </w:r>
      <w:r w:rsidR="006C16CA">
        <w:fldChar w:fldCharType="end"/>
      </w:r>
      <w:r>
        <w:t>, and pavements costs of 150 - 250 USD/m</w:t>
      </w:r>
      <w:r w:rsidRPr="00AE0A08">
        <w:rPr>
          <w:vertAlign w:val="superscript"/>
        </w:rPr>
        <w:t>2</w:t>
      </w:r>
      <w:r>
        <w:t xml:space="preserve">. </w:t>
      </w:r>
      <w:r w:rsidR="00AA564A">
        <w:t>The equipment costs are very much dependent on the type of general cargo terminal (e.g. types of goods, storage requirement). Here, we assume equipment costs to be 20% of the costs of quay walls and pavement.</w:t>
      </w:r>
      <w:r w:rsidR="009253F6">
        <w:t xml:space="preserve"> See Supplementary Table 3 for all details. </w:t>
      </w:r>
    </w:p>
    <w:p w14:paraId="405D9347" w14:textId="77777777" w:rsidR="00C12D4D" w:rsidRDefault="00C12D4D" w:rsidP="00C12D4D">
      <w:pPr>
        <w:spacing w:line="276" w:lineRule="auto"/>
        <w:jc w:val="both"/>
      </w:pPr>
    </w:p>
    <w:p w14:paraId="60E7EB00" w14:textId="77777777" w:rsidR="00C12D4D" w:rsidRPr="00581107" w:rsidRDefault="00C12D4D" w:rsidP="00C12D4D">
      <w:pPr>
        <w:spacing w:line="276" w:lineRule="auto"/>
        <w:jc w:val="both"/>
      </w:pPr>
    </w:p>
    <w:p w14:paraId="3C2F4188" w14:textId="0EB99D7B" w:rsidR="00C12D4D" w:rsidRPr="00D471A0" w:rsidRDefault="00C12D4D" w:rsidP="00C12D4D">
      <w:pPr>
        <w:spacing w:line="276" w:lineRule="auto"/>
        <w:jc w:val="both"/>
        <w:rPr>
          <w:b/>
          <w:bCs/>
        </w:rPr>
      </w:pPr>
      <w:r w:rsidRPr="00D471A0">
        <w:rPr>
          <w:b/>
          <w:bCs/>
        </w:rPr>
        <w:t>Liquid bulk</w:t>
      </w:r>
      <w:r w:rsidR="00D471A0">
        <w:rPr>
          <w:b/>
          <w:bCs/>
        </w:rPr>
        <w:t xml:space="preserve"> terminal</w:t>
      </w:r>
    </w:p>
    <w:p w14:paraId="7BF1D2C6" w14:textId="77777777" w:rsidR="00C12D4D" w:rsidRPr="00FA0281" w:rsidRDefault="00C12D4D" w:rsidP="00C12D4D">
      <w:pPr>
        <w:spacing w:line="276" w:lineRule="auto"/>
        <w:jc w:val="both"/>
        <w:rPr>
          <w:i/>
          <w:iCs/>
        </w:rPr>
      </w:pPr>
      <w:r w:rsidRPr="00F0499B">
        <w:rPr>
          <w:i/>
          <w:iCs/>
        </w:rPr>
        <w:t>Area requirement</w:t>
      </w:r>
    </w:p>
    <w:p w14:paraId="072FE401" w14:textId="77777777" w:rsidR="00C12D4D" w:rsidRPr="00581107" w:rsidRDefault="00C12D4D" w:rsidP="00C12D4D">
      <w:pPr>
        <w:spacing w:line="276" w:lineRule="auto"/>
        <w:jc w:val="both"/>
      </w:pPr>
      <w:r w:rsidRPr="00581107">
        <w:t>The liquid bulk storage area can be predicted using the following formula:</w:t>
      </w:r>
    </w:p>
    <w:p w14:paraId="534AA765" w14:textId="77777777" w:rsidR="00C12D4D" w:rsidRPr="00581107" w:rsidRDefault="00C12D4D" w:rsidP="00C12D4D">
      <w:pPr>
        <w:spacing w:line="276" w:lineRule="auto"/>
        <w:jc w:val="both"/>
      </w:pPr>
    </w:p>
    <w:p w14:paraId="7204ADE6" w14:textId="77777777" w:rsidR="00C12D4D" w:rsidRPr="00581107" w:rsidRDefault="00000000" w:rsidP="00C12D4D">
      <w:pPr>
        <w:spacing w:line="276" w:lineRule="auto"/>
        <w:jc w:val="both"/>
        <w:rPr>
          <w:rFonts w:eastAsiaTheme="minorEastAsia"/>
        </w:rPr>
      </w:pPr>
      <m:oMathPara>
        <m:oMath>
          <m:sSub>
            <m:sSubPr>
              <m:ctrlPr>
                <w:rPr>
                  <w:rFonts w:ascii="Cambria Math" w:hAnsi="Cambria Math"/>
                  <w:i/>
                </w:rPr>
              </m:ctrlPr>
            </m:sSubPr>
            <m:e>
              <m:r>
                <w:rPr>
                  <w:rFonts w:ascii="Cambria Math" w:hAnsi="Cambria Math"/>
                </w:rPr>
                <m:t>A</m:t>
              </m:r>
            </m:e>
            <m:sub>
              <m:r>
                <w:rPr>
                  <w:rFonts w:ascii="Cambria Math" w:hAnsi="Cambria Math"/>
                </w:rPr>
                <m:t>tot</m:t>
              </m:r>
            </m:sub>
          </m:sSub>
          <m:r>
            <w:rPr>
              <w:rFonts w:ascii="Cambria Math" w:hAnsi="Cambria Math"/>
            </w:rPr>
            <m:t>=</m:t>
          </m:r>
          <m:sSub>
            <m:sSubPr>
              <m:ctrlPr>
                <w:rPr>
                  <w:rFonts w:ascii="Cambria Math" w:hAnsi="Cambria Math"/>
                  <w:i/>
                </w:rPr>
              </m:ctrlPr>
            </m:sSubPr>
            <m:e>
              <m:r>
                <m:rPr>
                  <m:sty m:val="p"/>
                </m:rPr>
                <w:rPr>
                  <w:rFonts w:ascii="Cambria Math" w:hAnsi="Cambria Math"/>
                </w:rPr>
                <m:t>α</m:t>
              </m:r>
            </m:e>
            <m:sub>
              <m:r>
                <w:rPr>
                  <w:rFonts w:ascii="Cambria Math" w:hAnsi="Cambria Math"/>
                </w:rPr>
                <m:t>L</m:t>
              </m:r>
            </m:sub>
          </m:sSub>
          <m:r>
            <w:rPr>
              <w:rFonts w:ascii="Cambria Math" w:hAnsi="Cambria Math"/>
            </w:rPr>
            <m:t>*</m:t>
          </m:r>
          <m:f>
            <m:fPr>
              <m:ctrlPr>
                <w:rPr>
                  <w:rFonts w:ascii="Cambria Math" w:hAnsi="Cambria Math"/>
                </w:rPr>
              </m:ctrlPr>
            </m:fPr>
            <m:num>
              <m:r>
                <w:rPr>
                  <w:rFonts w:ascii="Cambria Math" w:hAnsi="Cambria Math"/>
                </w:rPr>
                <m:t>T*t</m:t>
              </m:r>
              <m:ctrlPr>
                <w:rPr>
                  <w:rFonts w:ascii="Cambria Math" w:hAnsi="Cambria Math"/>
                  <w:i/>
                </w:rPr>
              </m:ctrlPr>
            </m:num>
            <m:den>
              <m:sSub>
                <m:sSubPr>
                  <m:ctrlPr>
                    <w:rPr>
                      <w:rFonts w:ascii="Cambria Math" w:hAnsi="Cambria Math"/>
                      <w:i/>
                    </w:rPr>
                  </m:ctrlPr>
                </m:sSubPr>
                <m:e>
                  <m:r>
                    <w:rPr>
                      <w:rFonts w:ascii="Cambria Math" w:hAnsi="Cambria Math"/>
                    </w:rPr>
                    <m:t>V</m:t>
                  </m:r>
                </m:e>
                <m:sub>
                  <m:r>
                    <w:rPr>
                      <w:rFonts w:ascii="Cambria Math" w:hAnsi="Cambria Math"/>
                    </w:rPr>
                    <m:t>area</m:t>
                  </m:r>
                </m:sub>
              </m:sSub>
              <m:r>
                <w:rPr>
                  <w:rFonts w:ascii="Cambria Math" w:hAnsi="Cambria Math"/>
                </w:rPr>
                <m:t>*m*</m:t>
              </m:r>
              <m:sSub>
                <m:sSubPr>
                  <m:ctrlPr>
                    <w:rPr>
                      <w:rFonts w:ascii="Cambria Math" w:hAnsi="Cambria Math"/>
                      <w:i/>
                    </w:rPr>
                  </m:ctrlPr>
                </m:sSubPr>
                <m:e>
                  <m:r>
                    <w:rPr>
                      <w:rFonts w:ascii="Cambria Math" w:hAnsi="Cambria Math"/>
                    </w:rPr>
                    <m:t>ρ</m:t>
                  </m:r>
                </m:e>
                <m:sub>
                  <m:r>
                    <w:rPr>
                      <w:rFonts w:ascii="Cambria Math" w:hAnsi="Cambria Math"/>
                    </w:rPr>
                    <m:t>cargo</m:t>
                  </m:r>
                </m:sub>
              </m:sSub>
              <m:r>
                <w:rPr>
                  <w:rFonts w:ascii="Cambria Math" w:hAnsi="Cambria Math"/>
                </w:rPr>
                <m:t>*365</m:t>
              </m:r>
              <m:ctrlPr>
                <w:rPr>
                  <w:rFonts w:ascii="Cambria Math" w:hAnsi="Cambria Math"/>
                  <w:i/>
                </w:rPr>
              </m:ctrlPr>
            </m:den>
          </m:f>
        </m:oMath>
      </m:oMathPara>
    </w:p>
    <w:p w14:paraId="38903316" w14:textId="77777777" w:rsidR="00C12D4D" w:rsidRPr="00581107" w:rsidRDefault="00C12D4D" w:rsidP="00C12D4D">
      <w:pPr>
        <w:spacing w:line="276" w:lineRule="auto"/>
        <w:jc w:val="both"/>
        <w:rPr>
          <w:rFonts w:eastAsiaTheme="minorEastAsia"/>
        </w:rPr>
      </w:pPr>
    </w:p>
    <w:p w14:paraId="0F04A771" w14:textId="353FAD02" w:rsidR="00C12D4D" w:rsidRDefault="00C12D4D" w:rsidP="00C12D4D">
      <w:pPr>
        <w:spacing w:line="276" w:lineRule="auto"/>
        <w:jc w:val="both"/>
      </w:pPr>
      <w:r w:rsidRPr="00581107">
        <w:rPr>
          <w:rFonts w:eastAsiaTheme="minorEastAsia"/>
        </w:rPr>
        <w:t xml:space="preserve">With </w:t>
      </w:r>
      <w:proofErr w:type="spellStart"/>
      <w:r w:rsidRPr="00581107">
        <w:rPr>
          <w:rFonts w:eastAsiaTheme="minorEastAsia"/>
          <w:i/>
          <w:iCs/>
        </w:rPr>
        <w:t>V</w:t>
      </w:r>
      <w:r w:rsidRPr="00581107">
        <w:rPr>
          <w:rFonts w:eastAsiaTheme="minorEastAsia"/>
          <w:i/>
          <w:iCs/>
          <w:vertAlign w:val="subscript"/>
        </w:rPr>
        <w:t>area</w:t>
      </w:r>
      <w:proofErr w:type="spellEnd"/>
      <w:r w:rsidRPr="00581107">
        <w:rPr>
          <w:rFonts w:eastAsiaTheme="minorEastAsia"/>
        </w:rPr>
        <w:t xml:space="preserve"> the storage area of a volume of goods (m</w:t>
      </w:r>
      <w:r w:rsidRPr="000D3236">
        <w:rPr>
          <w:rFonts w:eastAsiaTheme="minorEastAsia"/>
          <w:vertAlign w:val="superscript"/>
        </w:rPr>
        <w:t>3</w:t>
      </w:r>
      <w:r w:rsidRPr="00581107">
        <w:rPr>
          <w:rFonts w:eastAsiaTheme="minorEastAsia"/>
        </w:rPr>
        <w:t>/m</w:t>
      </w:r>
      <w:r w:rsidRPr="000D3236">
        <w:rPr>
          <w:rFonts w:eastAsiaTheme="minorEastAsia"/>
          <w:vertAlign w:val="superscript"/>
        </w:rPr>
        <w:t>2</w:t>
      </w:r>
      <w:r w:rsidRPr="00581107">
        <w:rPr>
          <w:rFonts w:eastAsiaTheme="minorEastAsia"/>
        </w:rPr>
        <w:t xml:space="preserve">). </w:t>
      </w:r>
      <w:r w:rsidR="009D3E9B" w:rsidRPr="009D3E9B">
        <w:rPr>
          <w:rFonts w:eastAsiaTheme="minorEastAsia"/>
        </w:rPr>
        <w:t>We</w:t>
      </w:r>
      <w:r w:rsidRPr="009D3E9B">
        <w:rPr>
          <w:rFonts w:eastAsiaTheme="minorEastAsia"/>
        </w:rPr>
        <w:t xml:space="preserve"> </w:t>
      </w:r>
      <w:r w:rsidRPr="00581107">
        <w:rPr>
          <w:rFonts w:eastAsiaTheme="minorEastAsia"/>
        </w:rPr>
        <w:t xml:space="preserve">use a range </w:t>
      </w:r>
      <w:r w:rsidR="00BC2C01">
        <w:rPr>
          <w:rFonts w:eastAsiaTheme="minorEastAsia"/>
        </w:rPr>
        <w:t xml:space="preserve">of </w:t>
      </w:r>
      <w:r w:rsidRPr="00581107">
        <w:rPr>
          <w:rFonts w:eastAsiaTheme="minorEastAsia"/>
        </w:rPr>
        <w:t xml:space="preserve">values from the literature (see </w:t>
      </w:r>
      <w:r w:rsidR="00BC2C01">
        <w:rPr>
          <w:rFonts w:eastAsiaTheme="minorEastAsia"/>
        </w:rPr>
        <w:t xml:space="preserve">Supplementary </w:t>
      </w:r>
      <w:r w:rsidRPr="00581107">
        <w:rPr>
          <w:rFonts w:eastAsiaTheme="minorEastAsia"/>
        </w:rPr>
        <w:t xml:space="preserve">Table </w:t>
      </w:r>
      <w:r w:rsidR="00BC2C01">
        <w:rPr>
          <w:rFonts w:eastAsiaTheme="minorEastAsia"/>
        </w:rPr>
        <w:t>2</w:t>
      </w:r>
      <w:r w:rsidRPr="00581107">
        <w:rPr>
          <w:rFonts w:eastAsiaTheme="minorEastAsia"/>
        </w:rPr>
        <w:t>).</w:t>
      </w:r>
      <w:r w:rsidRPr="00581107">
        <w:t xml:space="preserve"> </w:t>
      </w:r>
    </w:p>
    <w:p w14:paraId="4098425D" w14:textId="77777777" w:rsidR="00C12D4D" w:rsidRDefault="00C12D4D" w:rsidP="00C12D4D">
      <w:pPr>
        <w:spacing w:line="276" w:lineRule="auto"/>
        <w:jc w:val="both"/>
      </w:pPr>
    </w:p>
    <w:p w14:paraId="2C36B8FC" w14:textId="77777777" w:rsidR="00C12D4D" w:rsidRDefault="00C12D4D" w:rsidP="00C12D4D">
      <w:pPr>
        <w:spacing w:line="276" w:lineRule="auto"/>
        <w:jc w:val="both"/>
        <w:rPr>
          <w:i/>
          <w:iCs/>
        </w:rPr>
      </w:pPr>
      <w:r>
        <w:rPr>
          <w:i/>
          <w:iCs/>
        </w:rPr>
        <w:t>Cost</w:t>
      </w:r>
    </w:p>
    <w:p w14:paraId="4A637529" w14:textId="2747C172" w:rsidR="00C12D4D" w:rsidRDefault="00C12D4D" w:rsidP="00C12D4D">
      <w:pPr>
        <w:spacing w:line="276" w:lineRule="auto"/>
        <w:jc w:val="both"/>
        <w:rPr>
          <w:rFonts w:eastAsiaTheme="minorEastAsia"/>
        </w:rPr>
      </w:pPr>
      <w:r>
        <w:rPr>
          <w:rFonts w:eastAsiaTheme="minorEastAsia"/>
        </w:rPr>
        <w:t>In comparison with the other terminals, liquid bulk terminal often use jetties for berthing (</w:t>
      </w:r>
      <w:r w:rsidR="006C16CA">
        <w:rPr>
          <w:rFonts w:eastAsiaTheme="minorEastAsia"/>
        </w:rPr>
        <w:t>instead of</w:t>
      </w:r>
      <w:r>
        <w:rPr>
          <w:rFonts w:eastAsiaTheme="minorEastAsia"/>
        </w:rPr>
        <w:t xml:space="preserve"> a quay wall) and do not require</w:t>
      </w:r>
      <w:r w:rsidR="00E60555">
        <w:rPr>
          <w:rFonts w:eastAsiaTheme="minorEastAsia"/>
        </w:rPr>
        <w:t xml:space="preserve"> (or require small amounts of)</w:t>
      </w:r>
      <w:r>
        <w:rPr>
          <w:rFonts w:eastAsiaTheme="minorEastAsia"/>
        </w:rPr>
        <w:t xml:space="preserve"> pavement. The total cost</w:t>
      </w:r>
      <w:r w:rsidR="0060015D">
        <w:rPr>
          <w:rFonts w:eastAsiaTheme="minorEastAsia"/>
        </w:rPr>
        <w:t>s</w:t>
      </w:r>
      <w:r>
        <w:rPr>
          <w:rFonts w:eastAsiaTheme="minorEastAsia"/>
        </w:rPr>
        <w:t xml:space="preserve"> cover the costs of storage tanks (~50% of construction costs</w:t>
      </w:r>
      <w:r w:rsidR="009D3E9B">
        <w:rPr>
          <w:rFonts w:eastAsiaTheme="minorEastAsia"/>
        </w:rPr>
        <w:fldChar w:fldCharType="begin" w:fldLock="1"/>
      </w:r>
      <w:r w:rsidR="008A5081">
        <w:rPr>
          <w:rFonts w:eastAsiaTheme="minorEastAsia"/>
        </w:rPr>
        <w:instrText>ADDIN CSL_CITATION {"citationItems":[{"id":"ITEM-1","itemData":{"author":[{"dropping-particle":"","family":"Kox","given":"S.A.J.","non-dropping-particle":"","parse-names":false,"suffix":""}],"id":"ITEM-1","issued":{"date-parts":[["2016"]]},"page":"203","title":"A Tool for Determining Marine Terminal Dimensions and Costs in a Project's Feasibility Phase.","type":"article-journal"},"uris":["http://www.mendeley.com/documents/?uuid=5d51f26b-6431-4721-8b88-3f04a222e1cf"]}],"mendeley":{"formattedCitation":"&lt;sup&gt;4&lt;/sup&gt;","plainTextFormattedCitation":"4","previouslyFormattedCitation":"&lt;sup&gt;4&lt;/sup&gt;"},"properties":{"noteIndex":0},"schema":"https://github.com/citation-style-language/schema/raw/master/csl-citation.json"}</w:instrText>
      </w:r>
      <w:r w:rsidR="009D3E9B">
        <w:rPr>
          <w:rFonts w:eastAsiaTheme="minorEastAsia"/>
        </w:rPr>
        <w:fldChar w:fldCharType="separate"/>
      </w:r>
      <w:r w:rsidR="008A5081" w:rsidRPr="008A5081">
        <w:rPr>
          <w:rFonts w:eastAsiaTheme="minorEastAsia"/>
          <w:noProof/>
          <w:vertAlign w:val="superscript"/>
        </w:rPr>
        <w:t>4</w:t>
      </w:r>
      <w:r w:rsidR="009D3E9B">
        <w:rPr>
          <w:rFonts w:eastAsiaTheme="minorEastAsia"/>
        </w:rPr>
        <w:fldChar w:fldCharType="end"/>
      </w:r>
      <w:r>
        <w:rPr>
          <w:rFonts w:eastAsiaTheme="minorEastAsia"/>
        </w:rPr>
        <w:t>), jetties, pipelines, and bunds. Estimating the costs of the individual components is difficult. Instead we use the unit storage costs (</w:t>
      </w:r>
      <w:r w:rsidRPr="00062F25">
        <w:rPr>
          <w:rFonts w:eastAsiaTheme="minorEastAsia"/>
          <w:i/>
          <w:iCs/>
        </w:rPr>
        <w:t>Sc</w:t>
      </w:r>
      <w:r>
        <w:rPr>
          <w:rFonts w:eastAsiaTheme="minorEastAsia"/>
        </w:rPr>
        <w:t>)</w:t>
      </w:r>
      <w:r w:rsidR="0060015D">
        <w:rPr>
          <w:rFonts w:eastAsiaTheme="minorEastAsia"/>
        </w:rPr>
        <w:t xml:space="preserve">, </w:t>
      </w:r>
      <w:r>
        <w:rPr>
          <w:rFonts w:eastAsiaTheme="minorEastAsia"/>
        </w:rPr>
        <w:t>in terms of USD per storage volume (USD/m</w:t>
      </w:r>
      <w:r w:rsidRPr="00AE0A08">
        <w:rPr>
          <w:rFonts w:eastAsiaTheme="minorEastAsia"/>
          <w:vertAlign w:val="superscript"/>
        </w:rPr>
        <w:t>3</w:t>
      </w:r>
      <w:r>
        <w:rPr>
          <w:rFonts w:eastAsiaTheme="minorEastAsia"/>
        </w:rPr>
        <w:t>)</w:t>
      </w:r>
      <w:r w:rsidR="0060015D">
        <w:rPr>
          <w:rFonts w:eastAsiaTheme="minorEastAsia"/>
        </w:rPr>
        <w:t>, which</w:t>
      </w:r>
      <w:r>
        <w:rPr>
          <w:rFonts w:eastAsiaTheme="minorEastAsia"/>
        </w:rPr>
        <w:t xml:space="preserve"> rang</w:t>
      </w:r>
      <w:r w:rsidR="0060015D">
        <w:rPr>
          <w:rFonts w:eastAsiaTheme="minorEastAsia"/>
        </w:rPr>
        <w:t>e</w:t>
      </w:r>
      <w:r>
        <w:rPr>
          <w:rFonts w:eastAsiaTheme="minorEastAsia"/>
        </w:rPr>
        <w:t xml:space="preserve"> between 350 – 700 USD/m</w:t>
      </w:r>
      <w:r w:rsidRPr="00AE0A08">
        <w:rPr>
          <w:rFonts w:eastAsiaTheme="minorEastAsia"/>
          <w:vertAlign w:val="superscript"/>
        </w:rPr>
        <w:t>3</w:t>
      </w:r>
      <w:r w:rsidR="009D3E9B">
        <w:rPr>
          <w:rFonts w:eastAsiaTheme="minorEastAsia"/>
        </w:rPr>
        <w:t xml:space="preserve"> as found in the literature</w:t>
      </w:r>
      <w:r w:rsidR="009D3E9B">
        <w:rPr>
          <w:rFonts w:eastAsiaTheme="minorEastAsia"/>
        </w:rPr>
        <w:fldChar w:fldCharType="begin" w:fldLock="1"/>
      </w:r>
      <w:r w:rsidR="008A5081">
        <w:rPr>
          <w:rFonts w:eastAsiaTheme="minorEastAsia"/>
        </w:rPr>
        <w:instrText>ADDIN CSL_CITATION {"citationItems":[{"id":"ITEM-1","itemData":{"author":[{"dropping-particle":"","family":"Kox","given":"S.A.J.","non-dropping-particle":"","parse-names":false,"suffix":""}],"id":"ITEM-1","issued":{"date-parts":[["2016"]]},"page":"203","title":"A Tool for Determining Marine Terminal Dimensions and Costs in a Project's Feasibility Phase.","type":"article-journal"},"uris":["http://www.mendeley.com/documents/?uuid=5d51f26b-6431-4721-8b88-3f04a222e1cf"]},{"id":"ITEM-2","itemData":{"author":[{"dropping-particle":"","family":"ERIA","given":"","non-dropping-particle":"","parse-names":false,"suffix":""}],"container-title":"Formulating Policy Options for Promoting Natural Gas Utilization in the East Asia Summit Region Volume II: Supply Side Analysis","editor":[{"dropping-particle":"","family":"Uemura","given":"T.","non-dropping-particle":"","parse-names":false,"suffix":""},{"dropping-particle":"","family":"Ishigami","given":"K.","non-dropping-particle":"","parse-names":false,"suffix":""}],"id":"ITEM-2","issue":"February","issued":{"date-parts":[["2018"]]},"page":"67-80","title":"Investment in LNG Supply Chain Infrastructure Estimation","type":"chapter","volume":"II"},"uris":["http://www.mendeley.com/documents/?uuid=67c7a103-ba5f-45ee-81ad-6bbed83f974f"]}],"mendeley":{"formattedCitation":"&lt;sup&gt;4,9&lt;/sup&gt;","plainTextFormattedCitation":"4,9","previouslyFormattedCitation":"&lt;sup&gt;4,9&lt;/sup&gt;"},"properties":{"noteIndex":0},"schema":"https://github.com/citation-style-language/schema/raw/master/csl-citation.json"}</w:instrText>
      </w:r>
      <w:r w:rsidR="009D3E9B">
        <w:rPr>
          <w:rFonts w:eastAsiaTheme="minorEastAsia"/>
        </w:rPr>
        <w:fldChar w:fldCharType="separate"/>
      </w:r>
      <w:r w:rsidR="008A5081" w:rsidRPr="008A5081">
        <w:rPr>
          <w:rFonts w:eastAsiaTheme="minorEastAsia"/>
          <w:noProof/>
          <w:vertAlign w:val="superscript"/>
        </w:rPr>
        <w:t>4,9</w:t>
      </w:r>
      <w:r w:rsidR="009D3E9B">
        <w:rPr>
          <w:rFonts w:eastAsiaTheme="minorEastAsia"/>
        </w:rPr>
        <w:fldChar w:fldCharType="end"/>
      </w:r>
      <w:r w:rsidR="009D3E9B">
        <w:rPr>
          <w:rFonts w:eastAsiaTheme="minorEastAsia"/>
        </w:rPr>
        <w:t>.</w:t>
      </w:r>
      <w:r>
        <w:rPr>
          <w:rFonts w:eastAsiaTheme="minorEastAsia"/>
        </w:rPr>
        <w:t xml:space="preserve"> In short, we can write:</w:t>
      </w:r>
    </w:p>
    <w:p w14:paraId="64928906" w14:textId="77777777" w:rsidR="00C12D4D" w:rsidRDefault="00C12D4D" w:rsidP="00C12D4D">
      <w:pPr>
        <w:spacing w:line="276" w:lineRule="auto"/>
        <w:jc w:val="both"/>
        <w:rPr>
          <w:rFonts w:eastAsiaTheme="minorEastAsia"/>
        </w:rPr>
      </w:pPr>
    </w:p>
    <w:p w14:paraId="649F90EE" w14:textId="77777777" w:rsidR="00C12D4D" w:rsidRDefault="00C12D4D" w:rsidP="00C12D4D">
      <w:pPr>
        <w:spacing w:line="276" w:lineRule="auto"/>
        <w:jc w:val="both"/>
        <w:rPr>
          <w:rFonts w:eastAsiaTheme="minorEastAsia"/>
        </w:rPr>
      </w:pPr>
    </w:p>
    <w:p w14:paraId="5887EDED" w14:textId="77777777" w:rsidR="00C12D4D" w:rsidRDefault="00000000" w:rsidP="00C12D4D">
      <w:pPr>
        <w:spacing w:line="276" w:lineRule="auto"/>
        <w:jc w:val="both"/>
        <w:rPr>
          <w:rFonts w:eastAsiaTheme="minorEastAsia"/>
        </w:rPr>
      </w:pPr>
      <m:oMathPara>
        <m:oMath>
          <m:sSub>
            <m:sSubPr>
              <m:ctrlPr>
                <w:rPr>
                  <w:rFonts w:ascii="Cambria Math" w:hAnsi="Cambria Math"/>
                  <w:i/>
                </w:rPr>
              </m:ctrlPr>
            </m:sSubPr>
            <m:e>
              <m:r>
                <w:rPr>
                  <w:rFonts w:ascii="Cambria Math" w:hAnsi="Cambria Math"/>
                </w:rPr>
                <m:t>C</m:t>
              </m:r>
            </m:e>
            <m:sub>
              <m:r>
                <w:rPr>
                  <w:rFonts w:ascii="Cambria Math" w:hAnsi="Cambria Math"/>
                </w:rPr>
                <m:t>dir</m:t>
              </m:r>
            </m:sub>
          </m:sSub>
          <m:r>
            <w:rPr>
              <w:rFonts w:ascii="Cambria Math" w:hAnsi="Cambria Math"/>
            </w:rPr>
            <m:t>=</m:t>
          </m:r>
          <m:f>
            <m:fPr>
              <m:ctrlPr>
                <w:rPr>
                  <w:rFonts w:ascii="Cambria Math" w:hAnsi="Cambria Math"/>
                </w:rPr>
              </m:ctrlPr>
            </m:fPr>
            <m:num>
              <m:r>
                <w:rPr>
                  <w:rFonts w:ascii="Cambria Math" w:hAnsi="Cambria Math"/>
                </w:rPr>
                <m:t>T*t</m:t>
              </m:r>
              <m:ctrlPr>
                <w:rPr>
                  <w:rFonts w:ascii="Cambria Math" w:hAnsi="Cambria Math"/>
                  <w:i/>
                </w:rPr>
              </m:ctrlPr>
            </m:num>
            <m:den>
              <m:sSub>
                <m:sSubPr>
                  <m:ctrlPr>
                    <w:rPr>
                      <w:rFonts w:ascii="Cambria Math" w:hAnsi="Cambria Math"/>
                      <w:i/>
                    </w:rPr>
                  </m:ctrlPr>
                </m:sSubPr>
                <m:e>
                  <m:r>
                    <w:rPr>
                      <w:rFonts w:ascii="Cambria Math" w:hAnsi="Cambria Math"/>
                    </w:rPr>
                    <m:t>ρ</m:t>
                  </m:r>
                </m:e>
                <m:sub>
                  <m:r>
                    <w:rPr>
                      <w:rFonts w:ascii="Cambria Math" w:hAnsi="Cambria Math"/>
                    </w:rPr>
                    <m:t>cargo</m:t>
                  </m:r>
                </m:sub>
              </m:sSub>
              <m:r>
                <w:rPr>
                  <w:rFonts w:ascii="Cambria Math" w:hAnsi="Cambria Math"/>
                </w:rPr>
                <m:t>*365</m:t>
              </m:r>
              <m:ctrlPr>
                <w:rPr>
                  <w:rFonts w:ascii="Cambria Math" w:hAnsi="Cambria Math"/>
                  <w:i/>
                </w:rPr>
              </m:ctrlPr>
            </m:den>
          </m:f>
          <m:r>
            <w:rPr>
              <w:rFonts w:ascii="Cambria Math" w:hAnsi="Cambria Math"/>
            </w:rPr>
            <m:t>*Sc</m:t>
          </m:r>
        </m:oMath>
      </m:oMathPara>
    </w:p>
    <w:p w14:paraId="71BF736A" w14:textId="136DDA19" w:rsidR="00C12D4D" w:rsidRDefault="00C12D4D" w:rsidP="00C12D4D">
      <w:pPr>
        <w:spacing w:line="276" w:lineRule="auto"/>
        <w:jc w:val="both"/>
        <w:rPr>
          <w:rFonts w:eastAsiaTheme="minorEastAsia"/>
        </w:rPr>
      </w:pPr>
    </w:p>
    <w:p w14:paraId="7854B723" w14:textId="7DABC748" w:rsidR="00B61350" w:rsidRDefault="00B61350" w:rsidP="00C12D4D">
      <w:pPr>
        <w:spacing w:line="276" w:lineRule="auto"/>
        <w:jc w:val="both"/>
        <w:rPr>
          <w:rFonts w:eastAsiaTheme="minorEastAsia"/>
        </w:rPr>
      </w:pPr>
      <w:r>
        <w:rPr>
          <w:rFonts w:eastAsiaTheme="minorEastAsia"/>
        </w:rPr>
        <w:lastRenderedPageBreak/>
        <w:t>Details of the parameters are included in Supplementary Table 3.</w:t>
      </w:r>
    </w:p>
    <w:p w14:paraId="46A46C6E" w14:textId="77777777" w:rsidR="00B61350" w:rsidRPr="00D32449" w:rsidRDefault="00B61350" w:rsidP="00C12D4D">
      <w:pPr>
        <w:spacing w:line="276" w:lineRule="auto"/>
        <w:jc w:val="both"/>
        <w:rPr>
          <w:rFonts w:eastAsiaTheme="minorEastAsia"/>
        </w:rPr>
      </w:pPr>
    </w:p>
    <w:p w14:paraId="58BB8CF0" w14:textId="77777777" w:rsidR="00C12D4D" w:rsidRDefault="00C12D4D" w:rsidP="00C12D4D">
      <w:pPr>
        <w:spacing w:line="276" w:lineRule="auto"/>
        <w:jc w:val="both"/>
        <w:rPr>
          <w:b/>
          <w:bCs/>
          <w:i/>
          <w:iCs/>
        </w:rPr>
      </w:pPr>
      <w:r w:rsidRPr="00581107">
        <w:rPr>
          <w:b/>
          <w:bCs/>
          <w:i/>
          <w:iCs/>
        </w:rPr>
        <w:t>Dry bulk</w:t>
      </w:r>
    </w:p>
    <w:p w14:paraId="2E1AAE87" w14:textId="77777777" w:rsidR="00C12D4D" w:rsidRPr="000B30F4" w:rsidRDefault="00C12D4D" w:rsidP="00C12D4D">
      <w:pPr>
        <w:spacing w:line="276" w:lineRule="auto"/>
        <w:jc w:val="both"/>
        <w:rPr>
          <w:i/>
          <w:iCs/>
        </w:rPr>
      </w:pPr>
      <w:r w:rsidRPr="00F0499B">
        <w:rPr>
          <w:i/>
          <w:iCs/>
        </w:rPr>
        <w:t>Area requirement</w:t>
      </w:r>
    </w:p>
    <w:p w14:paraId="50A634A1" w14:textId="77777777" w:rsidR="00C12D4D" w:rsidRPr="00581107" w:rsidRDefault="00C12D4D" w:rsidP="00C12D4D">
      <w:pPr>
        <w:spacing w:line="276" w:lineRule="auto"/>
        <w:jc w:val="both"/>
        <w:rPr>
          <w:i/>
          <w:iCs/>
        </w:rPr>
      </w:pPr>
      <w:r w:rsidRPr="00581107">
        <w:t>The liquid bulk storage area can be predicted using the following formula:</w:t>
      </w:r>
    </w:p>
    <w:p w14:paraId="133DD830" w14:textId="77777777" w:rsidR="00C12D4D" w:rsidRPr="00581107" w:rsidRDefault="00C12D4D" w:rsidP="00C12D4D">
      <w:pPr>
        <w:spacing w:line="276" w:lineRule="auto"/>
        <w:jc w:val="both"/>
        <w:rPr>
          <w:i/>
          <w:iCs/>
        </w:rPr>
      </w:pPr>
    </w:p>
    <w:p w14:paraId="469B58CB" w14:textId="77777777" w:rsidR="00C12D4D" w:rsidRPr="00581107" w:rsidRDefault="00000000" w:rsidP="00C12D4D">
      <w:pPr>
        <w:spacing w:line="276" w:lineRule="auto"/>
        <w:jc w:val="both"/>
        <w:rPr>
          <w:rFonts w:eastAsiaTheme="minorEastAsia"/>
          <w:i/>
        </w:rPr>
      </w:pPr>
      <m:oMathPara>
        <m:oMath>
          <m:sSub>
            <m:sSubPr>
              <m:ctrlPr>
                <w:rPr>
                  <w:rFonts w:ascii="Cambria Math" w:hAnsi="Cambria Math"/>
                  <w:i/>
                </w:rPr>
              </m:ctrlPr>
            </m:sSubPr>
            <m:e>
              <m:r>
                <w:rPr>
                  <w:rFonts w:ascii="Cambria Math" w:hAnsi="Cambria Math"/>
                </w:rPr>
                <m:t>A</m:t>
              </m:r>
            </m:e>
            <m:sub>
              <m:r>
                <w:rPr>
                  <w:rFonts w:ascii="Cambria Math" w:hAnsi="Cambria Math"/>
                </w:rPr>
                <m:t>tot</m:t>
              </m:r>
            </m:sub>
          </m:sSub>
          <m:r>
            <w:rPr>
              <w:rFonts w:ascii="Cambria Math" w:hAnsi="Cambria Math"/>
            </w:rPr>
            <m:t>=</m:t>
          </m:r>
          <m:sSub>
            <m:sSubPr>
              <m:ctrlPr>
                <w:rPr>
                  <w:rFonts w:ascii="Cambria Math" w:hAnsi="Cambria Math"/>
                  <w:i/>
                </w:rPr>
              </m:ctrlPr>
            </m:sSubPr>
            <m:e>
              <m:r>
                <m:rPr>
                  <m:sty m:val="p"/>
                </m:rPr>
                <w:rPr>
                  <w:rFonts w:ascii="Cambria Math" w:hAnsi="Cambria Math"/>
                </w:rPr>
                <m:t>α</m:t>
              </m:r>
            </m:e>
            <m:sub>
              <m:r>
                <w:rPr>
                  <w:rFonts w:ascii="Cambria Math" w:hAnsi="Cambria Math"/>
                </w:rPr>
                <m:t>L</m:t>
              </m:r>
            </m:sub>
          </m:sSub>
          <m:r>
            <w:rPr>
              <w:rFonts w:ascii="Cambria Math" w:hAnsi="Cambria Math"/>
            </w:rPr>
            <m:t>*</m:t>
          </m:r>
          <m:f>
            <m:fPr>
              <m:ctrlPr>
                <w:rPr>
                  <w:rFonts w:ascii="Cambria Math" w:hAnsi="Cambria Math"/>
                </w:rPr>
              </m:ctrlPr>
            </m:fPr>
            <m:num>
              <m:r>
                <w:rPr>
                  <w:rFonts w:ascii="Cambria Math" w:hAnsi="Cambria Math"/>
                </w:rPr>
                <m:t>T*t*</m:t>
              </m:r>
              <m:sSub>
                <m:sSubPr>
                  <m:ctrlPr>
                    <w:rPr>
                      <w:rFonts w:ascii="Cambria Math" w:hAnsi="Cambria Math"/>
                      <w:i/>
                    </w:rPr>
                  </m:ctrlPr>
                </m:sSubPr>
                <m:e>
                  <m:r>
                    <w:rPr>
                      <w:rFonts w:ascii="Cambria Math" w:hAnsi="Cambria Math"/>
                    </w:rPr>
                    <m:t>f</m:t>
                  </m:r>
                </m:e>
                <m:sub>
                  <m:r>
                    <w:rPr>
                      <w:rFonts w:ascii="Cambria Math" w:hAnsi="Cambria Math"/>
                    </w:rPr>
                    <m:t>area</m:t>
                  </m:r>
                </m:sub>
              </m:sSub>
              <m:ctrlPr>
                <w:rPr>
                  <w:rFonts w:ascii="Cambria Math" w:hAnsi="Cambria Math"/>
                  <w:i/>
                </w:rPr>
              </m:ctrlPr>
            </m:num>
            <m:den>
              <m:r>
                <w:rPr>
                  <w:rFonts w:ascii="Cambria Math" w:hAnsi="Cambria Math"/>
                </w:rPr>
                <m:t>hs*m*</m:t>
              </m:r>
              <m:sSub>
                <m:sSubPr>
                  <m:ctrlPr>
                    <w:rPr>
                      <w:rFonts w:ascii="Cambria Math" w:hAnsi="Cambria Math"/>
                      <w:i/>
                    </w:rPr>
                  </m:ctrlPr>
                </m:sSubPr>
                <m:e>
                  <m:r>
                    <w:rPr>
                      <w:rFonts w:ascii="Cambria Math" w:hAnsi="Cambria Math"/>
                    </w:rPr>
                    <m:t>ρ</m:t>
                  </m:r>
                </m:e>
                <m:sub>
                  <m:r>
                    <w:rPr>
                      <w:rFonts w:ascii="Cambria Math" w:hAnsi="Cambria Math"/>
                    </w:rPr>
                    <m:t>cargo</m:t>
                  </m:r>
                </m:sub>
              </m:sSub>
              <m:r>
                <w:rPr>
                  <w:rFonts w:ascii="Cambria Math" w:hAnsi="Cambria Math"/>
                </w:rPr>
                <m:t>*365</m:t>
              </m:r>
              <m:ctrlPr>
                <w:rPr>
                  <w:rFonts w:ascii="Cambria Math" w:hAnsi="Cambria Math"/>
                  <w:i/>
                </w:rPr>
              </m:ctrlPr>
            </m:den>
          </m:f>
        </m:oMath>
      </m:oMathPara>
    </w:p>
    <w:p w14:paraId="50AA35CB" w14:textId="77777777" w:rsidR="00C12D4D" w:rsidRPr="00581107" w:rsidRDefault="00C12D4D" w:rsidP="00C12D4D">
      <w:pPr>
        <w:spacing w:line="276" w:lineRule="auto"/>
        <w:jc w:val="both"/>
        <w:rPr>
          <w:rFonts w:eastAsiaTheme="minorEastAsia"/>
          <w:i/>
        </w:rPr>
      </w:pPr>
    </w:p>
    <w:p w14:paraId="2CDE829E" w14:textId="2124602A" w:rsidR="00C12D4D" w:rsidRPr="00581107" w:rsidRDefault="00C12D4D" w:rsidP="00C12D4D">
      <w:pPr>
        <w:spacing w:line="276" w:lineRule="auto"/>
        <w:jc w:val="both"/>
        <w:rPr>
          <w:rFonts w:eastAsiaTheme="minorEastAsia"/>
          <w:iCs/>
        </w:rPr>
      </w:pPr>
      <w:r w:rsidRPr="00581107">
        <w:rPr>
          <w:rFonts w:eastAsiaTheme="minorEastAsia"/>
          <w:iCs/>
        </w:rPr>
        <w:t>We calculate this separately for cargo that is stored in silos</w:t>
      </w:r>
      <w:r w:rsidR="009F0B51">
        <w:rPr>
          <w:rFonts w:eastAsiaTheme="minorEastAsia"/>
          <w:iCs/>
        </w:rPr>
        <w:t xml:space="preserve"> (e.g. grains, cement) </w:t>
      </w:r>
      <w:r w:rsidRPr="00581107">
        <w:rPr>
          <w:rFonts w:eastAsiaTheme="minorEastAsia"/>
          <w:iCs/>
        </w:rPr>
        <w:t>and cargo stored in stockpiles</w:t>
      </w:r>
      <w:r w:rsidR="009F0B51">
        <w:rPr>
          <w:rFonts w:eastAsiaTheme="minorEastAsia"/>
          <w:iCs/>
        </w:rPr>
        <w:t xml:space="preserve"> (e.g. iron ore, coal), </w:t>
      </w:r>
      <w:r w:rsidRPr="00581107">
        <w:rPr>
          <w:rFonts w:eastAsiaTheme="minorEastAsia"/>
          <w:iCs/>
        </w:rPr>
        <w:t>either open or with a shed around it</w:t>
      </w:r>
      <w:r w:rsidR="00F143DA">
        <w:rPr>
          <w:rFonts w:eastAsiaTheme="minorEastAsia"/>
          <w:iCs/>
        </w:rPr>
        <w:t xml:space="preserve">. </w:t>
      </w:r>
      <w:r w:rsidRPr="00581107">
        <w:rPr>
          <w:rFonts w:eastAsiaTheme="minorEastAsia"/>
          <w:iCs/>
        </w:rPr>
        <w:t>Some correction factors apply. Export terminals of iron ore/coal have 50% lower storage factors than importing terminals, and the area requirement of silos is around a third of the area requirement of an open storage</w:t>
      </w:r>
      <w:r w:rsidR="00EE4AC4">
        <w:rPr>
          <w:rFonts w:eastAsiaTheme="minorEastAsia"/>
          <w:iCs/>
        </w:rPr>
        <w:fldChar w:fldCharType="begin" w:fldLock="1"/>
      </w:r>
      <w:r w:rsidR="008A5081">
        <w:rPr>
          <w:rFonts w:eastAsiaTheme="minorEastAsia"/>
          <w:iCs/>
        </w:rPr>
        <w:instrText>ADDIN CSL_CITATION {"citationItems":[{"id":"ITEM-1","itemData":{"author":[{"dropping-particle":"","family":"Kox","given":"S.A.J.","non-dropping-particle":"","parse-names":false,"suffix":""}],"id":"ITEM-1","issued":{"date-parts":[["2016"]]},"page":"203","title":"A Tool for Determining Marine Terminal Dimensions and Costs in a Project's Feasibility Phase.","type":"article-journal"},"uris":["http://www.mendeley.com/documents/?uuid=5d51f26b-6431-4721-8b88-3f04a222e1cf"]}],"mendeley":{"formattedCitation":"&lt;sup&gt;4&lt;/sup&gt;","plainTextFormattedCitation":"4","previouslyFormattedCitation":"&lt;sup&gt;4&lt;/sup&gt;"},"properties":{"noteIndex":0},"schema":"https://github.com/citation-style-language/schema/raw/master/csl-citation.json"}</w:instrText>
      </w:r>
      <w:r w:rsidR="00EE4AC4">
        <w:rPr>
          <w:rFonts w:eastAsiaTheme="minorEastAsia"/>
          <w:iCs/>
        </w:rPr>
        <w:fldChar w:fldCharType="separate"/>
      </w:r>
      <w:r w:rsidR="008A5081" w:rsidRPr="008A5081">
        <w:rPr>
          <w:rFonts w:eastAsiaTheme="minorEastAsia"/>
          <w:iCs/>
          <w:noProof/>
          <w:vertAlign w:val="superscript"/>
        </w:rPr>
        <w:t>4</w:t>
      </w:r>
      <w:r w:rsidR="00EE4AC4">
        <w:rPr>
          <w:rFonts w:eastAsiaTheme="minorEastAsia"/>
          <w:iCs/>
        </w:rPr>
        <w:fldChar w:fldCharType="end"/>
      </w:r>
      <w:r w:rsidRPr="00581107">
        <w:rPr>
          <w:rFonts w:eastAsiaTheme="minorEastAsia"/>
          <w:iCs/>
        </w:rPr>
        <w:t>. We therefore estimate the total bulk area requirement for a port to be:</w:t>
      </w:r>
    </w:p>
    <w:p w14:paraId="6F45A104" w14:textId="77777777" w:rsidR="00C12D4D" w:rsidRPr="00581107" w:rsidRDefault="00C12D4D" w:rsidP="00C12D4D">
      <w:pPr>
        <w:spacing w:line="276" w:lineRule="auto"/>
        <w:jc w:val="both"/>
        <w:rPr>
          <w:rFonts w:eastAsiaTheme="minorEastAsia"/>
          <w:iCs/>
        </w:rPr>
      </w:pPr>
    </w:p>
    <w:p w14:paraId="5D3F0A71" w14:textId="77777777" w:rsidR="00C12D4D" w:rsidRPr="00581107" w:rsidRDefault="00000000" w:rsidP="00C12D4D">
      <w:pPr>
        <w:spacing w:line="276" w:lineRule="auto"/>
        <w:jc w:val="both"/>
        <w:rPr>
          <w:rFonts w:eastAsiaTheme="minorEastAsia"/>
        </w:rPr>
      </w:pPr>
      <m:oMathPara>
        <m:oMath>
          <m:sSub>
            <m:sSubPr>
              <m:ctrlPr>
                <w:rPr>
                  <w:rFonts w:ascii="Cambria Math" w:hAnsi="Cambria Math"/>
                  <w:i/>
                </w:rPr>
              </m:ctrlPr>
            </m:sSubPr>
            <m:e>
              <m:r>
                <w:rPr>
                  <w:rFonts w:ascii="Cambria Math" w:hAnsi="Cambria Math"/>
                </w:rPr>
                <m:t>A</m:t>
              </m:r>
            </m:e>
            <m:sub>
              <m:r>
                <w:rPr>
                  <w:rFonts w:ascii="Cambria Math" w:hAnsi="Cambria Math"/>
                </w:rPr>
                <m:t>tot</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silo</m:t>
              </m:r>
            </m:sub>
          </m:sSub>
          <m:r>
            <w:rPr>
              <w:rFonts w:ascii="Cambria Math" w:hAnsi="Cambria Math"/>
            </w:rPr>
            <m:t xml:space="preserve"> * 1</m:t>
          </m:r>
          <m:r>
            <m:rPr>
              <m:lit/>
            </m:rPr>
            <w:rPr>
              <w:rFonts w:ascii="Cambria Math" w:hAnsi="Cambria Math"/>
            </w:rPr>
            <m:t>/</m:t>
          </m:r>
          <m:r>
            <w:rPr>
              <w:rFonts w:ascii="Cambria Math" w:hAnsi="Cambria Math"/>
            </w:rPr>
            <m:t>3*</m:t>
          </m:r>
          <m:sSub>
            <m:sSubPr>
              <m:ctrlPr>
                <w:rPr>
                  <w:rFonts w:ascii="Cambria Math" w:hAnsi="Cambria Math"/>
                  <w:i/>
                </w:rPr>
              </m:ctrlPr>
            </m:sSubPr>
            <m:e>
              <m:r>
                <w:rPr>
                  <w:rFonts w:ascii="Cambria Math" w:hAnsi="Cambria Math"/>
                </w:rPr>
                <m:t>A</m:t>
              </m:r>
            </m:e>
            <m:sub>
              <m:r>
                <w:rPr>
                  <w:rFonts w:ascii="Cambria Math" w:hAnsi="Cambria Math"/>
                </w:rPr>
                <m:t>tot,s</m:t>
              </m:r>
            </m:sub>
          </m:sSub>
          <m:r>
            <w:rPr>
              <w:rFonts w:ascii="Cambria Math" w:hAnsi="Cambria Math"/>
            </w:rPr>
            <m:t>+</m:t>
          </m:r>
          <m:sSub>
            <m:sSubPr>
              <m:ctrlPr>
                <w:rPr>
                  <w:rFonts w:ascii="Cambria Math" w:hAnsi="Cambria Math"/>
                  <w:i/>
                </w:rPr>
              </m:ctrlPr>
            </m:sSubPr>
            <m:e>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f</m:t>
                      </m:r>
                    </m:e>
                    <m:sub>
                      <m:r>
                        <w:rPr>
                          <w:rFonts w:ascii="Cambria Math" w:hAnsi="Cambria Math"/>
                        </w:rPr>
                        <m:t>silo</m:t>
                      </m:r>
                    </m:sub>
                  </m:sSub>
                </m:e>
              </m:d>
              <m:r>
                <w:rPr>
                  <w:rFonts w:ascii="Cambria Math" w:hAnsi="Cambria Math"/>
                </w:rPr>
                <m:t xml:space="preserve"> * (f</m:t>
              </m:r>
            </m:e>
            <m:sub>
              <m:r>
                <w:rPr>
                  <w:rFonts w:ascii="Cambria Math" w:hAnsi="Cambria Math"/>
                </w:rPr>
                <m:t>export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tot,o</m:t>
              </m:r>
            </m:sub>
          </m:sSub>
          <m:r>
            <w:rPr>
              <w:rFonts w:ascii="Cambria Math" w:hAnsi="Cambria Math"/>
            </w:rPr>
            <m:t>*0.5+</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f</m:t>
                  </m:r>
                </m:e>
                <m:sub>
                  <m:r>
                    <w:rPr>
                      <w:rFonts w:ascii="Cambria Math" w:hAnsi="Cambria Math"/>
                    </w:rPr>
                    <m:t>export</m:t>
                  </m:r>
                </m:sub>
              </m:sSub>
            </m:e>
          </m:d>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tot,o</m:t>
              </m:r>
            </m:sub>
          </m:sSub>
          <m:r>
            <w:rPr>
              <w:rFonts w:ascii="Cambria Math" w:hAnsi="Cambria Math"/>
            </w:rPr>
            <m:t>)</m:t>
          </m:r>
        </m:oMath>
      </m:oMathPara>
    </w:p>
    <w:p w14:paraId="568071C8" w14:textId="77777777" w:rsidR="00C12D4D" w:rsidRPr="00581107" w:rsidRDefault="00C12D4D" w:rsidP="00C12D4D">
      <w:pPr>
        <w:spacing w:line="276" w:lineRule="auto"/>
        <w:jc w:val="both"/>
        <w:rPr>
          <w:rFonts w:eastAsiaTheme="minorEastAsia"/>
        </w:rPr>
      </w:pPr>
    </w:p>
    <w:p w14:paraId="1899F29B" w14:textId="43E76CCB" w:rsidR="00C12D4D" w:rsidRDefault="00C12D4D" w:rsidP="00C12D4D">
      <w:pPr>
        <w:spacing w:line="276" w:lineRule="auto"/>
        <w:jc w:val="both"/>
        <w:rPr>
          <w:rFonts w:eastAsiaTheme="minorEastAsia"/>
        </w:rPr>
      </w:pPr>
      <w:r w:rsidRPr="00581107">
        <w:rPr>
          <w:rFonts w:eastAsiaTheme="minorEastAsia"/>
        </w:rPr>
        <w:t xml:space="preserve">With </w:t>
      </w:r>
      <w:proofErr w:type="spellStart"/>
      <w:r w:rsidRPr="00581107">
        <w:rPr>
          <w:rFonts w:eastAsiaTheme="minorEastAsia"/>
          <w:i/>
          <w:iCs/>
        </w:rPr>
        <w:t>A</w:t>
      </w:r>
      <w:r>
        <w:rPr>
          <w:rFonts w:eastAsiaTheme="minorEastAsia"/>
          <w:i/>
          <w:iCs/>
          <w:vertAlign w:val="subscript"/>
        </w:rPr>
        <w:t>tot</w:t>
      </w:r>
      <w:r w:rsidRPr="00581107">
        <w:rPr>
          <w:rFonts w:eastAsiaTheme="minorEastAsia"/>
          <w:i/>
          <w:iCs/>
          <w:vertAlign w:val="subscript"/>
        </w:rPr>
        <w:t>,s</w:t>
      </w:r>
      <w:proofErr w:type="spellEnd"/>
      <w:r w:rsidRPr="00581107">
        <w:rPr>
          <w:rFonts w:eastAsiaTheme="minorEastAsia"/>
          <w:i/>
          <w:iCs/>
        </w:rPr>
        <w:t xml:space="preserve"> </w:t>
      </w:r>
      <w:r w:rsidRPr="00581107">
        <w:rPr>
          <w:rFonts w:eastAsiaTheme="minorEastAsia"/>
        </w:rPr>
        <w:t xml:space="preserve">the area derived for cargo in silos (e.g. grains) , </w:t>
      </w:r>
      <w:proofErr w:type="spellStart"/>
      <w:r w:rsidRPr="00581107">
        <w:rPr>
          <w:rFonts w:eastAsiaTheme="minorEastAsia"/>
          <w:i/>
          <w:iCs/>
        </w:rPr>
        <w:t>A</w:t>
      </w:r>
      <w:r>
        <w:rPr>
          <w:rFonts w:eastAsiaTheme="minorEastAsia"/>
          <w:i/>
          <w:iCs/>
          <w:vertAlign w:val="subscript"/>
        </w:rPr>
        <w:t>tot</w:t>
      </w:r>
      <w:r w:rsidRPr="00581107">
        <w:rPr>
          <w:rFonts w:eastAsiaTheme="minorEastAsia"/>
          <w:i/>
          <w:iCs/>
          <w:vertAlign w:val="subscript"/>
        </w:rPr>
        <w:t>,o</w:t>
      </w:r>
      <w:proofErr w:type="spellEnd"/>
      <w:r w:rsidRPr="00581107">
        <w:rPr>
          <w:rFonts w:eastAsiaTheme="minorEastAsia"/>
        </w:rPr>
        <w:t xml:space="preserve"> the area derived for cargo in open storage (e.g. coal),</w:t>
      </w:r>
      <w:r w:rsidRPr="00581107">
        <w:rPr>
          <w:rFonts w:eastAsiaTheme="minorEastAsia"/>
          <w:i/>
          <w:iCs/>
        </w:rPr>
        <w:t xml:space="preserve"> </w:t>
      </w:r>
      <w:proofErr w:type="spellStart"/>
      <w:r w:rsidRPr="00581107">
        <w:rPr>
          <w:rFonts w:eastAsiaTheme="minorEastAsia"/>
          <w:i/>
          <w:iCs/>
        </w:rPr>
        <w:t>f</w:t>
      </w:r>
      <w:r w:rsidRPr="00581107">
        <w:rPr>
          <w:rFonts w:eastAsiaTheme="minorEastAsia"/>
          <w:i/>
          <w:iCs/>
          <w:vertAlign w:val="subscript"/>
        </w:rPr>
        <w:t>silo</w:t>
      </w:r>
      <w:proofErr w:type="spellEnd"/>
      <w:r w:rsidRPr="00581107">
        <w:rPr>
          <w:rFonts w:eastAsiaTheme="minorEastAsia"/>
        </w:rPr>
        <w:t xml:space="preserve"> the fraction of bulk that will likely be stored in silos and </w:t>
      </w:r>
      <w:proofErr w:type="spellStart"/>
      <w:r w:rsidRPr="00581107">
        <w:rPr>
          <w:rFonts w:eastAsiaTheme="minorEastAsia"/>
          <w:i/>
          <w:iCs/>
        </w:rPr>
        <w:t>f</w:t>
      </w:r>
      <w:r w:rsidRPr="00581107">
        <w:rPr>
          <w:rFonts w:eastAsiaTheme="minorEastAsia"/>
          <w:i/>
          <w:iCs/>
          <w:vertAlign w:val="subscript"/>
        </w:rPr>
        <w:t>export</w:t>
      </w:r>
      <w:proofErr w:type="spellEnd"/>
      <w:r w:rsidRPr="00581107">
        <w:rPr>
          <w:rFonts w:eastAsiaTheme="minorEastAsia"/>
        </w:rPr>
        <w:t xml:space="preserve"> the fraction of throughput that is export. We estimate </w:t>
      </w:r>
      <w:proofErr w:type="spellStart"/>
      <w:r w:rsidRPr="00581107">
        <w:rPr>
          <w:rFonts w:eastAsiaTheme="minorEastAsia"/>
          <w:i/>
          <w:iCs/>
        </w:rPr>
        <w:t>f</w:t>
      </w:r>
      <w:r w:rsidRPr="00581107">
        <w:rPr>
          <w:rFonts w:eastAsiaTheme="minorEastAsia"/>
          <w:i/>
          <w:iCs/>
          <w:vertAlign w:val="subscript"/>
        </w:rPr>
        <w:t>silo</w:t>
      </w:r>
      <w:proofErr w:type="spellEnd"/>
      <w:r w:rsidRPr="00581107">
        <w:rPr>
          <w:rFonts w:eastAsiaTheme="minorEastAsia"/>
        </w:rPr>
        <w:t xml:space="preserve"> as the fraction of agricultural</w:t>
      </w:r>
      <w:r w:rsidR="00891FB4">
        <w:rPr>
          <w:rFonts w:eastAsiaTheme="minorEastAsia"/>
        </w:rPr>
        <w:t xml:space="preserve"> bulk trade</w:t>
      </w:r>
      <w:r w:rsidRPr="00581107">
        <w:rPr>
          <w:rFonts w:eastAsiaTheme="minorEastAsia"/>
        </w:rPr>
        <w:t xml:space="preserve"> (silos) </w:t>
      </w:r>
      <w:r w:rsidR="00891FB4">
        <w:rPr>
          <w:rFonts w:eastAsiaTheme="minorEastAsia"/>
        </w:rPr>
        <w:t>compared to</w:t>
      </w:r>
      <w:r w:rsidRPr="00581107">
        <w:rPr>
          <w:rFonts w:eastAsiaTheme="minorEastAsia"/>
        </w:rPr>
        <w:t xml:space="preserve"> the total bulk trade, which includes both agricultural bulk trade and mining bulk trade. </w:t>
      </w:r>
      <w:r w:rsidRPr="00581107">
        <w:rPr>
          <w:rFonts w:eastAsiaTheme="minorEastAsia"/>
          <w:i/>
          <w:iCs/>
        </w:rPr>
        <w:t>T</w:t>
      </w:r>
      <w:r w:rsidRPr="00581107">
        <w:rPr>
          <w:rFonts w:eastAsiaTheme="minorEastAsia"/>
        </w:rPr>
        <w:t xml:space="preserve">, </w:t>
      </w:r>
      <w:proofErr w:type="spellStart"/>
      <w:r w:rsidRPr="00581107">
        <w:rPr>
          <w:rFonts w:eastAsiaTheme="minorEastAsia"/>
          <w:i/>
          <w:iCs/>
        </w:rPr>
        <w:t>f</w:t>
      </w:r>
      <w:r w:rsidRPr="00581107">
        <w:rPr>
          <w:rFonts w:eastAsiaTheme="minorEastAsia"/>
          <w:i/>
          <w:iCs/>
          <w:vertAlign w:val="subscript"/>
        </w:rPr>
        <w:t>silo</w:t>
      </w:r>
      <w:proofErr w:type="spellEnd"/>
      <w:r w:rsidRPr="00581107">
        <w:rPr>
          <w:rFonts w:eastAsiaTheme="minorEastAsia"/>
        </w:rPr>
        <w:t xml:space="preserve"> and </w:t>
      </w:r>
      <w:proofErr w:type="spellStart"/>
      <w:r w:rsidRPr="00581107">
        <w:rPr>
          <w:rFonts w:eastAsiaTheme="minorEastAsia"/>
          <w:i/>
          <w:iCs/>
        </w:rPr>
        <w:t>f</w:t>
      </w:r>
      <w:r w:rsidRPr="00581107">
        <w:rPr>
          <w:rFonts w:eastAsiaTheme="minorEastAsia"/>
          <w:i/>
          <w:iCs/>
          <w:vertAlign w:val="subscript"/>
        </w:rPr>
        <w:t>export</w:t>
      </w:r>
      <w:proofErr w:type="spellEnd"/>
      <w:r w:rsidRPr="00581107">
        <w:rPr>
          <w:rFonts w:eastAsiaTheme="minorEastAsia"/>
        </w:rPr>
        <w:t xml:space="preserve"> come from the </w:t>
      </w:r>
      <w:r w:rsidR="00D60E54">
        <w:rPr>
          <w:rFonts w:eastAsiaTheme="minorEastAsia"/>
        </w:rPr>
        <w:t>Oxford Maritime Transport model output</w:t>
      </w:r>
      <w:r w:rsidRPr="00581107">
        <w:rPr>
          <w:rFonts w:eastAsiaTheme="minorEastAsia"/>
        </w:rPr>
        <w:t xml:space="preserve"> while for other parameters we use a range </w:t>
      </w:r>
      <w:r w:rsidR="001C7DC8">
        <w:rPr>
          <w:rFonts w:eastAsiaTheme="minorEastAsia"/>
        </w:rPr>
        <w:t xml:space="preserve">of </w:t>
      </w:r>
      <w:r w:rsidRPr="00581107">
        <w:rPr>
          <w:rFonts w:eastAsiaTheme="minorEastAsia"/>
        </w:rPr>
        <w:t xml:space="preserve">values from the literature (see </w:t>
      </w:r>
      <w:r w:rsidR="00A97457">
        <w:rPr>
          <w:rFonts w:eastAsiaTheme="minorEastAsia"/>
        </w:rPr>
        <w:t xml:space="preserve">Supplementary </w:t>
      </w:r>
      <w:r w:rsidRPr="00581107">
        <w:rPr>
          <w:rFonts w:eastAsiaTheme="minorEastAsia"/>
        </w:rPr>
        <w:t>Table</w:t>
      </w:r>
      <w:r w:rsidR="00A97457">
        <w:rPr>
          <w:rFonts w:eastAsiaTheme="minorEastAsia"/>
        </w:rPr>
        <w:t xml:space="preserve"> </w:t>
      </w:r>
      <w:r w:rsidR="001C7DC8">
        <w:rPr>
          <w:rFonts w:eastAsiaTheme="minorEastAsia"/>
        </w:rPr>
        <w:t>2</w:t>
      </w:r>
      <w:r w:rsidRPr="00581107">
        <w:rPr>
          <w:rFonts w:eastAsiaTheme="minorEastAsia"/>
        </w:rPr>
        <w:t>).</w:t>
      </w:r>
      <w:r w:rsidRPr="00581107">
        <w:t xml:space="preserve"> </w:t>
      </w:r>
    </w:p>
    <w:p w14:paraId="64FCDBD4" w14:textId="77777777" w:rsidR="00C12D4D" w:rsidRDefault="00C12D4D" w:rsidP="00C12D4D">
      <w:pPr>
        <w:spacing w:line="276" w:lineRule="auto"/>
        <w:jc w:val="both"/>
        <w:rPr>
          <w:rFonts w:eastAsiaTheme="minorEastAsia"/>
        </w:rPr>
      </w:pPr>
    </w:p>
    <w:p w14:paraId="538A44B5" w14:textId="77777777" w:rsidR="00C12D4D" w:rsidRDefault="00C12D4D" w:rsidP="00C12D4D">
      <w:pPr>
        <w:spacing w:line="276" w:lineRule="auto"/>
        <w:jc w:val="both"/>
        <w:rPr>
          <w:i/>
          <w:iCs/>
        </w:rPr>
      </w:pPr>
      <w:r>
        <w:rPr>
          <w:i/>
          <w:iCs/>
        </w:rPr>
        <w:t>Cost</w:t>
      </w:r>
    </w:p>
    <w:p w14:paraId="691FC6DE" w14:textId="11DBAB67" w:rsidR="00C12D4D" w:rsidRDefault="00C12D4D" w:rsidP="00C12D4D">
      <w:pPr>
        <w:spacing w:line="276" w:lineRule="auto"/>
        <w:jc w:val="both"/>
      </w:pPr>
      <w:r>
        <w:t xml:space="preserve">The cost of </w:t>
      </w:r>
      <w:r w:rsidR="008473AB">
        <w:t xml:space="preserve">a </w:t>
      </w:r>
      <w:r>
        <w:t>dry bulk terminal consist</w:t>
      </w:r>
      <w:r w:rsidR="008473AB">
        <w:t>s</w:t>
      </w:r>
      <w:r>
        <w:t xml:space="preserve"> of the</w:t>
      </w:r>
      <w:r w:rsidR="00FB0556">
        <w:t xml:space="preserve"> costs of the</w:t>
      </w:r>
      <w:r>
        <w:t xml:space="preserve"> quay wall, storage facilities, pavement (if used) and equipment. The costs of silos and open storage differ and we therefore treat them </w:t>
      </w:r>
      <w:r w:rsidR="00E36FCB">
        <w:t xml:space="preserve">separately. </w:t>
      </w:r>
      <w:r>
        <w:t xml:space="preserve"> There are no common planning tools for silos. Instead, we directly adopt unit cost values expressed as the cost per tonnes goods handled (</w:t>
      </w:r>
      <w:proofErr w:type="spellStart"/>
      <w:r w:rsidRPr="001A3449">
        <w:rPr>
          <w:i/>
          <w:iCs/>
        </w:rPr>
        <w:t>C</w:t>
      </w:r>
      <w:r w:rsidRPr="001A3449">
        <w:rPr>
          <w:i/>
          <w:iCs/>
          <w:vertAlign w:val="subscript"/>
        </w:rPr>
        <w:t>silo</w:t>
      </w:r>
      <w:proofErr w:type="spellEnd"/>
      <w:r>
        <w:t>):</w:t>
      </w:r>
    </w:p>
    <w:p w14:paraId="031D32C8" w14:textId="77777777" w:rsidR="00C12D4D" w:rsidRDefault="00C12D4D" w:rsidP="00C12D4D">
      <w:pPr>
        <w:spacing w:line="276" w:lineRule="auto"/>
        <w:jc w:val="both"/>
      </w:pPr>
    </w:p>
    <w:p w14:paraId="1231C700" w14:textId="2914A691" w:rsidR="00C12D4D" w:rsidRPr="007E7385" w:rsidRDefault="00000000" w:rsidP="00C12D4D">
      <w:pPr>
        <w:spacing w:line="276" w:lineRule="auto"/>
        <w:jc w:val="both"/>
        <w:rPr>
          <w:rFonts w:eastAsiaTheme="minorEastAsia"/>
        </w:rPr>
      </w:pPr>
      <m:oMathPara>
        <m:oMath>
          <m:sSub>
            <m:sSubPr>
              <m:ctrlPr>
                <w:rPr>
                  <w:rFonts w:ascii="Cambria Math" w:hAnsi="Cambria Math"/>
                  <w:i/>
                </w:rPr>
              </m:ctrlPr>
            </m:sSubPr>
            <m:e>
              <m:r>
                <w:rPr>
                  <w:rFonts w:ascii="Cambria Math" w:hAnsi="Cambria Math"/>
                </w:rPr>
                <m:t>C</m:t>
              </m:r>
            </m:e>
            <m:sub>
              <m:r>
                <w:rPr>
                  <w:rFonts w:ascii="Cambria Math" w:hAnsi="Cambria Math"/>
                </w:rPr>
                <m:t>dir, silo</m:t>
              </m:r>
            </m:sub>
          </m:sSub>
          <m:r>
            <w:rPr>
              <w:rFonts w:ascii="Cambria Math" w:hAnsi="Cambria Math"/>
            </w:rPr>
            <m:t>=T*</m:t>
          </m:r>
          <m:sSub>
            <m:sSubPr>
              <m:ctrlPr>
                <w:rPr>
                  <w:rFonts w:ascii="Cambria Math" w:hAnsi="Cambria Math"/>
                  <w:i/>
                  <w:iCs/>
                </w:rPr>
              </m:ctrlPr>
            </m:sSubPr>
            <m:e>
              <m:r>
                <w:rPr>
                  <w:rFonts w:ascii="Cambria Math" w:hAnsi="Cambria Math"/>
                </w:rPr>
                <m:t>C</m:t>
              </m:r>
            </m:e>
            <m:sub>
              <m:r>
                <w:rPr>
                  <w:rFonts w:ascii="Cambria Math" w:hAnsi="Cambria Math"/>
                </w:rPr>
                <m:t>silo</m:t>
              </m:r>
            </m:sub>
          </m:sSub>
        </m:oMath>
      </m:oMathPara>
    </w:p>
    <w:p w14:paraId="1AAC0227" w14:textId="77777777" w:rsidR="00C12D4D" w:rsidRDefault="00C12D4D" w:rsidP="00C12D4D">
      <w:pPr>
        <w:spacing w:line="276" w:lineRule="auto"/>
        <w:jc w:val="both"/>
      </w:pPr>
    </w:p>
    <w:p w14:paraId="53DB50A8" w14:textId="71B2636C" w:rsidR="00C12D4D" w:rsidRDefault="001A3449" w:rsidP="00321DFA">
      <w:proofErr w:type="spellStart"/>
      <w:r w:rsidRPr="001A3449">
        <w:rPr>
          <w:i/>
          <w:iCs/>
        </w:rPr>
        <w:t>C</w:t>
      </w:r>
      <w:r w:rsidRPr="001A3449">
        <w:rPr>
          <w:i/>
          <w:iCs/>
          <w:vertAlign w:val="subscript"/>
        </w:rPr>
        <w:t>silo</w:t>
      </w:r>
      <w:proofErr w:type="spellEnd"/>
      <w:r w:rsidR="00C12D4D">
        <w:t xml:space="preserve"> </w:t>
      </w:r>
      <w:r>
        <w:t>is based on</w:t>
      </w:r>
      <w:r w:rsidR="00C12D4D">
        <w:t xml:space="preserve"> the unit costs of six grain terminals globally</w:t>
      </w:r>
      <w:r w:rsidR="00321DFA">
        <w:t>,</w:t>
      </w:r>
      <w:r w:rsidR="00C12D4D">
        <w:t xml:space="preserve"> w</w:t>
      </w:r>
      <w:r w:rsidR="00774E38">
        <w:t>hich we</w:t>
      </w:r>
      <w:r w:rsidR="00C12D4D">
        <w:t xml:space="preserve"> estimate </w:t>
      </w:r>
      <w:r w:rsidR="00774E38">
        <w:t>to</w:t>
      </w:r>
      <w:r w:rsidR="00C12D4D">
        <w:t xml:space="preserve"> be 1</w:t>
      </w:r>
      <w:r w:rsidR="007D53E0">
        <w:t>5</w:t>
      </w:r>
      <w:r w:rsidR="00C12D4D">
        <w:t>-2</w:t>
      </w:r>
      <w:r w:rsidR="007D53E0">
        <w:t>5</w:t>
      </w:r>
      <w:r w:rsidR="00C12D4D">
        <w:t xml:space="preserve"> USD/tonnes</w:t>
      </w:r>
      <w:r w:rsidR="00A97457">
        <w:t xml:space="preserve"> (see Supplementary Note 2)</w:t>
      </w:r>
      <w:r w:rsidR="00C12D4D">
        <w:t xml:space="preserve">. </w:t>
      </w:r>
    </w:p>
    <w:p w14:paraId="1FB2299B" w14:textId="77777777" w:rsidR="00C12D4D" w:rsidRDefault="00C12D4D" w:rsidP="00C12D4D">
      <w:pPr>
        <w:spacing w:line="276" w:lineRule="auto"/>
        <w:jc w:val="both"/>
      </w:pPr>
    </w:p>
    <w:p w14:paraId="10F2DA5B" w14:textId="0D6DE997" w:rsidR="00C12D4D" w:rsidRDefault="00C12D4D" w:rsidP="00C12D4D">
      <w:pPr>
        <w:spacing w:line="276" w:lineRule="auto"/>
        <w:jc w:val="both"/>
      </w:pPr>
      <w:r>
        <w:t>For open storage terminals, planning tools do exist. The costs can be written as:</w:t>
      </w:r>
    </w:p>
    <w:p w14:paraId="4FAF8DA1" w14:textId="77777777" w:rsidR="00C12D4D" w:rsidRDefault="00C12D4D" w:rsidP="00C12D4D">
      <w:pPr>
        <w:spacing w:line="276" w:lineRule="auto"/>
        <w:jc w:val="both"/>
      </w:pPr>
    </w:p>
    <w:p w14:paraId="1CD938A6" w14:textId="279E61F8" w:rsidR="00C12D4D" w:rsidRPr="00BD1202" w:rsidRDefault="00000000" w:rsidP="00C12D4D">
      <w:pPr>
        <w:spacing w:line="276" w:lineRule="auto"/>
        <w:jc w:val="both"/>
        <w:rPr>
          <w:rFonts w:eastAsiaTheme="minorEastAsia"/>
        </w:rPr>
      </w:pPr>
      <m:oMathPara>
        <m:oMath>
          <m:sSub>
            <m:sSubPr>
              <m:ctrlPr>
                <w:rPr>
                  <w:rFonts w:ascii="Cambria Math" w:hAnsi="Cambria Math"/>
                  <w:i/>
                </w:rPr>
              </m:ctrlPr>
            </m:sSubPr>
            <m:e>
              <m:r>
                <w:rPr>
                  <w:rFonts w:ascii="Cambria Math" w:hAnsi="Cambria Math"/>
                </w:rPr>
                <m:t>C</m:t>
              </m:r>
            </m:e>
            <m:sub>
              <m:r>
                <w:rPr>
                  <w:rFonts w:ascii="Cambria Math" w:hAnsi="Cambria Math"/>
                </w:rPr>
                <m:t>dir, open</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q,b</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quay</m:t>
              </m:r>
            </m:sub>
          </m:sSub>
          <m:d>
            <m:dPr>
              <m:ctrlPr>
                <w:rPr>
                  <w:rFonts w:ascii="Cambria Math" w:hAnsi="Cambria Math"/>
                  <w:i/>
                </w:rPr>
              </m:ctrlPr>
            </m:dPr>
            <m:e>
              <m:r>
                <w:rPr>
                  <w:rFonts w:ascii="Cambria Math" w:hAnsi="Cambria Math"/>
                </w:rPr>
                <m:t>H</m:t>
              </m:r>
            </m:e>
          </m:d>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gr</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pav</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eq,b</m:t>
              </m:r>
            </m:sub>
          </m:sSub>
          <m:r>
            <w:rPr>
              <w:rFonts w:ascii="Cambria Math" w:eastAsiaTheme="minorEastAsia" w:hAnsi="Cambria Math"/>
            </w:rPr>
            <m:t xml:space="preserve"> +0.5*</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dredge</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gr</m:t>
              </m:r>
            </m:sub>
          </m:sSub>
          <m:r>
            <w:rPr>
              <w:rFonts w:ascii="Cambria Math" w:eastAsiaTheme="minorEastAsia" w:hAnsi="Cambria Math"/>
            </w:rPr>
            <m:t>*H*</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dredge</m:t>
              </m:r>
            </m:sub>
          </m:sSub>
        </m:oMath>
      </m:oMathPara>
    </w:p>
    <w:p w14:paraId="545F0601" w14:textId="77777777" w:rsidR="00C12D4D" w:rsidRDefault="00C12D4D" w:rsidP="00C12D4D">
      <w:pPr>
        <w:spacing w:line="276" w:lineRule="auto"/>
        <w:jc w:val="both"/>
        <w:rPr>
          <w:rFonts w:eastAsiaTheme="minorEastAsia"/>
        </w:rPr>
      </w:pPr>
    </w:p>
    <w:p w14:paraId="5C763C10" w14:textId="5E4442A2" w:rsidR="00C12D4D" w:rsidRDefault="00C12D4D" w:rsidP="00C12D4D">
      <w:pPr>
        <w:spacing w:line="276" w:lineRule="auto"/>
        <w:jc w:val="both"/>
        <w:rPr>
          <w:rFonts w:eastAsiaTheme="minorEastAsia"/>
        </w:rPr>
      </w:pPr>
      <w:r>
        <w:rPr>
          <w:rFonts w:eastAsiaTheme="minorEastAsia"/>
        </w:rPr>
        <w:t xml:space="preserve">With </w:t>
      </w:r>
      <w:proofErr w:type="spellStart"/>
      <w:r w:rsidRPr="00476061">
        <w:rPr>
          <w:rFonts w:eastAsiaTheme="minorEastAsia"/>
          <w:i/>
          <w:iCs/>
        </w:rPr>
        <w:t>L</w:t>
      </w:r>
      <w:r w:rsidRPr="00476061">
        <w:rPr>
          <w:rFonts w:eastAsiaTheme="minorEastAsia"/>
          <w:i/>
          <w:iCs/>
          <w:vertAlign w:val="subscript"/>
        </w:rPr>
        <w:t>q,b</w:t>
      </w:r>
      <w:proofErr w:type="spellEnd"/>
      <w:r w:rsidRPr="00AE0A08">
        <w:rPr>
          <w:rFonts w:eastAsiaTheme="minorEastAsia"/>
          <w:vertAlign w:val="subscript"/>
        </w:rPr>
        <w:t xml:space="preserve"> </w:t>
      </w:r>
      <w:r>
        <w:rPr>
          <w:rFonts w:eastAsiaTheme="minorEastAsia"/>
        </w:rPr>
        <w:t xml:space="preserve">the length of the quay and </w:t>
      </w:r>
      <w:proofErr w:type="spellStart"/>
      <w:r w:rsidRPr="00476061">
        <w:rPr>
          <w:rFonts w:eastAsiaTheme="minorEastAsia"/>
          <w:i/>
          <w:iCs/>
        </w:rPr>
        <w:t>C</w:t>
      </w:r>
      <w:r w:rsidRPr="00476061">
        <w:rPr>
          <w:rFonts w:eastAsiaTheme="minorEastAsia"/>
          <w:i/>
          <w:iCs/>
          <w:vertAlign w:val="subscript"/>
        </w:rPr>
        <w:t>eq,b</w:t>
      </w:r>
      <w:proofErr w:type="spellEnd"/>
      <w:r w:rsidRPr="00AE0A08">
        <w:rPr>
          <w:rFonts w:eastAsiaTheme="minorEastAsia"/>
          <w:vertAlign w:val="subscript"/>
        </w:rPr>
        <w:t xml:space="preserve"> </w:t>
      </w:r>
      <w:r>
        <w:rPr>
          <w:rFonts w:eastAsiaTheme="minorEastAsia"/>
        </w:rPr>
        <w:t>the costs of the equipment. The length can be derived by multiplying the annual throughput with the quay length factor (</w:t>
      </w:r>
      <w:r w:rsidRPr="00476061">
        <w:rPr>
          <w:rFonts w:eastAsiaTheme="minorEastAsia"/>
          <w:i/>
          <w:iCs/>
        </w:rPr>
        <w:t>QLF</w:t>
      </w:r>
      <w:r>
        <w:rPr>
          <w:rFonts w:eastAsiaTheme="minorEastAsia"/>
        </w:rPr>
        <w:t>):</w:t>
      </w:r>
    </w:p>
    <w:p w14:paraId="3EEB1AA3" w14:textId="77777777" w:rsidR="00C12D4D" w:rsidRDefault="00C12D4D" w:rsidP="00C12D4D">
      <w:pPr>
        <w:spacing w:line="276" w:lineRule="auto"/>
        <w:jc w:val="both"/>
        <w:rPr>
          <w:rFonts w:eastAsiaTheme="minorEastAsia"/>
        </w:rPr>
      </w:pPr>
    </w:p>
    <w:p w14:paraId="5C69BD79" w14:textId="77777777" w:rsidR="00C12D4D" w:rsidRPr="007E7385" w:rsidRDefault="00000000" w:rsidP="00C12D4D">
      <w:pPr>
        <w:spacing w:line="276" w:lineRule="auto"/>
        <w:jc w:val="both"/>
        <w:rPr>
          <w:rFonts w:eastAsiaTheme="minorEastAsia"/>
        </w:rPr>
      </w:pPr>
      <m:oMathPara>
        <m:oMath>
          <m:sSub>
            <m:sSubPr>
              <m:ctrlPr>
                <w:rPr>
                  <w:rFonts w:ascii="Cambria Math" w:hAnsi="Cambria Math"/>
                  <w:i/>
                </w:rPr>
              </m:ctrlPr>
            </m:sSubPr>
            <m:e>
              <m:r>
                <w:rPr>
                  <w:rFonts w:ascii="Cambria Math" w:hAnsi="Cambria Math"/>
                </w:rPr>
                <m:t>L</m:t>
              </m:r>
            </m:e>
            <m:sub>
              <m:r>
                <w:rPr>
                  <w:rFonts w:ascii="Cambria Math" w:hAnsi="Cambria Math"/>
                </w:rPr>
                <m:t>q,b</m:t>
              </m:r>
            </m:sub>
          </m:sSub>
          <m:r>
            <w:rPr>
              <w:rFonts w:ascii="Cambria Math" w:hAnsi="Cambria Math"/>
            </w:rPr>
            <m:t>=</m:t>
          </m:r>
          <m:r>
            <m:rPr>
              <m:sty m:val="p"/>
            </m:rPr>
            <w:rPr>
              <w:rFonts w:ascii="Cambria Math" w:hAnsi="Cambria Math"/>
            </w:rPr>
            <m:t>T/ QLF</m:t>
          </m:r>
        </m:oMath>
      </m:oMathPara>
    </w:p>
    <w:p w14:paraId="3422966B" w14:textId="77777777" w:rsidR="00C12D4D" w:rsidRDefault="00C12D4D" w:rsidP="00C12D4D">
      <w:pPr>
        <w:spacing w:line="276" w:lineRule="auto"/>
        <w:jc w:val="both"/>
        <w:rPr>
          <w:rFonts w:eastAsiaTheme="minorEastAsia"/>
        </w:rPr>
      </w:pPr>
    </w:p>
    <w:p w14:paraId="2DF144D7" w14:textId="17D680BA" w:rsidR="00C12D4D" w:rsidRPr="00BD1202" w:rsidRDefault="00C12D4D" w:rsidP="00C12D4D">
      <w:pPr>
        <w:spacing w:line="276" w:lineRule="auto"/>
        <w:jc w:val="both"/>
        <w:rPr>
          <w:rFonts w:eastAsiaTheme="minorEastAsia"/>
        </w:rPr>
      </w:pPr>
      <w:r>
        <w:rPr>
          <w:rFonts w:eastAsiaTheme="minorEastAsia"/>
        </w:rPr>
        <w:t xml:space="preserve">A comparison of bulk terminals globally found that the </w:t>
      </w:r>
      <w:r w:rsidRPr="00476061">
        <w:rPr>
          <w:rFonts w:eastAsiaTheme="minorEastAsia"/>
          <w:i/>
          <w:iCs/>
        </w:rPr>
        <w:t>QLF</w:t>
      </w:r>
      <w:r>
        <w:rPr>
          <w:rFonts w:eastAsiaTheme="minorEastAsia"/>
        </w:rPr>
        <w:t xml:space="preserve"> varies between 10,000</w:t>
      </w:r>
      <w:r w:rsidR="0029555F">
        <w:rPr>
          <w:rFonts w:eastAsiaTheme="minorEastAsia"/>
        </w:rPr>
        <w:t xml:space="preserve"> - </w:t>
      </w:r>
      <w:r>
        <w:rPr>
          <w:rFonts w:eastAsiaTheme="minorEastAsia"/>
        </w:rPr>
        <w:t>30,000 t/m for import terminals and 25,000</w:t>
      </w:r>
      <w:r w:rsidR="0029555F">
        <w:rPr>
          <w:rFonts w:eastAsiaTheme="minorEastAsia"/>
        </w:rPr>
        <w:t xml:space="preserve"> - </w:t>
      </w:r>
      <w:r>
        <w:rPr>
          <w:rFonts w:eastAsiaTheme="minorEastAsia"/>
        </w:rPr>
        <w:t>75,000 t/m for export terminals</w:t>
      </w:r>
      <w:r w:rsidR="0067196E">
        <w:rPr>
          <w:rFonts w:eastAsiaTheme="minorEastAsia"/>
        </w:rPr>
        <w:fldChar w:fldCharType="begin" w:fldLock="1"/>
      </w:r>
      <w:r w:rsidR="008A5081">
        <w:rPr>
          <w:rFonts w:eastAsiaTheme="minorEastAsia"/>
        </w:rPr>
        <w:instrText>ADDIN CSL_CITATION {"citationItems":[{"id":"ITEM-1","itemData":{"ISBN":"9789055841820","author":[{"dropping-particle":"","family":"Vianen","given":"Teus","non-dropping-particle":"van","parse-names":false,"suffix":""}],"id":"ITEM-1","issued":{"date-parts":[["2015"]]},"number-of-pages":"261","title":"Simulation-integrated Design of Dry Bulk Terminals","type":"book"},"uris":["http://www.mendeley.com/documents/?uuid=616d84ae-1e59-4408-b4bd-e21cd523d103"]}],"mendeley":{"formattedCitation":"&lt;sup&gt;10&lt;/sup&gt;","plainTextFormattedCitation":"10","previouslyFormattedCitation":"&lt;sup&gt;10&lt;/sup&gt;"},"properties":{"noteIndex":0},"schema":"https://github.com/citation-style-language/schema/raw/master/csl-citation.json"}</w:instrText>
      </w:r>
      <w:r w:rsidR="0067196E">
        <w:rPr>
          <w:rFonts w:eastAsiaTheme="minorEastAsia"/>
        </w:rPr>
        <w:fldChar w:fldCharType="separate"/>
      </w:r>
      <w:r w:rsidR="008A5081" w:rsidRPr="008A5081">
        <w:rPr>
          <w:rFonts w:eastAsiaTheme="minorEastAsia"/>
          <w:noProof/>
          <w:vertAlign w:val="superscript"/>
        </w:rPr>
        <w:t>10</w:t>
      </w:r>
      <w:r w:rsidR="0067196E">
        <w:rPr>
          <w:rFonts w:eastAsiaTheme="minorEastAsia"/>
        </w:rPr>
        <w:fldChar w:fldCharType="end"/>
      </w:r>
      <w:r>
        <w:rPr>
          <w:rFonts w:eastAsiaTheme="minorEastAsia"/>
        </w:rPr>
        <w:t xml:space="preserve">.  </w:t>
      </w:r>
    </w:p>
    <w:p w14:paraId="1BEAA7E7" w14:textId="77777777" w:rsidR="00C12D4D" w:rsidRPr="00BD1202" w:rsidRDefault="00C12D4D" w:rsidP="00C12D4D">
      <w:pPr>
        <w:spacing w:line="276" w:lineRule="auto"/>
        <w:jc w:val="both"/>
        <w:rPr>
          <w:rFonts w:eastAsiaTheme="minorEastAsia"/>
        </w:rPr>
      </w:pPr>
    </w:p>
    <w:p w14:paraId="1437FA73" w14:textId="05A9C167" w:rsidR="00C12D4D" w:rsidRDefault="00C12D4D" w:rsidP="00C12D4D">
      <w:pPr>
        <w:spacing w:line="276" w:lineRule="auto"/>
        <w:jc w:val="both"/>
      </w:pPr>
      <w:r>
        <w:t>The cost of the equipment depends on the installed capacity of the equipment (in tonnes/hour), which is often several factors higher than the minimum capacity (</w:t>
      </w:r>
      <w:r w:rsidRPr="00476061">
        <w:rPr>
          <w:i/>
          <w:iCs/>
        </w:rPr>
        <w:t>T / (24*365</w:t>
      </w:r>
      <w:r>
        <w:t>)). According to van Vianen</w:t>
      </w:r>
      <w:r w:rsidR="0067196E">
        <w:fldChar w:fldCharType="begin" w:fldLock="1"/>
      </w:r>
      <w:r w:rsidR="008A5081">
        <w:instrText>ADDIN CSL_CITATION {"citationItems":[{"id":"ITEM-1","itemData":{"ISBN":"9789055841820","author":[{"dropping-particle":"","family":"Vianen","given":"Teus","non-dropping-particle":"van","parse-names":false,"suffix":""}],"id":"ITEM-1","issued":{"date-parts":[["2015"]]},"number-of-pages":"261","title":"Simulation-integrated Design of Dry Bulk Terminals","type":"book"},"uris":["http://www.mendeley.com/documents/?uuid=616d84ae-1e59-4408-b4bd-e21cd523d103"]}],"mendeley":{"formattedCitation":"&lt;sup&gt;10&lt;/sup&gt;","plainTextFormattedCitation":"10","previouslyFormattedCitation":"&lt;sup&gt;10&lt;/sup&gt;"},"properties":{"noteIndex":0},"schema":"https://github.com/citation-style-language/schema/raw/master/csl-citation.json"}</w:instrText>
      </w:r>
      <w:r w:rsidR="0067196E">
        <w:fldChar w:fldCharType="separate"/>
      </w:r>
      <w:r w:rsidR="008A5081" w:rsidRPr="008A5081">
        <w:rPr>
          <w:noProof/>
          <w:vertAlign w:val="superscript"/>
        </w:rPr>
        <w:t>10</w:t>
      </w:r>
      <w:r w:rsidR="0067196E">
        <w:fldChar w:fldCharType="end"/>
      </w:r>
      <w:r w:rsidR="0067196E">
        <w:t xml:space="preserve"> </w:t>
      </w:r>
      <w:r>
        <w:t>the total equipment costs of bulk terminals can be written as:</w:t>
      </w:r>
    </w:p>
    <w:p w14:paraId="428FC3BA" w14:textId="77777777" w:rsidR="00C12D4D" w:rsidRDefault="00C12D4D" w:rsidP="00C12D4D">
      <w:pPr>
        <w:spacing w:line="276" w:lineRule="auto"/>
        <w:jc w:val="both"/>
      </w:pPr>
    </w:p>
    <w:p w14:paraId="20548805" w14:textId="77777777" w:rsidR="00C12D4D" w:rsidRPr="00AA399B" w:rsidRDefault="00000000" w:rsidP="00C12D4D">
      <w:pPr>
        <w:spacing w:line="276" w:lineRule="auto"/>
        <w:jc w:val="both"/>
        <w:rPr>
          <w:rFonts w:eastAsiaTheme="minorEastAsia"/>
        </w:rPr>
      </w:pPr>
      <m:oMathPara>
        <m:oMath>
          <m:sSub>
            <m:sSubPr>
              <m:ctrlPr>
                <w:rPr>
                  <w:rFonts w:ascii="Cambria Math" w:hAnsi="Cambria Math"/>
                  <w:i/>
                </w:rPr>
              </m:ctrlPr>
            </m:sSubPr>
            <m:e>
              <m:r>
                <w:rPr>
                  <w:rFonts w:ascii="Cambria Math" w:hAnsi="Cambria Math"/>
                </w:rPr>
                <m:t>C</m:t>
              </m:r>
            </m:e>
            <m:sub>
              <m:r>
                <w:rPr>
                  <w:rFonts w:ascii="Cambria Math" w:hAnsi="Cambria Math"/>
                </w:rPr>
                <m:t>eq,b</m:t>
              </m:r>
            </m:sub>
          </m:sSub>
          <m:r>
            <w:rPr>
              <w:rFonts w:ascii="Cambria Math" w:hAnsi="Cambria Math"/>
            </w:rPr>
            <m:t>=</m:t>
          </m:r>
          <m:sSub>
            <m:sSubPr>
              <m:ctrlPr>
                <w:rPr>
                  <w:rFonts w:ascii="Cambria Math" w:hAnsi="Cambria Math"/>
                </w:rPr>
              </m:ctrlPr>
            </m:sSubPr>
            <m:e>
              <m:r>
                <m:rPr>
                  <m:sty m:val="p"/>
                </m:rPr>
                <w:rPr>
                  <w:rFonts w:ascii="Cambria Math" w:hAnsi="Cambria Math"/>
                </w:rPr>
                <m:t>M</m:t>
              </m:r>
              <m:ctrlPr>
                <w:rPr>
                  <w:rFonts w:ascii="Cambria Math" w:hAnsi="Cambria Math"/>
                  <w:i/>
                </w:rPr>
              </m:ctrlPr>
            </m:e>
            <m:sub>
              <m:r>
                <m:rPr>
                  <m:sty m:val="p"/>
                </m:rPr>
                <w:rPr>
                  <w:rFonts w:ascii="Cambria Math" w:hAnsi="Cambria Math"/>
                </w:rPr>
                <m:t>c</m:t>
              </m:r>
            </m:sub>
          </m:sSub>
          <m:r>
            <m:rPr>
              <m:sty m:val="p"/>
            </m:rPr>
            <w:rPr>
              <w:rFonts w:ascii="Cambria Math" w:hAnsi="Cambria Math"/>
            </w:rPr>
            <m:t>*(0.077*</m:t>
          </m:r>
          <m:sSub>
            <m:sSubPr>
              <m:ctrlPr>
                <w:rPr>
                  <w:rFonts w:ascii="Cambria Math" w:hAnsi="Cambria Math"/>
                </w:rPr>
              </m:ctrlPr>
            </m:sSubPr>
            <m:e>
              <m:r>
                <m:rPr>
                  <m:sty m:val="p"/>
                </m:rPr>
                <w:rPr>
                  <w:rFonts w:ascii="Cambria Math" w:hAnsi="Cambria Math"/>
                </w:rPr>
                <m:t>I</m:t>
              </m:r>
            </m:e>
            <m:sub>
              <m:r>
                <m:rPr>
                  <m:sty m:val="p"/>
                </m:rPr>
                <w:rPr>
                  <w:rFonts w:ascii="Cambria Math" w:hAnsi="Cambria Math"/>
                </w:rPr>
                <m:t>eq</m:t>
              </m:r>
            </m:sub>
          </m:sSub>
          <m:r>
            <m:rPr>
              <m:sty m:val="p"/>
            </m:rPr>
            <w:rPr>
              <w:rFonts w:ascii="Cambria Math" w:hAnsi="Cambria Math"/>
            </w:rPr>
            <m:t xml:space="preserve"> (T</m:t>
          </m:r>
          <m:r>
            <m:rPr>
              <m:lit/>
              <m:sty m:val="p"/>
            </m:rPr>
            <w:rPr>
              <w:rFonts w:ascii="Cambria Math" w:hAnsi="Cambria Math"/>
            </w:rPr>
            <m:t>/</m:t>
          </m:r>
          <m:r>
            <m:rPr>
              <m:sty m:val="p"/>
            </m:rPr>
            <w:rPr>
              <w:rFonts w:ascii="Cambria Math" w:hAnsi="Cambria Math"/>
            </w:rPr>
            <m:t>(24*365)))</m:t>
          </m:r>
        </m:oMath>
      </m:oMathPara>
    </w:p>
    <w:p w14:paraId="65F2EC4D" w14:textId="77777777" w:rsidR="00C12D4D" w:rsidRDefault="00C12D4D" w:rsidP="00C12D4D">
      <w:pPr>
        <w:spacing w:line="276" w:lineRule="auto"/>
        <w:jc w:val="both"/>
        <w:rPr>
          <w:rFonts w:eastAsiaTheme="minorEastAsia"/>
        </w:rPr>
      </w:pPr>
    </w:p>
    <w:p w14:paraId="6010185B" w14:textId="0C2DC0F7" w:rsidR="00A00537" w:rsidRDefault="00C12D4D" w:rsidP="00C12D4D">
      <w:pPr>
        <w:spacing w:line="276" w:lineRule="auto"/>
        <w:jc w:val="both"/>
      </w:pPr>
      <w:r>
        <w:rPr>
          <w:rFonts w:eastAsiaTheme="minorEastAsia"/>
        </w:rPr>
        <w:t xml:space="preserve">With </w:t>
      </w:r>
      <w:r w:rsidRPr="00EA0BD3">
        <w:rPr>
          <w:rFonts w:eastAsiaTheme="minorEastAsia"/>
          <w:i/>
          <w:iCs/>
        </w:rPr>
        <w:t>M</w:t>
      </w:r>
      <w:r w:rsidRPr="00EA0BD3">
        <w:rPr>
          <w:rFonts w:eastAsiaTheme="minorEastAsia"/>
          <w:i/>
          <w:iCs/>
          <w:vertAlign w:val="subscript"/>
        </w:rPr>
        <w:t>c</w:t>
      </w:r>
      <w:r>
        <w:rPr>
          <w:rFonts w:eastAsiaTheme="minorEastAsia"/>
        </w:rPr>
        <w:t xml:space="preserve"> the investment of machinery as a function of weight and </w:t>
      </w:r>
      <w:proofErr w:type="spellStart"/>
      <w:r w:rsidRPr="00EA0BD3">
        <w:rPr>
          <w:rFonts w:eastAsiaTheme="minorEastAsia"/>
          <w:i/>
          <w:iCs/>
        </w:rPr>
        <w:t>I</w:t>
      </w:r>
      <w:r w:rsidRPr="00EA0BD3">
        <w:rPr>
          <w:rFonts w:eastAsiaTheme="minorEastAsia"/>
          <w:i/>
          <w:iCs/>
          <w:vertAlign w:val="subscript"/>
        </w:rPr>
        <w:t>eq</w:t>
      </w:r>
      <w:proofErr w:type="spellEnd"/>
      <w:r>
        <w:rPr>
          <w:rFonts w:eastAsiaTheme="minorEastAsia"/>
        </w:rPr>
        <w:t xml:space="preserve"> the installed capacity of the equipment. </w:t>
      </w:r>
      <w:r>
        <w:t xml:space="preserve">According to van </w:t>
      </w:r>
      <w:proofErr w:type="spellStart"/>
      <w:r>
        <w:t>Vianen</w:t>
      </w:r>
      <w:proofErr w:type="spellEnd"/>
      <w:r>
        <w:t xml:space="preserve"> et al</w:t>
      </w:r>
      <w:r w:rsidR="00A00537">
        <w:t>.</w:t>
      </w:r>
      <w:r w:rsidR="00A00537">
        <w:fldChar w:fldCharType="begin" w:fldLock="1"/>
      </w:r>
      <w:r w:rsidR="008A5081">
        <w:instrText>ADDIN CSL_CITATION {"citationItems":[{"id":"ITEM-1","itemData":{"abstract":"Two main types of terminals are distinguished; import and export terminals. The investigated export terminals are situated in Australia, Brazil, South Africa and India and the import terminals are located in Western Europe, Japan and China. Typical terminal characteristics like annual throughput, installed equipment capacities, quay length and storage factors, maximum storage capacity, stockyard dimensions and the number of terminal equipment are determined. Some rules of thumb from several literature sources are verified but these match poorly with the current terminals. If the determined characteristics are used for terminal design, the designs may vary significantly considering the large range of these characteristics. The determined capacity factors and the relations between the equipment capacities can be used as guidelines for calculating the equipment capacities. Another finding of the research is that at import terminals the installed stockyard equipment capacity is twice as high as for export terminals, to handle the same annual throughput. Finally, a view of the future research is given.","author":[{"dropping-particle":"","family":"Vianen","given":"T.","non-dropping-particle":"van","parse-names":false,"suffix":""},{"dropping-particle":"","family":"Ottjes","given":"J.","non-dropping-particle":"","parse-names":false,"suffix":""},{"dropping-particle":"","family":"Lodewijks","given":"G.","non-dropping-particle":"","parse-names":false,"suffix":""}],"container-title":"Bulk Solids India 2011","id":"ITEM-1","issued":{"date-parts":[["2011"]]},"page":"1–10","publisher-place":"Mumbai, India","title":"Dry bulk terminal characteristics","type":"paper-conference"},"uris":["http://www.mendeley.com/documents/?uuid=22302b72-cd31-42bc-a7bb-5fe05cc658f0"]}],"mendeley":{"formattedCitation":"&lt;sup&gt;11&lt;/sup&gt;","plainTextFormattedCitation":"11","previouslyFormattedCitation":"&lt;sup&gt;11&lt;/sup&gt;"},"properties":{"noteIndex":0},"schema":"https://github.com/citation-style-language/schema/raw/master/csl-citation.json"}</w:instrText>
      </w:r>
      <w:r w:rsidR="00A00537">
        <w:fldChar w:fldCharType="separate"/>
      </w:r>
      <w:r w:rsidR="008A5081" w:rsidRPr="008A5081">
        <w:rPr>
          <w:noProof/>
          <w:vertAlign w:val="superscript"/>
        </w:rPr>
        <w:t>11</w:t>
      </w:r>
      <w:r w:rsidR="00A00537">
        <w:fldChar w:fldCharType="end"/>
      </w:r>
      <w:r>
        <w:t>, M</w:t>
      </w:r>
      <w:r w:rsidRPr="00672F2E">
        <w:rPr>
          <w:vertAlign w:val="subscript"/>
        </w:rPr>
        <w:t>c</w:t>
      </w:r>
      <w:r>
        <w:t xml:space="preserve"> is between 7000 </w:t>
      </w:r>
      <w:r w:rsidR="0029555F">
        <w:t xml:space="preserve">- </w:t>
      </w:r>
      <w:r>
        <w:t xml:space="preserve">9000 USD/kg, and </w:t>
      </w:r>
      <w:proofErr w:type="spellStart"/>
      <w:r w:rsidR="00EA0BD3" w:rsidRPr="00EA0BD3">
        <w:rPr>
          <w:rFonts w:eastAsiaTheme="minorEastAsia"/>
          <w:i/>
          <w:iCs/>
        </w:rPr>
        <w:t>I</w:t>
      </w:r>
      <w:r w:rsidR="00EA0BD3" w:rsidRPr="00EA0BD3">
        <w:rPr>
          <w:rFonts w:eastAsiaTheme="minorEastAsia"/>
          <w:i/>
          <w:iCs/>
          <w:vertAlign w:val="subscript"/>
        </w:rPr>
        <w:t>eq</w:t>
      </w:r>
      <w:proofErr w:type="spellEnd"/>
      <w:r>
        <w:t xml:space="preserve"> is 14.5 - 26.5 times the minimum capacity for import terminals and 7.6 – 13 times the minimum capacity for export terminals. </w:t>
      </w:r>
    </w:p>
    <w:p w14:paraId="44CEAE42" w14:textId="77777777" w:rsidR="00A00537" w:rsidRDefault="00A00537" w:rsidP="00C12D4D">
      <w:pPr>
        <w:spacing w:line="276" w:lineRule="auto"/>
        <w:jc w:val="both"/>
      </w:pPr>
    </w:p>
    <w:p w14:paraId="3014D23F" w14:textId="161FBB6E" w:rsidR="00A00537" w:rsidRDefault="00C12D4D" w:rsidP="00C12D4D">
      <w:pPr>
        <w:spacing w:line="276" w:lineRule="auto"/>
        <w:jc w:val="both"/>
      </w:pPr>
      <w:r>
        <w:t>We can therefore estimate the total cost</w:t>
      </w:r>
      <w:r w:rsidR="0029555F">
        <w:t xml:space="preserve"> of bulk terminals</w:t>
      </w:r>
      <w:r>
        <w:t xml:space="preserve"> using the fraction of bulk being stored in silos</w:t>
      </w:r>
      <w:r w:rsidR="00C44AA9">
        <w:t xml:space="preserve"> and open storage</w:t>
      </w:r>
      <w:r w:rsidR="00A00537">
        <w:t>:</w:t>
      </w:r>
    </w:p>
    <w:p w14:paraId="5FDE5ECA" w14:textId="77777777" w:rsidR="00A00537" w:rsidRDefault="00A00537" w:rsidP="00C12D4D">
      <w:pPr>
        <w:spacing w:line="276" w:lineRule="auto"/>
        <w:jc w:val="both"/>
      </w:pPr>
    </w:p>
    <w:p w14:paraId="2440520E" w14:textId="77777777" w:rsidR="00A00537" w:rsidRPr="00A00537" w:rsidRDefault="00000000" w:rsidP="00C12D4D">
      <w:pPr>
        <w:spacing w:line="276" w:lineRule="auto"/>
        <w:jc w:val="both"/>
        <w:rPr>
          <w:rFonts w:eastAsiaTheme="minorEastAsia"/>
        </w:rPr>
      </w:pPr>
      <m:oMathPara>
        <m:oMath>
          <m:sSub>
            <m:sSubPr>
              <m:ctrlPr>
                <w:rPr>
                  <w:rFonts w:ascii="Cambria Math" w:hAnsi="Cambria Math"/>
                  <w:i/>
                </w:rPr>
              </m:ctrlPr>
            </m:sSubPr>
            <m:e>
              <m:r>
                <w:rPr>
                  <w:rFonts w:ascii="Cambria Math" w:hAnsi="Cambria Math"/>
                </w:rPr>
                <m:t>C</m:t>
              </m:r>
            </m:e>
            <m:sub>
              <m:r>
                <w:rPr>
                  <w:rFonts w:ascii="Cambria Math" w:hAnsi="Cambria Math"/>
                </w:rPr>
                <m:t>dir</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dir,silo</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silo</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dir,open</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f</m:t>
                  </m:r>
                </m:e>
                <m:sub>
                  <m:r>
                    <w:rPr>
                      <w:rFonts w:ascii="Cambria Math" w:hAnsi="Cambria Math"/>
                    </w:rPr>
                    <m:t>silo</m:t>
                  </m:r>
                </m:sub>
              </m:sSub>
            </m:e>
          </m:d>
        </m:oMath>
      </m:oMathPara>
    </w:p>
    <w:p w14:paraId="3EBA3A18" w14:textId="78926BD9" w:rsidR="00C12D4D" w:rsidRPr="00A00537" w:rsidRDefault="00C12D4D" w:rsidP="00C12D4D">
      <w:pPr>
        <w:spacing w:line="276" w:lineRule="auto"/>
        <w:jc w:val="both"/>
        <w:rPr>
          <w:rFonts w:eastAsiaTheme="minorEastAsia"/>
        </w:rPr>
      </w:pPr>
      <w:r>
        <w:t xml:space="preserve"> </w:t>
      </w:r>
    </w:p>
    <w:p w14:paraId="09537CB2" w14:textId="601003EE" w:rsidR="00C12D4D" w:rsidRDefault="004F2BB0" w:rsidP="00C12D4D">
      <w:pPr>
        <w:spacing w:line="276" w:lineRule="auto"/>
        <w:jc w:val="both"/>
      </w:pPr>
      <w:r>
        <w:t xml:space="preserve">Details of all parameters are included in Supplementary Table 3. </w:t>
      </w:r>
    </w:p>
    <w:p w14:paraId="61A80EB4" w14:textId="77777777" w:rsidR="00C12D4D" w:rsidRDefault="00C12D4D" w:rsidP="00C12D4D">
      <w:pPr>
        <w:spacing w:line="276" w:lineRule="auto"/>
        <w:rPr>
          <w:b/>
          <w:bCs/>
        </w:rPr>
      </w:pPr>
      <w:r>
        <w:rPr>
          <w:b/>
          <w:bCs/>
        </w:rPr>
        <w:br w:type="page"/>
      </w:r>
    </w:p>
    <w:p w14:paraId="0749003D" w14:textId="72CF1538" w:rsidR="00C12D4D" w:rsidRPr="00C22A7C" w:rsidRDefault="00C12D4D" w:rsidP="00C12D4D">
      <w:pPr>
        <w:spacing w:line="276" w:lineRule="auto"/>
        <w:jc w:val="both"/>
        <w:rPr>
          <w:b/>
          <w:bCs/>
          <w:sz w:val="28"/>
          <w:szCs w:val="28"/>
        </w:rPr>
      </w:pPr>
      <w:r w:rsidRPr="00C22A7C">
        <w:rPr>
          <w:b/>
          <w:bCs/>
          <w:sz w:val="28"/>
          <w:szCs w:val="28"/>
        </w:rPr>
        <w:lastRenderedPageBreak/>
        <w:t>Supplementary Note 2:  External validation PP</w:t>
      </w:r>
      <w:r w:rsidR="007C5D36" w:rsidRPr="00C22A7C">
        <w:rPr>
          <w:b/>
          <w:bCs/>
          <w:sz w:val="28"/>
          <w:szCs w:val="28"/>
        </w:rPr>
        <w:t>C</w:t>
      </w:r>
      <w:r w:rsidRPr="00C22A7C">
        <w:rPr>
          <w:b/>
          <w:bCs/>
          <w:sz w:val="28"/>
          <w:szCs w:val="28"/>
        </w:rPr>
        <w:t xml:space="preserve"> model</w:t>
      </w:r>
    </w:p>
    <w:p w14:paraId="169AC668" w14:textId="77777777" w:rsidR="00C12D4D" w:rsidRDefault="00C12D4D" w:rsidP="00C12D4D">
      <w:pPr>
        <w:spacing w:line="276" w:lineRule="auto"/>
        <w:jc w:val="both"/>
        <w:rPr>
          <w:b/>
          <w:bCs/>
        </w:rPr>
      </w:pPr>
    </w:p>
    <w:p w14:paraId="4ABA37A2" w14:textId="222C8A7B" w:rsidR="00C12D4D" w:rsidRDefault="00C12D4D" w:rsidP="00C12D4D">
      <w:pPr>
        <w:spacing w:line="276" w:lineRule="auto"/>
        <w:jc w:val="both"/>
      </w:pPr>
      <w:r>
        <w:t xml:space="preserve">As external validation, we compare the empirical model output with various external data sources </w:t>
      </w:r>
      <w:r w:rsidR="00550A52">
        <w:t>covering both</w:t>
      </w:r>
      <w:r>
        <w:t xml:space="preserve"> the unit area requirement (tonnes per m</w:t>
      </w:r>
      <w:r w:rsidRPr="003A5E3D">
        <w:rPr>
          <w:vertAlign w:val="superscript"/>
        </w:rPr>
        <w:t>2</w:t>
      </w:r>
      <w:r>
        <w:t xml:space="preserve">) and the unit </w:t>
      </w:r>
      <w:r w:rsidR="00F40B14">
        <w:t xml:space="preserve">construction </w:t>
      </w:r>
      <w:r>
        <w:t xml:space="preserve">cost (USD per tonnes). </w:t>
      </w:r>
    </w:p>
    <w:p w14:paraId="64F51000" w14:textId="15E65D47" w:rsidR="00C12D4D" w:rsidRDefault="00C12D4D" w:rsidP="00C12D4D">
      <w:pPr>
        <w:spacing w:line="276" w:lineRule="auto"/>
        <w:jc w:val="both"/>
        <w:rPr>
          <w:b/>
          <w:bCs/>
        </w:rPr>
      </w:pPr>
    </w:p>
    <w:p w14:paraId="4195333A" w14:textId="1000FDBE" w:rsidR="00FB7461" w:rsidRPr="00D471A0" w:rsidRDefault="00FB7461" w:rsidP="00C12D4D">
      <w:pPr>
        <w:spacing w:line="276" w:lineRule="auto"/>
        <w:jc w:val="both"/>
        <w:rPr>
          <w:b/>
          <w:bCs/>
        </w:rPr>
      </w:pPr>
      <w:r w:rsidRPr="00D471A0">
        <w:rPr>
          <w:b/>
          <w:bCs/>
        </w:rPr>
        <w:t>Unit area requirement</w:t>
      </w:r>
    </w:p>
    <w:p w14:paraId="1B02829C" w14:textId="408D6328" w:rsidR="003B4D94" w:rsidRDefault="00C12D4D" w:rsidP="00C12D4D">
      <w:pPr>
        <w:spacing w:line="276" w:lineRule="auto"/>
        <w:jc w:val="both"/>
      </w:pPr>
      <w:r>
        <w:rPr>
          <w:rFonts w:eastAsiaTheme="minorEastAsia"/>
        </w:rPr>
        <w:t xml:space="preserve">In terms of unit area requirement, we compare our results with two sources. </w:t>
      </w:r>
      <w:r>
        <w:t xml:space="preserve">First, we collate </w:t>
      </w:r>
      <w:r w:rsidRPr="00581107">
        <w:t xml:space="preserve">general rules of thumb </w:t>
      </w:r>
      <w:r w:rsidR="003B4D94">
        <w:t>reported</w:t>
      </w:r>
      <w:r>
        <w:t xml:space="preserve"> in</w:t>
      </w:r>
      <w:r w:rsidRPr="00581107">
        <w:t xml:space="preserve"> the literature</w:t>
      </w:r>
      <w:r>
        <w:t>. Second, we derive empirical tonnes to area ratios</w:t>
      </w:r>
      <w:r w:rsidRPr="00581107">
        <w:t xml:space="preserve"> by combining terminal-specific port capacity estimates for around 200 ports globally</w:t>
      </w:r>
      <w:r w:rsidR="0041558E">
        <w:t>, obtained from the ITF-OECD</w:t>
      </w:r>
      <w:r>
        <w:fldChar w:fldCharType="begin" w:fldLock="1"/>
      </w:r>
      <w:r w:rsidR="008A5081">
        <w:instrText>ADDIN CSL_CITATION {"citationItems":[{"id":"ITEM-1","itemData":{"author":[{"dropping-particle":"","family":"ITF","given":"","non-dropping-particle":"","parse-names":false,"suffix":""}],"id":"ITEM-1","issued":{"date-parts":[["2015"]]},"publisher-place":"Paris","title":"Capacity to grow","type":"report"},"uris":["http://www.mendeley.com/documents/?uuid=4a1cdb33-cd72-40e5-9200-3d220bb66418"]}],"mendeley":{"formattedCitation":"&lt;sup&gt;12&lt;/sup&gt;","plainTextFormattedCitation":"12","previouslyFormattedCitation":"&lt;sup&gt;12&lt;/sup&gt;"},"properties":{"noteIndex":0},"schema":"https://github.com/citation-style-language/schema/raw/master/csl-citation.json"}</w:instrText>
      </w:r>
      <w:r>
        <w:fldChar w:fldCharType="separate"/>
      </w:r>
      <w:r w:rsidR="008A5081" w:rsidRPr="008A5081">
        <w:rPr>
          <w:noProof/>
          <w:vertAlign w:val="superscript"/>
        </w:rPr>
        <w:t>12</w:t>
      </w:r>
      <w:r>
        <w:fldChar w:fldCharType="end"/>
      </w:r>
      <w:r>
        <w:t xml:space="preserve">, </w:t>
      </w:r>
      <w:r w:rsidRPr="00581107">
        <w:t>with the manually mapped gross terminal area of these port</w:t>
      </w:r>
      <w:r w:rsidR="003B4D94">
        <w:t>s, as done in</w:t>
      </w:r>
      <w:r w:rsidR="003B4D94">
        <w:fldChar w:fldCharType="begin" w:fldLock="1"/>
      </w:r>
      <w:r w:rsidR="00545404">
        <w:instrText>ADDIN CSL_CITATION {"citationItems":[{"id":"ITEM-1","itemData":{"DOI":"10.1038/s43247-022-00656-7","ISSN":"2662-4435","abstract":"Despite their economic importance, the risk that ports face from multiple natural hazards has not yet been monetised on a global scale. Here, we perform an asset-level risk analysis of global port infrastructure from multiple hazards, quantifying the risk to physical asset damages and logistics services (i.e. port-specific risk) and maritime trade flows at-risk (i.e. trade risk). We find that 86% majority of ports are exposed to more than three hazards. Globally, port-specific risk totals 7.5 USD bn per year, with 32% of the risk attributed to tropical cyclone impacts. In addition, 63.1 USD bn of trade is at-risk every year, with trade risk as a fraction of total trade being particularly high in Small Island Developing States. Our result underline that port resilience is determined by various critical factors, such as engineering standards, operational thresholds, recovery duration, that vary widely across ports, requiring tailored solutions to improve port resilience.","author":[{"dropping-particle":"","family":"Verschuur","given":"J.","non-dropping-particle":"","parse-names":false,"suffix":""},{"dropping-particle":"","family":"Koks","given":"E. E.","non-dropping-particle":"","parse-names":false,"suffix":""},{"dropping-particle":"","family":"Li","given":"S.","non-dropping-particle":"","parse-names":false,"suffix":""},{"dropping-particle":"","family":"Hall","given":"J.W.","non-dropping-particle":"","parse-names":false,"suffix":""}],"container-title":"Communications Earth &amp; Environment","id":"ITEM-1","issue":"1","issued":{"date-parts":[["2023","1","12"]]},"page":"5","title":"Multi-hazard risk to global port infrastructure and resulting trade and logistics losses","type":"article-journal","volume":"4"},"uris":["http://www.mendeley.com/documents/?uuid=731330bf-a49a-4dd3-9378-a7dd17f6d94f"]}],"mendeley":{"formattedCitation":"&lt;sup&gt;1&lt;/sup&gt;","plainTextFormattedCitation":"1","previouslyFormattedCitation":"&lt;sup&gt;13&lt;/sup&gt;"},"properties":{"noteIndex":0},"schema":"https://github.com/citation-style-language/schema/raw/master/csl-citation.json"}</w:instrText>
      </w:r>
      <w:r w:rsidR="003B4D94">
        <w:fldChar w:fldCharType="separate"/>
      </w:r>
      <w:r w:rsidR="00545404" w:rsidRPr="00545404">
        <w:rPr>
          <w:noProof/>
          <w:vertAlign w:val="superscript"/>
        </w:rPr>
        <w:t>1</w:t>
      </w:r>
      <w:r w:rsidR="003B4D94">
        <w:fldChar w:fldCharType="end"/>
      </w:r>
      <w:r w:rsidR="002E272C">
        <w:t xml:space="preserve"> (henceforth ‘</w:t>
      </w:r>
      <w:r w:rsidR="00FD0752">
        <w:t>externally estimated ratios</w:t>
      </w:r>
      <w:r w:rsidR="002E272C">
        <w:t>’)</w:t>
      </w:r>
      <w:r w:rsidRPr="00581107">
        <w:t xml:space="preserve">. The results </w:t>
      </w:r>
      <w:r>
        <w:t xml:space="preserve">are </w:t>
      </w:r>
      <w:r w:rsidR="00B151A6">
        <w:t>summarised</w:t>
      </w:r>
      <w:r>
        <w:t xml:space="preserve"> in Supplementary </w:t>
      </w:r>
      <w:r w:rsidRPr="00581107">
        <w:t xml:space="preserve">Table </w:t>
      </w:r>
      <w:r w:rsidR="00210A9D">
        <w:t>5</w:t>
      </w:r>
      <w:r w:rsidR="003B4D94">
        <w:t xml:space="preserve"> per terminal type. </w:t>
      </w:r>
      <w:r w:rsidR="00D672DE">
        <w:t xml:space="preserve">We report the </w:t>
      </w:r>
      <w:r w:rsidR="00D672DE" w:rsidRPr="00581107">
        <w:t xml:space="preserve">median </w:t>
      </w:r>
      <w:r w:rsidR="00D672DE">
        <w:t>values and 10 – 90</w:t>
      </w:r>
      <w:r w:rsidR="00D672DE" w:rsidRPr="001868E9">
        <w:rPr>
          <w:vertAlign w:val="superscript"/>
        </w:rPr>
        <w:t>th</w:t>
      </w:r>
      <w:r w:rsidR="00D672DE">
        <w:t xml:space="preserve"> percentiles in brackets. </w:t>
      </w:r>
    </w:p>
    <w:p w14:paraId="02124236" w14:textId="77777777" w:rsidR="003B4D94" w:rsidRDefault="003B4D94" w:rsidP="00C12D4D">
      <w:pPr>
        <w:spacing w:line="276" w:lineRule="auto"/>
        <w:jc w:val="both"/>
      </w:pPr>
    </w:p>
    <w:p w14:paraId="2873BB26" w14:textId="2B49C448" w:rsidR="00C12D4D" w:rsidRDefault="00835F0F" w:rsidP="00C12D4D">
      <w:pPr>
        <w:spacing w:line="276" w:lineRule="auto"/>
        <w:jc w:val="both"/>
        <w:rPr>
          <w:rFonts w:eastAsiaTheme="minorEastAsia"/>
        </w:rPr>
      </w:pPr>
      <w:r>
        <w:t xml:space="preserve">For container terminals, </w:t>
      </w:r>
      <w:r w:rsidR="008A1A6C">
        <w:t>the modelled</w:t>
      </w:r>
      <w:r>
        <w:t xml:space="preserve"> values depend on the type of </w:t>
      </w:r>
      <w:r w:rsidR="008A1A6C">
        <w:t xml:space="preserve">main </w:t>
      </w:r>
      <w:r>
        <w:t xml:space="preserve">yard equipment </w:t>
      </w:r>
      <w:r w:rsidR="008A1A6C">
        <w:t>adopted</w:t>
      </w:r>
      <w:r>
        <w:t xml:space="preserve">. </w:t>
      </w:r>
      <w:r w:rsidR="008A1A6C">
        <w:rPr>
          <w:rFonts w:eastAsiaTheme="minorEastAsia"/>
        </w:rPr>
        <w:t>The PPC model predicts</w:t>
      </w:r>
      <w:r w:rsidR="002A0A36" w:rsidRPr="00581107">
        <w:rPr>
          <w:rFonts w:eastAsiaTheme="minorEastAsia"/>
        </w:rPr>
        <w:t xml:space="preserve"> values of 17.3 (11</w:t>
      </w:r>
      <w:r w:rsidR="00943874">
        <w:rPr>
          <w:rFonts w:eastAsiaTheme="minorEastAsia"/>
        </w:rPr>
        <w:t>.0</w:t>
      </w:r>
      <w:r w:rsidR="002A0A36" w:rsidRPr="00581107">
        <w:rPr>
          <w:rFonts w:eastAsiaTheme="minorEastAsia"/>
        </w:rPr>
        <w:t>-27</w:t>
      </w:r>
      <w:r w:rsidR="00943874">
        <w:rPr>
          <w:rFonts w:eastAsiaTheme="minorEastAsia"/>
        </w:rPr>
        <w:t>.0</w:t>
      </w:r>
      <w:r w:rsidR="002A0A36" w:rsidRPr="00581107">
        <w:rPr>
          <w:rFonts w:eastAsiaTheme="minorEastAsia"/>
        </w:rPr>
        <w:t>) tonnes/m</w:t>
      </w:r>
      <w:r w:rsidR="002A0A36" w:rsidRPr="00DE606D">
        <w:rPr>
          <w:rFonts w:eastAsiaTheme="minorEastAsia"/>
          <w:vertAlign w:val="superscript"/>
        </w:rPr>
        <w:t>2</w:t>
      </w:r>
      <w:r w:rsidR="002A0A36" w:rsidRPr="00581107">
        <w:rPr>
          <w:rFonts w:eastAsiaTheme="minorEastAsia"/>
        </w:rPr>
        <w:t xml:space="preserve"> for </w:t>
      </w:r>
      <w:r w:rsidR="008A1A6C">
        <w:rPr>
          <w:rFonts w:eastAsiaTheme="minorEastAsia"/>
        </w:rPr>
        <w:t>RTG</w:t>
      </w:r>
      <w:r>
        <w:rPr>
          <w:rFonts w:eastAsiaTheme="minorEastAsia"/>
        </w:rPr>
        <w:t xml:space="preserve"> cranes</w:t>
      </w:r>
      <w:r w:rsidR="002A0A36" w:rsidRPr="00581107">
        <w:rPr>
          <w:rFonts w:eastAsiaTheme="minorEastAsia"/>
        </w:rPr>
        <w:t>, 19.8 (13.7</w:t>
      </w:r>
      <w:r w:rsidR="00943874">
        <w:rPr>
          <w:rFonts w:eastAsiaTheme="minorEastAsia"/>
        </w:rPr>
        <w:t xml:space="preserve"> -</w:t>
      </w:r>
      <w:r w:rsidR="001868E9">
        <w:rPr>
          <w:rFonts w:eastAsiaTheme="minorEastAsia"/>
        </w:rPr>
        <w:t xml:space="preserve"> </w:t>
      </w:r>
      <w:r w:rsidR="002A0A36" w:rsidRPr="00581107">
        <w:rPr>
          <w:rFonts w:eastAsiaTheme="minorEastAsia"/>
        </w:rPr>
        <w:t>29.0) tonnes/m</w:t>
      </w:r>
      <w:r w:rsidR="002A0A36" w:rsidRPr="00DE606D">
        <w:rPr>
          <w:rFonts w:eastAsiaTheme="minorEastAsia"/>
          <w:vertAlign w:val="superscript"/>
        </w:rPr>
        <w:t>2</w:t>
      </w:r>
      <w:r w:rsidR="002A0A36" w:rsidRPr="00581107">
        <w:rPr>
          <w:rFonts w:eastAsiaTheme="minorEastAsia"/>
        </w:rPr>
        <w:t xml:space="preserve"> for </w:t>
      </w:r>
      <w:r w:rsidR="008A1A6C">
        <w:rPr>
          <w:rFonts w:eastAsiaTheme="minorEastAsia"/>
        </w:rPr>
        <w:t>RMG</w:t>
      </w:r>
      <w:r>
        <w:rPr>
          <w:rFonts w:eastAsiaTheme="minorEastAsia"/>
        </w:rPr>
        <w:t xml:space="preserve"> cranes</w:t>
      </w:r>
      <w:r w:rsidR="002A0A36" w:rsidRPr="00581107">
        <w:rPr>
          <w:rFonts w:eastAsiaTheme="minorEastAsia"/>
        </w:rPr>
        <w:t>, 10.9 (6.9 – 17.1) tonnes/m</w:t>
      </w:r>
      <w:r w:rsidR="002A0A36" w:rsidRPr="00DE606D">
        <w:rPr>
          <w:rFonts w:eastAsiaTheme="minorEastAsia"/>
          <w:vertAlign w:val="superscript"/>
        </w:rPr>
        <w:t>2</w:t>
      </w:r>
      <w:r w:rsidR="002A0A36" w:rsidRPr="00581107">
        <w:rPr>
          <w:rFonts w:eastAsiaTheme="minorEastAsia"/>
        </w:rPr>
        <w:t xml:space="preserve"> for straddle carrier</w:t>
      </w:r>
      <w:r w:rsidR="00260E6C">
        <w:rPr>
          <w:rFonts w:eastAsiaTheme="minorEastAsia"/>
        </w:rPr>
        <w:t>s</w:t>
      </w:r>
      <w:r w:rsidR="002A0A36" w:rsidRPr="00581107">
        <w:rPr>
          <w:rFonts w:eastAsiaTheme="minorEastAsia"/>
        </w:rPr>
        <w:t xml:space="preserve"> and 5.9 (3.7 – 9.1) tonnes/m</w:t>
      </w:r>
      <w:r w:rsidR="002A0A36" w:rsidRPr="00DE606D">
        <w:rPr>
          <w:rFonts w:eastAsiaTheme="minorEastAsia"/>
          <w:vertAlign w:val="superscript"/>
        </w:rPr>
        <w:t>2</w:t>
      </w:r>
      <w:r w:rsidR="00943874">
        <w:rPr>
          <w:rFonts w:eastAsiaTheme="minorEastAsia"/>
          <w:vertAlign w:val="superscript"/>
        </w:rPr>
        <w:t xml:space="preserve"> </w:t>
      </w:r>
      <w:r w:rsidR="00943874" w:rsidRPr="00581107">
        <w:rPr>
          <w:rFonts w:eastAsiaTheme="minorEastAsia"/>
        </w:rPr>
        <w:t>for reach handler</w:t>
      </w:r>
      <w:r w:rsidR="00943874">
        <w:rPr>
          <w:rFonts w:eastAsiaTheme="minorEastAsia"/>
        </w:rPr>
        <w:t xml:space="preserve">s. This </w:t>
      </w:r>
      <w:r w:rsidR="002A0A36" w:rsidRPr="00581107">
        <w:rPr>
          <w:rFonts w:eastAsiaTheme="minorEastAsia"/>
        </w:rPr>
        <w:t xml:space="preserve">within the range of values based on the rules of thumb from the literature and the </w:t>
      </w:r>
      <w:r w:rsidR="00FD0752">
        <w:rPr>
          <w:rFonts w:eastAsiaTheme="minorEastAsia"/>
        </w:rPr>
        <w:t>externally estimated ratios</w:t>
      </w:r>
      <w:r w:rsidR="00943874">
        <w:rPr>
          <w:rFonts w:eastAsiaTheme="minorEastAsia"/>
        </w:rPr>
        <w:t>, which are mainly for larger container terminals that use RTG and RMG equipment.</w:t>
      </w:r>
      <w:r w:rsidR="002A0A36" w:rsidRPr="00581107">
        <w:rPr>
          <w:rFonts w:eastAsiaTheme="minorEastAsia"/>
        </w:rPr>
        <w:t xml:space="preserve"> </w:t>
      </w:r>
      <w:r w:rsidR="00C0530D">
        <w:rPr>
          <w:rFonts w:eastAsiaTheme="minorEastAsia"/>
        </w:rPr>
        <w:t>However</w:t>
      </w:r>
      <w:r w:rsidR="002A0A36" w:rsidRPr="00581107">
        <w:rPr>
          <w:rFonts w:eastAsiaTheme="minorEastAsia"/>
        </w:rPr>
        <w:t>, as suggested by Drewry (2010)</w:t>
      </w:r>
      <w:r w:rsidR="007334ED">
        <w:rPr>
          <w:rFonts w:eastAsiaTheme="minorEastAsia"/>
        </w:rPr>
        <w:fldChar w:fldCharType="begin" w:fldLock="1"/>
      </w:r>
      <w:r w:rsidR="00545404">
        <w:rPr>
          <w:rFonts w:eastAsiaTheme="minorEastAsia"/>
        </w:rPr>
        <w:instrText>ADDIN CSL_CITATION {"citationItems":[{"id":"ITEM-1","itemData":{"author":[{"dropping-particle":"","family":"Drewry","given":"","non-dropping-particle":"","parse-names":false,"suffix":""}],"id":"ITEM-1","issued":{"date-parts":[["2010"]]},"title":"Global container terminal operators 2010: Annual review and forecast","type":"report"},"uris":["http://www.mendeley.com/documents/?uuid=79d494f1-e590-4fd1-ad70-3eac80e97a9f"]}],"mendeley":{"formattedCitation":"&lt;sup&gt;13&lt;/sup&gt;","plainTextFormattedCitation":"13","previouslyFormattedCitation":"&lt;sup&gt;14&lt;/sup&gt;"},"properties":{"noteIndex":0},"schema":"https://github.com/citation-style-language/schema/raw/master/csl-citation.json"}</w:instrText>
      </w:r>
      <w:r w:rsidR="007334ED">
        <w:rPr>
          <w:rFonts w:eastAsiaTheme="minorEastAsia"/>
        </w:rPr>
        <w:fldChar w:fldCharType="separate"/>
      </w:r>
      <w:r w:rsidR="00545404" w:rsidRPr="00545404">
        <w:rPr>
          <w:rFonts w:eastAsiaTheme="minorEastAsia"/>
          <w:noProof/>
          <w:vertAlign w:val="superscript"/>
        </w:rPr>
        <w:t>13</w:t>
      </w:r>
      <w:r w:rsidR="007334ED">
        <w:rPr>
          <w:rFonts w:eastAsiaTheme="minorEastAsia"/>
        </w:rPr>
        <w:fldChar w:fldCharType="end"/>
      </w:r>
      <w:r w:rsidR="002A0A36" w:rsidRPr="00581107">
        <w:rPr>
          <w:rFonts w:eastAsiaTheme="minorEastAsia"/>
        </w:rPr>
        <w:t xml:space="preserve">, there is a stark geographical divide in area needs, </w:t>
      </w:r>
      <w:r w:rsidR="00C0530D">
        <w:rPr>
          <w:rFonts w:eastAsiaTheme="minorEastAsia"/>
        </w:rPr>
        <w:t xml:space="preserve">and it is not </w:t>
      </w:r>
      <w:r w:rsidR="002A0A36" w:rsidRPr="00581107">
        <w:rPr>
          <w:rFonts w:eastAsiaTheme="minorEastAsia"/>
        </w:rPr>
        <w:t xml:space="preserve">feasible to include </w:t>
      </w:r>
      <w:r w:rsidR="007334ED">
        <w:rPr>
          <w:rFonts w:eastAsiaTheme="minorEastAsia"/>
        </w:rPr>
        <w:t xml:space="preserve">all </w:t>
      </w:r>
      <w:r w:rsidR="002A0A36" w:rsidRPr="00581107">
        <w:rPr>
          <w:rFonts w:eastAsiaTheme="minorEastAsia"/>
        </w:rPr>
        <w:t xml:space="preserve">these nuances in </w:t>
      </w:r>
      <w:r w:rsidR="007334ED">
        <w:rPr>
          <w:rFonts w:eastAsiaTheme="minorEastAsia"/>
        </w:rPr>
        <w:t>our PPC model</w:t>
      </w:r>
      <w:r w:rsidR="002A0A36" w:rsidRPr="00581107">
        <w:rPr>
          <w:rFonts w:eastAsiaTheme="minorEastAsia"/>
        </w:rPr>
        <w:t>.</w:t>
      </w:r>
    </w:p>
    <w:p w14:paraId="74000612" w14:textId="58B80B8C" w:rsidR="009D3E9B" w:rsidRDefault="009D3E9B" w:rsidP="00C12D4D">
      <w:pPr>
        <w:spacing w:line="276" w:lineRule="auto"/>
        <w:jc w:val="both"/>
        <w:rPr>
          <w:rFonts w:eastAsiaTheme="minorEastAsia"/>
        </w:rPr>
      </w:pPr>
    </w:p>
    <w:p w14:paraId="279FF112" w14:textId="283FE9FE" w:rsidR="009D3E9B" w:rsidRDefault="001868E9" w:rsidP="00C12D4D">
      <w:pPr>
        <w:spacing w:line="276" w:lineRule="auto"/>
        <w:jc w:val="both"/>
      </w:pPr>
      <w:r>
        <w:t xml:space="preserve">For general cargo terminals, </w:t>
      </w:r>
      <w:r w:rsidR="00741DFD">
        <w:t>the PPC predicts a</w:t>
      </w:r>
      <w:r>
        <w:t xml:space="preserve"> </w:t>
      </w:r>
      <w:r w:rsidR="009D3E9B" w:rsidRPr="00581107">
        <w:t>value of 7.5 (4.7 - 11.6) tonnes/m</w:t>
      </w:r>
      <w:r w:rsidR="009D3E9B" w:rsidRPr="000D3236">
        <w:rPr>
          <w:vertAlign w:val="superscript"/>
        </w:rPr>
        <w:t>2</w:t>
      </w:r>
      <w:r w:rsidR="009D3E9B" w:rsidRPr="00581107">
        <w:t xml:space="preserve">, which is </w:t>
      </w:r>
      <w:r w:rsidR="009D3E9B" w:rsidRPr="00581107">
        <w:rPr>
          <w:rFonts w:eastAsiaTheme="minorEastAsia"/>
        </w:rPr>
        <w:t xml:space="preserve">within the range of values based on the rules of thumb from the literature and the </w:t>
      </w:r>
      <w:r w:rsidR="00FD0752">
        <w:rPr>
          <w:rFonts w:eastAsiaTheme="minorEastAsia"/>
        </w:rPr>
        <w:t>externally estimated ratios</w:t>
      </w:r>
      <w:r w:rsidR="009D3E9B" w:rsidRPr="00581107">
        <w:rPr>
          <w:rFonts w:eastAsiaTheme="minorEastAsia"/>
        </w:rPr>
        <w:t>.</w:t>
      </w:r>
      <w:r w:rsidR="009D3E9B" w:rsidRPr="00581107">
        <w:t xml:space="preserve"> It should be noted that the area requirement critically depends on the density of the cargo and the way it can be stored, which can vary widely</w:t>
      </w:r>
      <w:r w:rsidR="00196388">
        <w:t xml:space="preserve"> between terminals. </w:t>
      </w:r>
      <w:r w:rsidR="003C11E5">
        <w:t>We have therefore used ratios that are quite general instead of modelling the space requirement for specialised general cargo terminals</w:t>
      </w:r>
      <w:r w:rsidR="0000077D">
        <w:t xml:space="preserve"> </w:t>
      </w:r>
      <w:r w:rsidR="003C11E5">
        <w:t xml:space="preserve">(e.g. steel, </w:t>
      </w:r>
      <w:r w:rsidR="00BC4BD8">
        <w:t>wood</w:t>
      </w:r>
      <w:r w:rsidR="003C11E5">
        <w:t xml:space="preserve">). </w:t>
      </w:r>
    </w:p>
    <w:p w14:paraId="45BB58C5" w14:textId="0F719CEC" w:rsidR="009D3E9B" w:rsidRDefault="009D3E9B" w:rsidP="00C12D4D">
      <w:pPr>
        <w:spacing w:line="276" w:lineRule="auto"/>
        <w:jc w:val="both"/>
      </w:pPr>
    </w:p>
    <w:p w14:paraId="57EEC1C5" w14:textId="2B739DBA" w:rsidR="009D3E9B" w:rsidRDefault="00A40089" w:rsidP="009D3E9B">
      <w:pPr>
        <w:spacing w:line="276" w:lineRule="auto"/>
        <w:jc w:val="both"/>
      </w:pPr>
      <w:r>
        <w:t xml:space="preserve">For liquid bulk terminals, the unit area requirement we find is </w:t>
      </w:r>
      <w:r w:rsidR="009D3E9B" w:rsidRPr="00581107">
        <w:t>33.1 (20.8 - 53.7) tonnes/m</w:t>
      </w:r>
      <w:r w:rsidR="009D3E9B" w:rsidRPr="00A40089">
        <w:rPr>
          <w:vertAlign w:val="superscript"/>
        </w:rPr>
        <w:t>2</w:t>
      </w:r>
      <w:r w:rsidR="009D3E9B" w:rsidRPr="00581107">
        <w:t>. This is in line with the rules of thumb for oil and LNG terminals</w:t>
      </w:r>
      <w:r>
        <w:t xml:space="preserve">, which both have slightly different design requirements. Our model is based on oil terminal </w:t>
      </w:r>
      <w:r w:rsidR="00472BDD">
        <w:t xml:space="preserve">design </w:t>
      </w:r>
      <w:r>
        <w:t>requirement</w:t>
      </w:r>
      <w:r w:rsidR="00A3629A">
        <w:t>s</w:t>
      </w:r>
      <w:r>
        <w:t xml:space="preserve"> as th</w:t>
      </w:r>
      <w:r w:rsidR="00481A46">
        <w:t>is</w:t>
      </w:r>
      <w:r>
        <w:t xml:space="preserve"> </w:t>
      </w:r>
      <w:r w:rsidR="00481A46">
        <w:t>is</w:t>
      </w:r>
      <w:r>
        <w:t xml:space="preserve"> the dominant liquid bulk terminal</w:t>
      </w:r>
      <w:r w:rsidR="00481A46">
        <w:t xml:space="preserve"> type</w:t>
      </w:r>
      <w:r>
        <w:t xml:space="preserve">. Our values are </w:t>
      </w:r>
      <w:r w:rsidR="009D3E9B" w:rsidRPr="00581107">
        <w:t xml:space="preserve">higher than found </w:t>
      </w:r>
      <w:r>
        <w:t xml:space="preserve">using the </w:t>
      </w:r>
      <w:r w:rsidR="00FD0752">
        <w:t>externally estimated ratios</w:t>
      </w:r>
      <w:r w:rsidR="00DD521D">
        <w:t>, which is mainly because</w:t>
      </w:r>
      <w:r w:rsidR="009D3E9B" w:rsidRPr="00581107">
        <w:t xml:space="preserve"> </w:t>
      </w:r>
      <w:r w:rsidR="00CB5308">
        <w:t>the</w:t>
      </w:r>
      <w:r w:rsidR="009D3E9B" w:rsidRPr="00581107">
        <w:t xml:space="preserve"> </w:t>
      </w:r>
      <w:r w:rsidR="00CB5308">
        <w:t xml:space="preserve">externally </w:t>
      </w:r>
      <w:r w:rsidR="009D3E9B" w:rsidRPr="00581107">
        <w:t xml:space="preserve">mapped </w:t>
      </w:r>
      <w:r>
        <w:t>areas</w:t>
      </w:r>
      <w:r w:rsidR="009D3E9B" w:rsidRPr="00581107">
        <w:t xml:space="preserve"> </w:t>
      </w:r>
      <w:r w:rsidR="00CB5308">
        <w:t xml:space="preserve">include areas </w:t>
      </w:r>
      <w:r w:rsidR="009D3E9B" w:rsidRPr="00581107">
        <w:t xml:space="preserve">beyond the storage area alone, such as refineries/processing plants, which </w:t>
      </w:r>
      <w:r w:rsidR="00CB5308">
        <w:t>can</w:t>
      </w:r>
      <w:r w:rsidR="009D3E9B" w:rsidRPr="00581107">
        <w:t xml:space="preserve"> increase the </w:t>
      </w:r>
      <w:r>
        <w:t xml:space="preserve">size of the </w:t>
      </w:r>
      <w:r w:rsidR="00CB5308">
        <w:t>terminal considerably.</w:t>
      </w:r>
    </w:p>
    <w:p w14:paraId="149DB3B2" w14:textId="2026E5C1" w:rsidR="009D3E9B" w:rsidRDefault="009D3E9B" w:rsidP="00C12D4D">
      <w:pPr>
        <w:spacing w:line="276" w:lineRule="auto"/>
        <w:jc w:val="both"/>
      </w:pPr>
    </w:p>
    <w:p w14:paraId="5C83F504" w14:textId="6F986C9D" w:rsidR="00DD521D" w:rsidRDefault="001C1521" w:rsidP="00A97457">
      <w:pPr>
        <w:spacing w:line="276" w:lineRule="auto"/>
        <w:jc w:val="both"/>
        <w:rPr>
          <w:rFonts w:eastAsiaTheme="minorEastAsia"/>
        </w:rPr>
      </w:pPr>
      <w:r>
        <w:t xml:space="preserve">For dry bulk terminals, </w:t>
      </w:r>
      <w:r w:rsidR="00741DFD">
        <w:t xml:space="preserve">the PPC predicts a value </w:t>
      </w:r>
      <w:r w:rsidR="00A97457" w:rsidRPr="00581107">
        <w:t>of 19.4 (11.0 – 35.1) tonnes/m</w:t>
      </w:r>
      <w:r w:rsidR="00A97457" w:rsidRPr="00D84D9C">
        <w:rPr>
          <w:vertAlign w:val="superscript"/>
        </w:rPr>
        <w:t>2</w:t>
      </w:r>
      <w:r w:rsidR="00A97457" w:rsidRPr="00581107">
        <w:t xml:space="preserve"> for bulk </w:t>
      </w:r>
      <w:r>
        <w:t>stored in silos</w:t>
      </w:r>
      <w:r w:rsidR="00A97457" w:rsidRPr="00581107">
        <w:t xml:space="preserve"> and 17.7 (9.8 – 34.3) </w:t>
      </w:r>
      <w:r w:rsidRPr="00581107">
        <w:t>tonnes/m</w:t>
      </w:r>
      <w:r w:rsidRPr="00D84D9C">
        <w:rPr>
          <w:vertAlign w:val="superscript"/>
        </w:rPr>
        <w:t>2</w:t>
      </w:r>
      <w:r w:rsidRPr="00581107">
        <w:t xml:space="preserve"> </w:t>
      </w:r>
      <w:r w:rsidR="00A97457" w:rsidRPr="00581107">
        <w:t>for open storage of raw material goods</w:t>
      </w:r>
      <w:r w:rsidR="001913CF">
        <w:t xml:space="preserve">. </w:t>
      </w:r>
      <w:r w:rsidR="00A97457" w:rsidRPr="00581107">
        <w:t xml:space="preserve">These values are in line with </w:t>
      </w:r>
      <w:r w:rsidR="00A97457" w:rsidRPr="00581107">
        <w:rPr>
          <w:rFonts w:eastAsiaTheme="minorEastAsia"/>
        </w:rPr>
        <w:t xml:space="preserve">the range of values based on the rules of thumb from the literature and the </w:t>
      </w:r>
      <w:r w:rsidR="004D4F0D">
        <w:rPr>
          <w:rFonts w:eastAsiaTheme="minorEastAsia"/>
        </w:rPr>
        <w:lastRenderedPageBreak/>
        <w:t>externally estimated ratios</w:t>
      </w:r>
      <w:r>
        <w:rPr>
          <w:rFonts w:eastAsiaTheme="minorEastAsia"/>
        </w:rPr>
        <w:t xml:space="preserve">. </w:t>
      </w:r>
      <w:r w:rsidR="00DD521D">
        <w:rPr>
          <w:rFonts w:eastAsiaTheme="minorEastAsia"/>
        </w:rPr>
        <w:t xml:space="preserve">However, bulk terminal space requirements differ widely between import and export terminals, which we tried to capture in the PPC model as well. </w:t>
      </w:r>
    </w:p>
    <w:p w14:paraId="626D82CC" w14:textId="77777777" w:rsidR="003320B6" w:rsidRDefault="003320B6" w:rsidP="00A97457">
      <w:pPr>
        <w:spacing w:line="276" w:lineRule="auto"/>
        <w:jc w:val="both"/>
        <w:rPr>
          <w:rFonts w:eastAsiaTheme="minorEastAsia"/>
        </w:rPr>
      </w:pPr>
    </w:p>
    <w:p w14:paraId="11EBC6C9" w14:textId="3CEA2D64" w:rsidR="00DD521D" w:rsidRPr="00735AFD" w:rsidRDefault="00DD521D" w:rsidP="00A97457">
      <w:pPr>
        <w:spacing w:line="276" w:lineRule="auto"/>
        <w:jc w:val="both"/>
        <w:rPr>
          <w:rFonts w:eastAsiaTheme="minorEastAsia"/>
        </w:rPr>
      </w:pPr>
      <w:r>
        <w:rPr>
          <w:rFonts w:eastAsiaTheme="minorEastAsia"/>
        </w:rPr>
        <w:t xml:space="preserve">For </w:t>
      </w:r>
      <w:proofErr w:type="spellStart"/>
      <w:r>
        <w:rPr>
          <w:rFonts w:eastAsiaTheme="minorEastAsia"/>
        </w:rPr>
        <w:t>RoRo</w:t>
      </w:r>
      <w:proofErr w:type="spellEnd"/>
      <w:r>
        <w:rPr>
          <w:rFonts w:eastAsiaTheme="minorEastAsia"/>
        </w:rPr>
        <w:t xml:space="preserve"> terminals, we directly used the values of the</w:t>
      </w:r>
      <w:r w:rsidR="0072509D">
        <w:rPr>
          <w:rFonts w:eastAsiaTheme="minorEastAsia"/>
        </w:rPr>
        <w:t xml:space="preserve"> externally</w:t>
      </w:r>
      <w:r>
        <w:rPr>
          <w:rFonts w:eastAsiaTheme="minorEastAsia"/>
        </w:rPr>
        <w:t xml:space="preserve"> estimated ratios in the model. </w:t>
      </w:r>
      <w:r w:rsidR="00735AFD">
        <w:rPr>
          <w:rFonts w:eastAsiaTheme="minorEastAsia"/>
        </w:rPr>
        <w:t xml:space="preserve">This aligns well with values found for five new </w:t>
      </w:r>
      <w:proofErr w:type="spellStart"/>
      <w:r w:rsidR="00735AFD">
        <w:rPr>
          <w:rFonts w:eastAsiaTheme="minorEastAsia"/>
        </w:rPr>
        <w:t>RoRo</w:t>
      </w:r>
      <w:proofErr w:type="spellEnd"/>
      <w:r w:rsidR="00735AFD">
        <w:rPr>
          <w:rFonts w:eastAsiaTheme="minorEastAsia"/>
        </w:rPr>
        <w:t xml:space="preserve"> projects at the port of Tilbury (1.5 tonnes/m</w:t>
      </w:r>
      <w:r w:rsidR="00735AFD">
        <w:rPr>
          <w:rFonts w:eastAsiaTheme="minorEastAsia"/>
          <w:vertAlign w:val="superscript"/>
        </w:rPr>
        <w:t>2</w:t>
      </w:r>
      <w:r w:rsidR="00735AFD">
        <w:rPr>
          <w:rFonts w:eastAsiaTheme="minorEastAsia"/>
        </w:rPr>
        <w:t>), Brunswick (0.7 tonnes/m</w:t>
      </w:r>
      <w:r w:rsidR="00735AFD">
        <w:rPr>
          <w:rFonts w:eastAsiaTheme="minorEastAsia"/>
          <w:vertAlign w:val="superscript"/>
        </w:rPr>
        <w:t>2</w:t>
      </w:r>
      <w:r w:rsidR="00735AFD">
        <w:rPr>
          <w:rFonts w:eastAsiaTheme="minorEastAsia"/>
        </w:rPr>
        <w:t>), Mobile (1.3 tonnes/m</w:t>
      </w:r>
      <w:r w:rsidR="00735AFD">
        <w:rPr>
          <w:rFonts w:eastAsiaTheme="minorEastAsia"/>
          <w:vertAlign w:val="superscript"/>
        </w:rPr>
        <w:t>2</w:t>
      </w:r>
      <w:r w:rsidR="00735AFD">
        <w:rPr>
          <w:rFonts w:eastAsiaTheme="minorEastAsia"/>
        </w:rPr>
        <w:t>), Melbourne (4.2 tonnes/m</w:t>
      </w:r>
      <w:r w:rsidR="00735AFD">
        <w:rPr>
          <w:rFonts w:eastAsiaTheme="minorEastAsia"/>
          <w:vertAlign w:val="superscript"/>
        </w:rPr>
        <w:t>2</w:t>
      </w:r>
      <w:r w:rsidR="00735AFD">
        <w:rPr>
          <w:rFonts w:eastAsiaTheme="minorEastAsia"/>
        </w:rPr>
        <w:t>) and Port Said (5.2 tonnes/m</w:t>
      </w:r>
      <w:r w:rsidR="00735AFD">
        <w:rPr>
          <w:rFonts w:eastAsiaTheme="minorEastAsia"/>
          <w:vertAlign w:val="superscript"/>
        </w:rPr>
        <w:t>2</w:t>
      </w:r>
      <w:r w:rsidR="00735AFD">
        <w:rPr>
          <w:rFonts w:eastAsiaTheme="minorEastAsia"/>
        </w:rPr>
        <w:t xml:space="preserve">). </w:t>
      </w:r>
    </w:p>
    <w:p w14:paraId="0F48ECD7" w14:textId="77777777" w:rsidR="00A97457" w:rsidRDefault="00A97457" w:rsidP="00C12D4D">
      <w:pPr>
        <w:spacing w:line="276" w:lineRule="auto"/>
        <w:jc w:val="both"/>
      </w:pPr>
    </w:p>
    <w:p w14:paraId="7ADF70E6" w14:textId="16046078" w:rsidR="00C12D4D" w:rsidRPr="00D471A0" w:rsidRDefault="00FB7461" w:rsidP="00C12D4D">
      <w:pPr>
        <w:spacing w:line="276" w:lineRule="auto"/>
        <w:jc w:val="both"/>
        <w:rPr>
          <w:b/>
          <w:bCs/>
        </w:rPr>
      </w:pPr>
      <w:r w:rsidRPr="00D471A0">
        <w:rPr>
          <w:b/>
          <w:bCs/>
        </w:rPr>
        <w:t xml:space="preserve">Unit </w:t>
      </w:r>
      <w:r w:rsidR="00DB0635">
        <w:rPr>
          <w:b/>
          <w:bCs/>
        </w:rPr>
        <w:t xml:space="preserve">construction </w:t>
      </w:r>
      <w:r w:rsidRPr="00D471A0">
        <w:rPr>
          <w:b/>
          <w:bCs/>
        </w:rPr>
        <w:t>cost</w:t>
      </w:r>
    </w:p>
    <w:p w14:paraId="68FB2E6C" w14:textId="7BA93620" w:rsidR="00C12D4D" w:rsidRDefault="00C12D4D" w:rsidP="00C12D4D">
      <w:pPr>
        <w:spacing w:line="276" w:lineRule="auto"/>
        <w:jc w:val="both"/>
      </w:pPr>
      <w:r>
        <w:t xml:space="preserve">In terms of unit </w:t>
      </w:r>
      <w:r w:rsidR="00071A90">
        <w:t xml:space="preserve">construction </w:t>
      </w:r>
      <w:r>
        <w:t>costs</w:t>
      </w:r>
      <w:r w:rsidR="00507465">
        <w:t xml:space="preserve"> (median and 10 – 90</w:t>
      </w:r>
      <w:r w:rsidR="00507465" w:rsidRPr="00507465">
        <w:rPr>
          <w:vertAlign w:val="superscript"/>
        </w:rPr>
        <w:t>th</w:t>
      </w:r>
      <w:r w:rsidR="00507465">
        <w:t xml:space="preserve"> percentile confidence interval)</w:t>
      </w:r>
      <w:r>
        <w:t xml:space="preserve">, </w:t>
      </w:r>
      <w:r w:rsidRPr="00581107">
        <w:t xml:space="preserve">we compare our </w:t>
      </w:r>
      <w:r>
        <w:t xml:space="preserve">unit </w:t>
      </w:r>
      <w:r w:rsidRPr="00581107">
        <w:t xml:space="preserve">cost </w:t>
      </w:r>
      <w:r>
        <w:t xml:space="preserve">estimates </w:t>
      </w:r>
      <w:r w:rsidRPr="00581107">
        <w:t xml:space="preserve">to </w:t>
      </w:r>
      <w:r>
        <w:t xml:space="preserve">several </w:t>
      </w:r>
      <w:r w:rsidRPr="00581107">
        <w:t xml:space="preserve">external data </w:t>
      </w:r>
      <w:r w:rsidR="001B4CE9">
        <w:t xml:space="preserve"> sources collected</w:t>
      </w:r>
      <w:r w:rsidRPr="00581107">
        <w:t xml:space="preserve">. </w:t>
      </w:r>
      <w:r w:rsidR="00507465">
        <w:t>The PPC model</w:t>
      </w:r>
      <w:r w:rsidRPr="00581107">
        <w:t xml:space="preserve"> estimates container ports to be around</w:t>
      </w:r>
      <w:r w:rsidR="00B250F6">
        <w:t xml:space="preserve"> </w:t>
      </w:r>
      <w:r>
        <w:t>420 (310 – 594)</w:t>
      </w:r>
      <w:r w:rsidRPr="00581107">
        <w:t xml:space="preserve"> USD per </w:t>
      </w:r>
      <w:r>
        <w:t>TEU</w:t>
      </w:r>
      <w:r w:rsidRPr="00581107">
        <w:t xml:space="preserve"> across </w:t>
      </w:r>
      <w:r>
        <w:t xml:space="preserve">all </w:t>
      </w:r>
      <w:r w:rsidRPr="00581107">
        <w:t>ports.</w:t>
      </w:r>
      <w:r w:rsidRPr="006C1C30">
        <w:t xml:space="preserve"> </w:t>
      </w:r>
      <w:r>
        <w:t>A</w:t>
      </w:r>
      <w:r w:rsidRPr="00581107">
        <w:t xml:space="preserve"> sample of 15 ports financed by the </w:t>
      </w:r>
      <w:r>
        <w:t xml:space="preserve">IFC </w:t>
      </w:r>
      <w:r w:rsidR="005F51E8">
        <w:t xml:space="preserve">captured within the </w:t>
      </w:r>
      <w:r w:rsidR="00B250F6">
        <w:t xml:space="preserve">World Bank’s </w:t>
      </w:r>
      <w:r w:rsidR="005F51E8">
        <w:t>PPI database</w:t>
      </w:r>
      <w:r w:rsidR="005F51E8">
        <w:fldChar w:fldCharType="begin" w:fldLock="1"/>
      </w:r>
      <w:r w:rsidR="00545404">
        <w:instrText>ADDIN CSL_CITATION {"citationItems":[{"id":"ITEM-1","itemData":{"URL":"https://ppi.worldbank.org/en/snapshots/sector/ports","accessed":{"date-parts":[["2021","6","4"]]},"author":[{"dropping-particle":"","family":"World Bank","given":"","non-dropping-particle":"","parse-names":false,"suffix":""}],"container-title":"Port Sector Snapshot","id":"ITEM-1","issued":{"date-parts":[["2021"]]},"title":"Private Participation in Infrastructure Database","type":"webpage"},"uris":["http://www.mendeley.com/documents/?uuid=d1e420f3-b11c-4025-b32d-6713daa46d80"]}],"mendeley":{"formattedCitation":"&lt;sup&gt;14&lt;/sup&gt;","plainTextFormattedCitation":"14","previouslyFormattedCitation":"&lt;sup&gt;15&lt;/sup&gt;"},"properties":{"noteIndex":0},"schema":"https://github.com/citation-style-language/schema/raw/master/csl-citation.json"}</w:instrText>
      </w:r>
      <w:r w:rsidR="005F51E8">
        <w:fldChar w:fldCharType="separate"/>
      </w:r>
      <w:r w:rsidR="00545404" w:rsidRPr="00545404">
        <w:rPr>
          <w:noProof/>
          <w:vertAlign w:val="superscript"/>
        </w:rPr>
        <w:t>14</w:t>
      </w:r>
      <w:r w:rsidR="005F51E8">
        <w:fldChar w:fldCharType="end"/>
      </w:r>
      <w:r w:rsidR="005F51E8">
        <w:t xml:space="preserve"> </w:t>
      </w:r>
      <w:r w:rsidR="00B250F6">
        <w:t>provides</w:t>
      </w:r>
      <w:r w:rsidRPr="00581107">
        <w:t xml:space="preserve"> an average value of 450 USD per TEU, but with a range between 220 USD per TEU and 652 USD per TEU. </w:t>
      </w:r>
      <w:r>
        <w:t>T</w:t>
      </w:r>
      <w:r w:rsidRPr="00581107">
        <w:t>he A</w:t>
      </w:r>
      <w:r>
        <w:t>sian Development Bank</w:t>
      </w:r>
      <w:r w:rsidRPr="00581107">
        <w:t xml:space="preserve"> sets a value of 300 USD per TEU for ports in Asia</w:t>
      </w:r>
      <w:r>
        <w:t xml:space="preserve"> to predict infrastructure investment needs</w:t>
      </w:r>
      <w:r>
        <w:fldChar w:fldCharType="begin" w:fldLock="1"/>
      </w:r>
      <w:r w:rsidR="00545404">
        <w:instrText>ADDIN CSL_CITATION {"citationItems":[{"id":"ITEM-1","itemData":{"DOI":"10.22617/FLS168388-2","ISBN":"9789292577544","author":[{"dropping-particle":"","family":"Asian Development Bank","given":"","non-dropping-particle":"","parse-names":false,"suffix":""}],"id":"ITEM-1","issued":{"date-parts":[["2017","2","1"]]},"publisher-place":"Manila, Philippines","title":"Meeting Asia's Infrastructure Needs","type":"report"},"uris":["http://www.mendeley.com/documents/?uuid=7a9ece37-da16-45f0-b847-267c840ec480"]}],"mendeley":{"formattedCitation":"&lt;sup&gt;15&lt;/sup&gt;","plainTextFormattedCitation":"15","previouslyFormattedCitation":"&lt;sup&gt;16&lt;/sup&gt;"},"properties":{"noteIndex":0},"schema":"https://github.com/citation-style-language/schema/raw/master/csl-citation.json"}</w:instrText>
      </w:r>
      <w:r>
        <w:fldChar w:fldCharType="separate"/>
      </w:r>
      <w:r w:rsidR="00545404" w:rsidRPr="00545404">
        <w:rPr>
          <w:noProof/>
          <w:vertAlign w:val="superscript"/>
        </w:rPr>
        <w:t>15</w:t>
      </w:r>
      <w:r>
        <w:fldChar w:fldCharType="end"/>
      </w:r>
      <w:r>
        <w:t xml:space="preserve">, while </w:t>
      </w:r>
      <w:r w:rsidRPr="00581107">
        <w:t xml:space="preserve">we estimate </w:t>
      </w:r>
      <w:r>
        <w:t xml:space="preserve">the value across Asia countries to be 348 (241 – 524) </w:t>
      </w:r>
      <w:r w:rsidRPr="00581107">
        <w:t>USD per TEU</w:t>
      </w:r>
      <w:r w:rsidR="00B250F6">
        <w:t xml:space="preserve">. Hence, differences are small between the PPC model output and reported container terminal construction costs. </w:t>
      </w:r>
    </w:p>
    <w:p w14:paraId="0730E3A4" w14:textId="77777777" w:rsidR="00C12D4D" w:rsidRDefault="00C12D4D" w:rsidP="00C12D4D">
      <w:pPr>
        <w:spacing w:line="276" w:lineRule="auto"/>
        <w:jc w:val="both"/>
      </w:pPr>
    </w:p>
    <w:p w14:paraId="7999CE76" w14:textId="1461F98E" w:rsidR="00C12D4D" w:rsidRDefault="00B250F6" w:rsidP="00C12D4D">
      <w:pPr>
        <w:spacing w:line="276" w:lineRule="auto"/>
        <w:jc w:val="both"/>
      </w:pPr>
      <w:r>
        <w:t xml:space="preserve">An overview of </w:t>
      </w:r>
      <w:r w:rsidR="00C12D4D">
        <w:t xml:space="preserve">11 LNG terminals in Japan </w:t>
      </w:r>
      <w:r>
        <w:t xml:space="preserve">reported </w:t>
      </w:r>
      <w:r w:rsidR="00C12D4D">
        <w:t xml:space="preserve">an average unit </w:t>
      </w:r>
      <w:r w:rsidR="00326F0B">
        <w:t xml:space="preserve">construction </w:t>
      </w:r>
      <w:r w:rsidR="00C12D4D">
        <w:t>cost of 42.6 USD per tonnes</w:t>
      </w:r>
      <w:r w:rsidR="00C12D4D">
        <w:fldChar w:fldCharType="begin" w:fldLock="1"/>
      </w:r>
      <w:r w:rsidR="008A5081">
        <w:instrText>ADDIN CSL_CITATION {"citationItems":[{"id":"ITEM-1","itemData":{"author":[{"dropping-particle":"","family":"ERIA","given":"","non-dropping-particle":"","parse-names":false,"suffix":""}],"container-title":"Formulating Policy Options for Promoting Natural Gas Utilization in the East Asia Summit Region Volume II: Supply Side Analysis","editor":[{"dropping-particle":"","family":"Uemura","given":"T.","non-dropping-particle":"","parse-names":false,"suffix":""},{"dropping-particle":"","family":"Ishigami","given":"K.","non-dropping-particle":"","parse-names":false,"suffix":""}],"id":"ITEM-1","issue":"February","issued":{"date-parts":[["2018"]]},"page":"67-80","title":"Investment in LNG Supply Chain Infrastructure Estimation","type":"chapter","volume":"II"},"uris":["http://www.mendeley.com/documents/?uuid=67c7a103-ba5f-45ee-81ad-6bbed83f974f"]}],"mendeley":{"formattedCitation":"&lt;sup&gt;9&lt;/sup&gt;","plainTextFormattedCitation":"9","previouslyFormattedCitation":"&lt;sup&gt;9&lt;/sup&gt;"},"properties":{"noteIndex":0},"schema":"https://github.com/citation-style-language/schema/raw/master/csl-citation.json"}</w:instrText>
      </w:r>
      <w:r w:rsidR="00C12D4D">
        <w:fldChar w:fldCharType="separate"/>
      </w:r>
      <w:r w:rsidR="008A5081" w:rsidRPr="008A5081">
        <w:rPr>
          <w:noProof/>
          <w:vertAlign w:val="superscript"/>
        </w:rPr>
        <w:t>9</w:t>
      </w:r>
      <w:r w:rsidR="00C12D4D">
        <w:fldChar w:fldCharType="end"/>
      </w:r>
      <w:r w:rsidR="00ED7C49">
        <w:t>.</w:t>
      </w:r>
      <w:r w:rsidR="00C12D4D">
        <w:t xml:space="preserve"> For </w:t>
      </w:r>
      <w:r w:rsidR="00D33018">
        <w:t>liquid bulk</w:t>
      </w:r>
      <w:r w:rsidR="00C12D4D">
        <w:t xml:space="preserve"> terminals, </w:t>
      </w:r>
      <w:r w:rsidR="00D33018">
        <w:t>the PPC model estimates to be</w:t>
      </w:r>
      <w:r w:rsidR="00C12D4D">
        <w:t xml:space="preserve"> around 38.4 (23.9 – 58.4) USD per tonnes in </w:t>
      </w:r>
      <w:r w:rsidR="00ED7C49">
        <w:t>Japan</w:t>
      </w:r>
      <w:r w:rsidR="00D33018">
        <w:t xml:space="preserve">. </w:t>
      </w:r>
      <w:r w:rsidR="00C12D4D">
        <w:t xml:space="preserve">LNG terminals </w:t>
      </w:r>
      <w:r w:rsidR="00E72314">
        <w:t>are likely</w:t>
      </w:r>
      <w:r w:rsidR="00C12D4D">
        <w:t xml:space="preserve"> at the upper end of this range as they are generally more expensive compared to oil terminals</w:t>
      </w:r>
      <w:r w:rsidR="006B15C6">
        <w:t xml:space="preserve"> (per tonnes throughput)</w:t>
      </w:r>
      <w:r w:rsidR="00C12D4D">
        <w:t xml:space="preserve">. </w:t>
      </w:r>
    </w:p>
    <w:p w14:paraId="1153085E" w14:textId="2BCCFC89" w:rsidR="00085034" w:rsidRDefault="00085034" w:rsidP="00C12D4D">
      <w:pPr>
        <w:spacing w:line="276" w:lineRule="auto"/>
        <w:jc w:val="both"/>
      </w:pPr>
    </w:p>
    <w:p w14:paraId="7200E357" w14:textId="0D85A295" w:rsidR="00085034" w:rsidRDefault="00B63676" w:rsidP="00C12D4D">
      <w:pPr>
        <w:spacing w:line="276" w:lineRule="auto"/>
        <w:jc w:val="both"/>
      </w:pPr>
      <w:r>
        <w:t xml:space="preserve">We estimate the unit construction costs of </w:t>
      </w:r>
      <w:proofErr w:type="spellStart"/>
      <w:r w:rsidR="00085034">
        <w:t>RoRo</w:t>
      </w:r>
      <w:proofErr w:type="spellEnd"/>
      <w:r w:rsidR="00085034">
        <w:t xml:space="preserve"> terminals </w:t>
      </w:r>
      <w:r>
        <w:t>to be</w:t>
      </w:r>
      <w:r w:rsidR="00085034">
        <w:t xml:space="preserve"> 160.6 (99 – 281) USD per tonnes</w:t>
      </w:r>
      <w:r w:rsidR="004717FC">
        <w:t xml:space="preserve">. The construction </w:t>
      </w:r>
      <w:r w:rsidR="0080482F">
        <w:t xml:space="preserve">costs </w:t>
      </w:r>
      <w:r w:rsidR="004717FC">
        <w:t xml:space="preserve">of </w:t>
      </w:r>
      <w:r w:rsidR="005F01EE">
        <w:t xml:space="preserve">three recently completed </w:t>
      </w:r>
      <w:proofErr w:type="spellStart"/>
      <w:r w:rsidR="004717FC">
        <w:t>RoRo</w:t>
      </w:r>
      <w:proofErr w:type="spellEnd"/>
      <w:r w:rsidR="004717FC">
        <w:t xml:space="preserve"> terminals are</w:t>
      </w:r>
      <w:r w:rsidR="005F01EE">
        <w:t xml:space="preserve"> found to be</w:t>
      </w:r>
      <w:r w:rsidR="004717FC">
        <w:t xml:space="preserve"> 300 USD per tonnes (port of Tilbury), 200 USD</w:t>
      </w:r>
      <w:r w:rsidR="0028681A">
        <w:t xml:space="preserve"> per </w:t>
      </w:r>
      <w:r w:rsidR="004717FC">
        <w:t>tonnes (port of Mobile)</w:t>
      </w:r>
      <w:r w:rsidR="005F01EE">
        <w:t>, and</w:t>
      </w:r>
      <w:r w:rsidR="004717FC">
        <w:t xml:space="preserve"> 133 USD per tonnes (port of Port Said)</w:t>
      </w:r>
      <w:r w:rsidR="005F01EE">
        <w:t xml:space="preserve">. </w:t>
      </w:r>
    </w:p>
    <w:p w14:paraId="26C4F2A2" w14:textId="060B018F" w:rsidR="00321DFA" w:rsidRDefault="00321DFA" w:rsidP="008A4417"/>
    <w:p w14:paraId="6F476EC3" w14:textId="5F0493F8" w:rsidR="00321DFA" w:rsidRDefault="00321DFA" w:rsidP="008A4417">
      <w:r>
        <w:t xml:space="preserve">As mentioned in Supplementary Note 1, the unit costs of grain terminals are directly based on observed port construction projects at the ports of Varna (25 USD per tonnes), Yuzhny (21 USD per tonnes), Yanbu (22 USD per tonnes), </w:t>
      </w:r>
      <w:proofErr w:type="spellStart"/>
      <w:r>
        <w:t>Pivdenny</w:t>
      </w:r>
      <w:proofErr w:type="spellEnd"/>
      <w:r>
        <w:t xml:space="preserve"> (17 USD per tonnes) and </w:t>
      </w:r>
      <w:proofErr w:type="spellStart"/>
      <w:r>
        <w:t>Quequen</w:t>
      </w:r>
      <w:proofErr w:type="spellEnd"/>
      <w:r>
        <w:t xml:space="preserve"> (32.5 USD per tonnes).</w:t>
      </w:r>
    </w:p>
    <w:p w14:paraId="1F0AEF8F" w14:textId="5EE38BF8" w:rsidR="00321DFA" w:rsidRDefault="00321DFA" w:rsidP="008A4417"/>
    <w:p w14:paraId="5A7D864E" w14:textId="77777777" w:rsidR="00321DFA" w:rsidRDefault="00321DFA" w:rsidP="008A4417"/>
    <w:p w14:paraId="537A068C" w14:textId="77777777" w:rsidR="0007204B" w:rsidRPr="008A4417" w:rsidRDefault="0007204B" w:rsidP="008A4417">
      <w:pPr>
        <w:rPr>
          <w:rFonts w:eastAsia="Times New Roman"/>
          <w:lang w:eastAsia="en-GB"/>
        </w:rPr>
      </w:pPr>
    </w:p>
    <w:p w14:paraId="25869C9D" w14:textId="6AC7CD05" w:rsidR="008A4417" w:rsidRDefault="008A4417" w:rsidP="00C12D4D">
      <w:pPr>
        <w:spacing w:line="276" w:lineRule="auto"/>
        <w:jc w:val="both"/>
      </w:pPr>
    </w:p>
    <w:p w14:paraId="1C927470" w14:textId="77777777" w:rsidR="00C12D4D" w:rsidRDefault="00C12D4D" w:rsidP="00C12D4D">
      <w:pPr>
        <w:spacing w:line="276" w:lineRule="auto"/>
        <w:jc w:val="both"/>
      </w:pPr>
    </w:p>
    <w:p w14:paraId="3989B1FF" w14:textId="77777777" w:rsidR="00C12D4D" w:rsidRDefault="00C12D4D" w:rsidP="00C12D4D">
      <w:pPr>
        <w:spacing w:line="276" w:lineRule="auto"/>
        <w:jc w:val="both"/>
      </w:pPr>
    </w:p>
    <w:p w14:paraId="727E5E26" w14:textId="77777777" w:rsidR="00C12D4D" w:rsidRDefault="00C12D4D" w:rsidP="00C12D4D">
      <w:pPr>
        <w:spacing w:line="276" w:lineRule="auto"/>
        <w:jc w:val="both"/>
      </w:pPr>
    </w:p>
    <w:p w14:paraId="74EEC1D3" w14:textId="77777777" w:rsidR="00C12D4D" w:rsidRDefault="00C12D4D" w:rsidP="00C12D4D">
      <w:pPr>
        <w:spacing w:line="276" w:lineRule="auto"/>
        <w:jc w:val="both"/>
        <w:rPr>
          <w:b/>
          <w:bCs/>
        </w:rPr>
      </w:pPr>
    </w:p>
    <w:p w14:paraId="068EBCC2" w14:textId="77777777" w:rsidR="00C12D4D" w:rsidRDefault="00C12D4D" w:rsidP="00C12D4D">
      <w:pPr>
        <w:spacing w:line="276" w:lineRule="auto"/>
        <w:jc w:val="both"/>
        <w:rPr>
          <w:b/>
          <w:bCs/>
        </w:rPr>
      </w:pPr>
    </w:p>
    <w:p w14:paraId="2CEC10C1" w14:textId="77777777" w:rsidR="00C12D4D" w:rsidRDefault="00C12D4D" w:rsidP="00C12D4D">
      <w:pPr>
        <w:spacing w:line="276" w:lineRule="auto"/>
        <w:jc w:val="both"/>
        <w:rPr>
          <w:b/>
          <w:bCs/>
        </w:rPr>
      </w:pPr>
    </w:p>
    <w:p w14:paraId="774B9161" w14:textId="77777777" w:rsidR="00C12D4D" w:rsidRDefault="00C12D4D" w:rsidP="00C12D4D">
      <w:pPr>
        <w:spacing w:line="276" w:lineRule="auto"/>
        <w:jc w:val="both"/>
        <w:rPr>
          <w:b/>
          <w:bCs/>
        </w:rPr>
      </w:pPr>
    </w:p>
    <w:p w14:paraId="29152B34" w14:textId="77777777" w:rsidR="00C12D4D" w:rsidRDefault="00C12D4D" w:rsidP="00C12D4D">
      <w:pPr>
        <w:spacing w:line="276" w:lineRule="auto"/>
        <w:jc w:val="both"/>
        <w:rPr>
          <w:b/>
          <w:bCs/>
        </w:rPr>
      </w:pPr>
    </w:p>
    <w:p w14:paraId="1CF8603F" w14:textId="77777777" w:rsidR="00C12D4D" w:rsidRDefault="00C12D4D" w:rsidP="00C12D4D">
      <w:pPr>
        <w:spacing w:line="276" w:lineRule="auto"/>
        <w:jc w:val="both"/>
        <w:rPr>
          <w:b/>
          <w:bCs/>
        </w:rPr>
      </w:pPr>
    </w:p>
    <w:p w14:paraId="7F9115D1" w14:textId="77777777" w:rsidR="00C12D4D" w:rsidRPr="00C22A7C" w:rsidRDefault="00C12D4D" w:rsidP="00C12D4D">
      <w:pPr>
        <w:spacing w:line="276" w:lineRule="auto"/>
        <w:jc w:val="both"/>
        <w:rPr>
          <w:b/>
          <w:bCs/>
          <w:sz w:val="28"/>
          <w:szCs w:val="28"/>
        </w:rPr>
      </w:pPr>
      <w:r w:rsidRPr="00C22A7C">
        <w:rPr>
          <w:b/>
          <w:bCs/>
          <w:sz w:val="28"/>
          <w:szCs w:val="28"/>
        </w:rPr>
        <w:t>Supplementary Note 3:  Future climate change projections</w:t>
      </w:r>
    </w:p>
    <w:p w14:paraId="7BFEF752" w14:textId="77777777" w:rsidR="00C12D4D" w:rsidRPr="00581107" w:rsidRDefault="00C12D4D" w:rsidP="00C12D4D">
      <w:pPr>
        <w:spacing w:line="276" w:lineRule="auto"/>
        <w:jc w:val="both"/>
        <w:rPr>
          <w:b/>
          <w:bCs/>
        </w:rPr>
      </w:pPr>
    </w:p>
    <w:p w14:paraId="7F63037D" w14:textId="76B791B1" w:rsidR="00C12D4D" w:rsidRPr="00581107" w:rsidRDefault="00C12D4D" w:rsidP="00C12D4D">
      <w:pPr>
        <w:spacing w:line="276" w:lineRule="auto"/>
        <w:jc w:val="both"/>
      </w:pPr>
      <w:r w:rsidRPr="00581107">
        <w:t>We use different methodologies and data input to predict the changes in hazard</w:t>
      </w:r>
      <w:r w:rsidR="002C21A0">
        <w:t xml:space="preserve"> occurrence</w:t>
      </w:r>
      <w:r w:rsidRPr="00581107">
        <w:t xml:space="preserve"> under the t</w:t>
      </w:r>
      <w:r w:rsidR="004A3A4E">
        <w:t>hree</w:t>
      </w:r>
      <w:r w:rsidRPr="00581107">
        <w:t xml:space="preserve"> climate scenarios considered (RCP2.6</w:t>
      </w:r>
      <w:r w:rsidR="004A3A4E">
        <w:t xml:space="preserve">, RCP4.5, </w:t>
      </w:r>
      <w:r w:rsidRPr="00581107">
        <w:t>RCP8.5). The methodology for estimating present day climate risks is explained in previous work</w:t>
      </w:r>
      <w:r w:rsidR="002C21A0">
        <w:fldChar w:fldCharType="begin" w:fldLock="1"/>
      </w:r>
      <w:r w:rsidR="00B20DA8">
        <w:instrText>ADDIN CSL_CITATION {"citationItems":[{"id":"ITEM-1","itemData":{"DOI":"10.1038/s43247-022-00656-7","ISSN":"2662-4435","abstract":"Despite their economic importance, the risk that ports face from multiple natural hazards has not yet been monetised on a global scale. Here, we perform an asset-level risk analysis of global port infrastructure from multiple hazards, quantifying the risk to physical asset damages and logistics services (i.e. port-specific risk) and maritime trade flows at-risk (i.e. trade risk). We find that 86% majority of ports are exposed to more than three hazards. Globally, port-specific risk totals 7.5 USD bn per year, with 32% of the risk attributed to tropical cyclone impacts. In addition, 63.1 USD bn of trade is at-risk every year, with trade risk as a fraction of total trade being particularly high in Small Island Developing States. Our result underline that port resilience is determined by various critical factors, such as engineering standards, operational thresholds, recovery duration, that vary widely across ports, requiring tailored solutions to improve port resilience.","author":[{"dropping-particle":"","family":"Verschuur","given":"J.","non-dropping-particle":"","parse-names":false,"suffix":""},{"dropping-particle":"","family":"Koks","given":"E. E.","non-dropping-particle":"","parse-names":false,"suffix":""},{"dropping-particle":"","family":"Li","given":"S.","non-dropping-particle":"","parse-names":false,"suffix":""},{"dropping-particle":"","family":"Hall","given":"J.W.","non-dropping-particle":"","parse-names":false,"suffix":""}],"container-title":"Communications Earth &amp; Environment","id":"ITEM-1","issue":"1","issued":{"date-parts":[["2023","1","12"]]},"page":"5","title":"Multi-hazard risk to global port infrastructure and resulting trade and logistics losses","type":"article-journal","volume":"4"},"uris":["http://www.mendeley.com/documents/?uuid=731330bf-a49a-4dd3-9378-a7dd17f6d94f"]}],"mendeley":{"formattedCitation":"&lt;sup&gt;1&lt;/sup&gt;","plainTextFormattedCitation":"1","previouslyFormattedCitation":"&lt;sup&gt;1&lt;/sup&gt;"},"properties":{"noteIndex":0},"schema":"https://github.com/citation-style-language/schema/raw/master/csl-citation.json"}</w:instrText>
      </w:r>
      <w:r w:rsidR="002C21A0">
        <w:fldChar w:fldCharType="separate"/>
      </w:r>
      <w:r w:rsidR="00B20DA8" w:rsidRPr="00B20DA8">
        <w:rPr>
          <w:noProof/>
          <w:vertAlign w:val="superscript"/>
        </w:rPr>
        <w:t>1</w:t>
      </w:r>
      <w:r w:rsidR="002C21A0">
        <w:fldChar w:fldCharType="end"/>
      </w:r>
      <w:r w:rsidR="002C21A0">
        <w:t xml:space="preserve">. </w:t>
      </w:r>
      <w:r w:rsidRPr="00581107">
        <w:t xml:space="preserve">Earthquakes are assumed to be unrelated to climate change and will remain constant over time. </w:t>
      </w:r>
    </w:p>
    <w:p w14:paraId="1489D89C" w14:textId="77777777" w:rsidR="00C12D4D" w:rsidRPr="00581107" w:rsidRDefault="00C12D4D" w:rsidP="00C12D4D">
      <w:pPr>
        <w:spacing w:line="276" w:lineRule="auto"/>
        <w:jc w:val="both"/>
      </w:pPr>
    </w:p>
    <w:p w14:paraId="07479871" w14:textId="548A4B90" w:rsidR="00C12D4D" w:rsidRPr="00581107" w:rsidRDefault="00FC5BC0" w:rsidP="00C12D4D">
      <w:pPr>
        <w:spacing w:line="276" w:lineRule="auto"/>
        <w:jc w:val="both"/>
      </w:pPr>
      <w:r>
        <w:t xml:space="preserve">In short, </w:t>
      </w:r>
      <w:r w:rsidR="00C12D4D" w:rsidRPr="00581107">
        <w:t xml:space="preserve">tropical cyclone wind, we </w:t>
      </w:r>
      <w:r>
        <w:t>use the expected</w:t>
      </w:r>
      <w:r w:rsidR="00C12D4D" w:rsidRPr="00581107">
        <w:t xml:space="preserve"> change in extreme wind speed </w:t>
      </w:r>
      <w:r>
        <w:t>to derive</w:t>
      </w:r>
      <w:r w:rsidR="00C12D4D" w:rsidRPr="00581107">
        <w:t xml:space="preserve"> new risk estimates. For fluvial flooding, coastal flooding and fluvial flooding, we use climate change scaling factors (CC scaling factors), that capture how the present-day return period will change in the future (e.g. the current 1</w:t>
      </w:r>
      <w:r w:rsidR="00E07CFA">
        <w:t>-</w:t>
      </w:r>
      <w:r w:rsidR="00C12D4D" w:rsidRPr="00581107">
        <w:t>in</w:t>
      </w:r>
      <w:r w:rsidR="00E07CFA">
        <w:t>-</w:t>
      </w:r>
      <w:r w:rsidR="00C12D4D" w:rsidRPr="00581107">
        <w:t>100 year event will become a</w:t>
      </w:r>
      <w:r w:rsidR="00E07CFA">
        <w:t>n</w:t>
      </w:r>
      <w:r w:rsidR="00C12D4D" w:rsidRPr="00581107">
        <w:t xml:space="preserve"> 1</w:t>
      </w:r>
      <w:r w:rsidR="00E07CFA">
        <w:t>-</w:t>
      </w:r>
      <w:r w:rsidR="00C12D4D" w:rsidRPr="00581107">
        <w:t>in</w:t>
      </w:r>
      <w:r w:rsidR="00E07CFA">
        <w:t>-</w:t>
      </w:r>
      <w:r w:rsidR="00C12D4D" w:rsidRPr="00581107">
        <w:t xml:space="preserve">50 year event in the future). This allows us to re-run the risk calculations as </w:t>
      </w:r>
      <w:r w:rsidR="00EE09CE">
        <w:t>outlined</w:t>
      </w:r>
      <w:r w:rsidR="00C12D4D" w:rsidRPr="00581107">
        <w:t xml:space="preserve"> in</w:t>
      </w:r>
      <w:r w:rsidR="00EE09CE">
        <w:fldChar w:fldCharType="begin" w:fldLock="1"/>
      </w:r>
      <w:r w:rsidR="008B1E88">
        <w:instrText>ADDIN CSL_CITATION {"citationItems":[{"id":"ITEM-1","itemData":{"DOI":"10.1038/s43247-022-00656-7","ISSN":"2662-4435","abstract":"Despite their economic importance, the risk that ports face from multiple natural hazards has not yet been monetised on a global scale. Here, we perform an asset-level risk analysis of global port infrastructure from multiple hazards, quantifying the risk to physical asset damages and logistics services (i.e. port-specific risk) and maritime trade flows at-risk (i.e. trade risk). We find that 86% majority of ports are exposed to more than three hazards. Globally, port-specific risk totals 7.5 USD bn per year, with 32% of the risk attributed to tropical cyclone impacts. In addition, 63.1 USD bn of trade is at-risk every year, with trade risk as a fraction of total trade being particularly high in Small Island Developing States. Our result underline that port resilience is determined by various critical factors, such as engineering standards, operational thresholds, recovery duration, that vary widely across ports, requiring tailored solutions to improve port resilience.","author":[{"dropping-particle":"","family":"Verschuur","given":"J.","non-dropping-particle":"","parse-names":false,"suffix":""},{"dropping-particle":"","family":"Koks","given":"E. E.","non-dropping-particle":"","parse-names":false,"suffix":""},{"dropping-particle":"","family":"Li","given":"S.","non-dropping-particle":"","parse-names":false,"suffix":""},{"dropping-particle":"","family":"Hall","given":"J.W.","non-dropping-particle":"","parse-names":false,"suffix":""}],"container-title":"Communications Earth &amp; Environment","id":"ITEM-1","issue":"1","issued":{"date-parts":[["2023","1","12"]]},"page":"5","title":"Multi-hazard risk to global port infrastructure and resulting trade and logistics losses","type":"article-journal","volume":"4"},"uris":["http://www.mendeley.com/documents/?uuid=731330bf-a49a-4dd3-9378-a7dd17f6d94f"]}],"mendeley":{"formattedCitation":"&lt;sup&gt;1&lt;/sup&gt;","plainTextFormattedCitation":"1","previouslyFormattedCitation":"&lt;sup&gt;1&lt;/sup&gt;"},"properties":{"noteIndex":0},"schema":"https://github.com/citation-style-language/schema/raw/master/csl-citation.json"}</w:instrText>
      </w:r>
      <w:r w:rsidR="00EE09CE">
        <w:fldChar w:fldCharType="separate"/>
      </w:r>
      <w:r w:rsidR="00B20DA8" w:rsidRPr="00B20DA8">
        <w:rPr>
          <w:noProof/>
          <w:vertAlign w:val="superscript"/>
        </w:rPr>
        <w:t>1</w:t>
      </w:r>
      <w:r w:rsidR="00EE09CE">
        <w:fldChar w:fldCharType="end"/>
      </w:r>
      <w:r w:rsidR="00C12D4D" w:rsidRPr="00581107">
        <w:t xml:space="preserve">. </w:t>
      </w:r>
      <w:r w:rsidR="004A3A4E">
        <w:t>For the operational thresholds, we evaluate the</w:t>
      </w:r>
      <w:r w:rsidR="00B008C0">
        <w:t xml:space="preserve"> average yearly</w:t>
      </w:r>
      <w:r w:rsidR="004A3A4E">
        <w:t xml:space="preserve"> number of </w:t>
      </w:r>
      <w:r w:rsidR="00B008C0">
        <w:t xml:space="preserve">days that operations thresholds are </w:t>
      </w:r>
      <w:r w:rsidR="004A3A4E">
        <w:t>exceed</w:t>
      </w:r>
      <w:r w:rsidR="00B008C0">
        <w:t xml:space="preserve">ed. These thresholds are </w:t>
      </w:r>
      <w:r w:rsidR="004A3A4E">
        <w:t>specified in</w:t>
      </w:r>
      <w:r w:rsidR="00B008C0">
        <w:fldChar w:fldCharType="begin" w:fldLock="1"/>
      </w:r>
      <w:r w:rsidR="00B20DA8">
        <w:instrText>ADDIN CSL_CITATION {"citationItems":[{"id":"ITEM-1","itemData":{"DOI":"10.1038/s43247-022-00656-7","ISSN":"2662-4435","abstract":"Despite their economic importance, the risk that ports face from multiple natural hazards has not yet been monetised on a global scale. Here, we perform an asset-level risk analysis of global port infrastructure from multiple hazards, quantifying the risk to physical asset damages and logistics services (i.e. port-specific risk) and maritime trade flows at-risk (i.e. trade risk). We find that 86% majority of ports are exposed to more than three hazards. Globally, port-specific risk totals 7.5 USD bn per year, with 32% of the risk attributed to tropical cyclone impacts. In addition, 63.1 USD bn of trade is at-risk every year, with trade risk as a fraction of total trade being particularly high in Small Island Developing States. Our result underline that port resilience is determined by various critical factors, such as engineering standards, operational thresholds, recovery duration, that vary widely across ports, requiring tailored solutions to improve port resilience.","author":[{"dropping-particle":"","family":"Verschuur","given":"J.","non-dropping-particle":"","parse-names":false,"suffix":""},{"dropping-particle":"","family":"Koks","given":"E. E.","non-dropping-particle":"","parse-names":false,"suffix":""},{"dropping-particle":"","family":"Li","given":"S.","non-dropping-particle":"","parse-names":false,"suffix":""},{"dropping-particle":"","family":"Hall","given":"J.W.","non-dropping-particle":"","parse-names":false,"suffix":""}],"container-title":"Communications Earth &amp; Environment","id":"ITEM-1","issue":"1","issued":{"date-parts":[["2023","1","12"]]},"page":"5","title":"Multi-hazard risk to global port infrastructure and resulting trade and logistics losses","type":"article-journal","volume":"4"},"uris":["http://www.mendeley.com/documents/?uuid=731330bf-a49a-4dd3-9378-a7dd17f6d94f"]}],"mendeley":{"formattedCitation":"&lt;sup&gt;1&lt;/sup&gt;","plainTextFormattedCitation":"1","previouslyFormattedCitation":"&lt;sup&gt;1&lt;/sup&gt;"},"properties":{"noteIndex":0},"schema":"https://github.com/citation-style-language/schema/raw/master/csl-citation.json"}</w:instrText>
      </w:r>
      <w:r w:rsidR="00B008C0">
        <w:fldChar w:fldCharType="separate"/>
      </w:r>
      <w:r w:rsidR="00B20DA8" w:rsidRPr="00B20DA8">
        <w:rPr>
          <w:noProof/>
          <w:vertAlign w:val="superscript"/>
        </w:rPr>
        <w:t>1</w:t>
      </w:r>
      <w:r w:rsidR="00B008C0">
        <w:fldChar w:fldCharType="end"/>
      </w:r>
      <w:r w:rsidR="00B008C0">
        <w:t xml:space="preserve"> </w:t>
      </w:r>
      <w:r w:rsidR="004A3A4E">
        <w:t xml:space="preserve">for </w:t>
      </w:r>
      <w:r w:rsidR="00B008C0">
        <w:t xml:space="preserve">waves, </w:t>
      </w:r>
      <w:r w:rsidR="004A3A4E">
        <w:t>wind, overtopping and temperature. We do not evaluate change</w:t>
      </w:r>
      <w:r w:rsidR="00B05400">
        <w:t>s</w:t>
      </w:r>
      <w:r w:rsidR="004A3A4E">
        <w:t xml:space="preserve"> in </w:t>
      </w:r>
      <w:r w:rsidR="00B05400">
        <w:t xml:space="preserve">extreme </w:t>
      </w:r>
      <w:r w:rsidR="004A3A4E">
        <w:t xml:space="preserve">waves given that climate models are not able to capture wave dynamics properly, </w:t>
      </w:r>
      <w:r w:rsidR="00B05400">
        <w:t>alongside</w:t>
      </w:r>
      <w:r w:rsidR="005B6182">
        <w:t xml:space="preserve"> the large uncertainties associated with global wave projections</w:t>
      </w:r>
      <w:r w:rsidR="005B6182">
        <w:fldChar w:fldCharType="begin" w:fldLock="1"/>
      </w:r>
      <w:r w:rsidR="00545404">
        <w:instrText>ADDIN CSL_CITATION {"citationItems":[{"id":"ITEM-1","itemData":{"DOI":"10.1038/s41558-019-0542-5","ISSN":"17586798","abstract":"Understanding climate-driven impacts on the multivariate global wind-wave climate is paramount to effective offshore/coastal climate adaptation planning. However, the use of single-method ensembles and variations arising from different methodologies has resulted in unquantified uncertainty amongst existing global wave climate projections. Here, assessing the first coherent, community-driven, multi-method ensemble of global wave climate projections, we demonstrate widespread ocean regions with robust changes in annual mean significant wave height and mean wave period of 5–15% and shifts in mean wave direction of 5–15°, under a high-emission scenario. Approximately 50% of the world’s coastline is at risk from wave climate change, with ~40% revealing robust changes in at least two variables. Furthermore, we find that uncertainty in current projections is dominated by climate model-driven uncertainty, and that single-method modelling studies are unable to capture up to ~50% of the total associated uncertainty.","author":[{"dropping-particle":"","family":"Morim","given":"Joao","non-dropping-particle":"","parse-names":false,"suffix":""},{"dropping-particle":"","family":"Hemer","given":"Mark","non-dropping-particle":"","parse-names":false,"suffix":""},{"dropping-particle":"","family":"Wang","given":"Xiaolan L.","non-dropping-particle":"","parse-names":false,"suffix":""},{"dropping-particle":"","family":"Cartwright","given":"Nick","non-dropping-particle":"","parse-names":false,"suffix":""},{"dropping-particle":"","family":"Trenham","given":"Claire","non-dropping-particle":"","parse-names":false,"suffix":""},{"dropping-particle":"","family":"Semedo","given":"Alvaro","non-dropping-particle":"","parse-names":false,"suffix":""},{"dropping-particle":"","family":"Young","given":"Ian","non-dropping-particle":"","parse-names":false,"suffix":""},{"dropping-particle":"","family":"Bricheno","given":"Lucy","non-dropping-particle":"","parse-names":false,"suffix":""},{"dropping-particle":"","family":"Camus","given":"Paula","non-dropping-particle":"","parse-names":false,"suffix":""},{"dropping-particle":"","family":"Casas-Prat","given":"Mercè","non-dropping-particle":"","parse-names":false,"suffix":""},{"dropping-particle":"","family":"Erikson","given":"Li","non-dropping-particle":"","parse-names":false,"suffix":""},{"dropping-particle":"","family":"Mentaschi","given":"Lorenzo","non-dropping-particle":"","parse-names":false,"suffix":""},{"dropping-particle":"","family":"Mori","given":"Nobuhito","non-dropping-particle":"","parse-names":false,"suffix":""},{"dropping-particle":"","family":"Shimura","given":"Tomoya","non-dropping-particle":"","parse-names":false,"suffix":""},{"dropping-particle":"","family":"Timmermans","given":"Ben","non-dropping-particle":"","parse-names":false,"suffix":""},{"dropping-particle":"","family":"Aarnes","given":"Ole","non-dropping-particle":"","parse-names":false,"suffix":""},{"dropping-particle":"","family":"Breivik","given":"Øyvind","non-dropping-particle":"","parse-names":false,"suffix":""},{"dropping-particle":"","family":"Behrens","given":"Arno","non-dropping-particle":"","parse-names":false,"suffix":""},{"dropping-particle":"","family":"Dobrynin","given":"Mikhail","non-dropping-particle":"","parse-names":false,"suffix":""},{"dropping-particle":"","family":"Menendez","given":"Melisa","non-dropping-particle":"","parse-names":false,"suffix":""},{"dropping-particle":"","family":"Staneva","given":"Joanna","non-dropping-particle":"","parse-names":false,"suffix":""},{"dropping-particle":"","family":"Wehner","given":"Michael","non-dropping-particle":"","parse-names":false,"suffix":""},{"dropping-particle":"","family":"Wolf","given":"Judith","non-dropping-particle":"","parse-names":false,"suffix":""},{"dropping-particle":"","family":"Kamranzad","given":"Bahareh","non-dropping-particle":"","parse-names":false,"suffix":""},{"dropping-particle":"","family":"Webb","given":"Adrean","non-dropping-particle":"","parse-names":false,"suffix":""},{"dropping-particle":"","family":"Stopa","given":"Justin","non-dropping-particle":"","parse-names":false,"suffix":""},{"dropping-particle":"","family":"Andutta","given":"Fernando","non-dropping-particle":"","parse-names":false,"suffix":""}],"container-title":"Nature Climate Change","id":"ITEM-1","issue":"9","issued":{"date-parts":[["2019"]]},"page":"711-718","publisher":"Springer US","title":"Robustness and uncertainties in global multivariate wind-wave climate projections","type":"article-journal","volume":"9"},"uris":["http://www.mendeley.com/documents/?uuid=4a65a32b-f743-4bce-b078-755889ad774c"]}],"mendeley":{"formattedCitation":"&lt;sup&gt;16&lt;/sup&gt;","plainTextFormattedCitation":"16","previouslyFormattedCitation":"&lt;sup&gt;17&lt;/sup&gt;"},"properties":{"noteIndex":0},"schema":"https://github.com/citation-style-language/schema/raw/master/csl-citation.json"}</w:instrText>
      </w:r>
      <w:r w:rsidR="005B6182">
        <w:fldChar w:fldCharType="separate"/>
      </w:r>
      <w:r w:rsidR="00545404" w:rsidRPr="00545404">
        <w:rPr>
          <w:noProof/>
          <w:vertAlign w:val="superscript"/>
        </w:rPr>
        <w:t>16</w:t>
      </w:r>
      <w:r w:rsidR="005B6182">
        <w:fldChar w:fldCharType="end"/>
      </w:r>
      <w:r w:rsidR="005B6182">
        <w:t>.</w:t>
      </w:r>
    </w:p>
    <w:p w14:paraId="60AFCA44" w14:textId="77777777" w:rsidR="00C12D4D" w:rsidRPr="00581107" w:rsidRDefault="00C12D4D" w:rsidP="00C12D4D">
      <w:pPr>
        <w:spacing w:line="276" w:lineRule="auto"/>
        <w:jc w:val="both"/>
      </w:pPr>
    </w:p>
    <w:p w14:paraId="52EF7AC7" w14:textId="77777777" w:rsidR="00C12D4D" w:rsidRPr="00581107" w:rsidRDefault="00C12D4D" w:rsidP="00C12D4D">
      <w:pPr>
        <w:spacing w:line="276" w:lineRule="auto"/>
        <w:jc w:val="both"/>
        <w:rPr>
          <w:b/>
          <w:bCs/>
          <w:i/>
          <w:iCs/>
        </w:rPr>
      </w:pPr>
      <w:r w:rsidRPr="00581107">
        <w:rPr>
          <w:b/>
          <w:bCs/>
          <w:i/>
          <w:iCs/>
        </w:rPr>
        <w:t>Tropical cyclone wind</w:t>
      </w:r>
    </w:p>
    <w:p w14:paraId="48460999" w14:textId="46E7DF5D" w:rsidR="00C12D4D" w:rsidRPr="00581107" w:rsidRDefault="00C12D4D" w:rsidP="00C12D4D">
      <w:pPr>
        <w:spacing w:line="276" w:lineRule="auto"/>
        <w:jc w:val="both"/>
      </w:pPr>
      <w:r w:rsidRPr="00581107">
        <w:t>We use predicted extreme wind speed changes per cyclone basin from Knutson et al. (2020), and apply these percentage changes to the maximum wind speed for all return periods</w:t>
      </w:r>
      <w:r w:rsidR="00EB5B9B">
        <w:t xml:space="preserve"> derived previously</w:t>
      </w:r>
      <w:r w:rsidRPr="00581107">
        <w:t xml:space="preserve">. This does not take into consideration that the frequency of extremes might decrease in the future, as is predicted for some regions (Knutson et al. 2020), </w:t>
      </w:r>
      <w:r w:rsidR="009713E6">
        <w:t xml:space="preserve">as there is a lack of consistent information to include this effect.  </w:t>
      </w:r>
      <w:r w:rsidRPr="00581107">
        <w:t xml:space="preserve"> </w:t>
      </w:r>
    </w:p>
    <w:p w14:paraId="41EAFC3D" w14:textId="77777777" w:rsidR="00C12D4D" w:rsidRPr="00581107" w:rsidRDefault="00C12D4D" w:rsidP="00C12D4D">
      <w:pPr>
        <w:spacing w:line="276" w:lineRule="auto"/>
        <w:jc w:val="both"/>
      </w:pPr>
    </w:p>
    <w:p w14:paraId="6EDB78D7" w14:textId="77777777" w:rsidR="00C12D4D" w:rsidRPr="00581107" w:rsidRDefault="00C12D4D" w:rsidP="00C12D4D">
      <w:pPr>
        <w:spacing w:line="276" w:lineRule="auto"/>
        <w:jc w:val="both"/>
        <w:rPr>
          <w:b/>
          <w:bCs/>
          <w:i/>
          <w:iCs/>
        </w:rPr>
      </w:pPr>
      <w:r w:rsidRPr="00581107">
        <w:rPr>
          <w:b/>
          <w:bCs/>
          <w:i/>
          <w:iCs/>
        </w:rPr>
        <w:t>Pluvial flooding</w:t>
      </w:r>
    </w:p>
    <w:p w14:paraId="74B7B149" w14:textId="5C6C9411" w:rsidR="00C12D4D" w:rsidRPr="009B57B4" w:rsidRDefault="00C12D4D" w:rsidP="00C12D4D">
      <w:pPr>
        <w:spacing w:line="276" w:lineRule="auto"/>
        <w:jc w:val="both"/>
        <w:rPr>
          <w:color w:val="000000"/>
        </w:rPr>
      </w:pPr>
      <w:r>
        <w:t xml:space="preserve">The current pluvial flood hazard maps are based on global hydrological model output, which are provided by JBA </w:t>
      </w:r>
      <w:r w:rsidR="006E6698">
        <w:t>C</w:t>
      </w:r>
      <w:r>
        <w:t xml:space="preserve">onsulting for </w:t>
      </w:r>
      <w:r w:rsidR="006E6698">
        <w:t>six</w:t>
      </w:r>
      <w:r>
        <w:t xml:space="preserve"> return periods. Here, we use precipitation projections from CMIP6 models to scale the return periods of pluvial flooding. For every CMIP6 model considered </w:t>
      </w:r>
      <w:r w:rsidR="006E6698">
        <w:t>(22</w:t>
      </w:r>
      <w:r>
        <w:t xml:space="preserve"> in total), we evaluate per port the change in the extreme precipitation in the future (2035 – 2065</w:t>
      </w:r>
      <w:r w:rsidR="00FA353E">
        <w:t>, and 2070-2100</w:t>
      </w:r>
      <w:r>
        <w:t>) compared to the historical baseline (1979 – 2018).</w:t>
      </w:r>
      <w:r w:rsidR="00C73D62">
        <w:t xml:space="preserve"> To do this, we use a </w:t>
      </w:r>
      <w:r w:rsidR="00C73D62">
        <w:rPr>
          <w:color w:val="000000"/>
        </w:rPr>
        <w:t>p</w:t>
      </w:r>
      <w:r w:rsidR="00C73D62" w:rsidRPr="00C73D62">
        <w:rPr>
          <w:color w:val="000000"/>
        </w:rPr>
        <w:t xml:space="preserve">eak over </w:t>
      </w:r>
      <w:r w:rsidR="00C73D62">
        <w:rPr>
          <w:color w:val="000000"/>
        </w:rPr>
        <w:t>t</w:t>
      </w:r>
      <w:r w:rsidR="00C73D62" w:rsidRPr="00C73D62">
        <w:rPr>
          <w:color w:val="000000"/>
        </w:rPr>
        <w:t>hreshold procedure (considering the 95% quantile)</w:t>
      </w:r>
      <w:r w:rsidR="00C73D62">
        <w:rPr>
          <w:color w:val="000000"/>
        </w:rPr>
        <w:t xml:space="preserve"> to</w:t>
      </w:r>
      <w:r w:rsidR="00C73D62">
        <w:t xml:space="preserve"> </w:t>
      </w:r>
      <w:r w:rsidR="00C73D62" w:rsidRPr="00C73D62">
        <w:rPr>
          <w:color w:val="000000"/>
        </w:rPr>
        <w:t xml:space="preserve">cluster </w:t>
      </w:r>
      <w:r w:rsidR="00C73D62">
        <w:rPr>
          <w:color w:val="000000"/>
        </w:rPr>
        <w:t xml:space="preserve">extreme precipitation events. </w:t>
      </w:r>
      <w:r w:rsidR="00C73D62" w:rsidRPr="00C73D62">
        <w:rPr>
          <w:color w:val="000000"/>
        </w:rPr>
        <w:t xml:space="preserve">Consecutive exceedances are grouped into </w:t>
      </w:r>
      <w:r w:rsidR="00B62F52">
        <w:rPr>
          <w:color w:val="000000"/>
        </w:rPr>
        <w:t>a single event</w:t>
      </w:r>
      <w:r w:rsidR="008D7CCD">
        <w:rPr>
          <w:color w:val="000000"/>
        </w:rPr>
        <w:t xml:space="preserve"> to </w:t>
      </w:r>
      <w:r w:rsidR="005E6799">
        <w:rPr>
          <w:color w:val="000000"/>
        </w:rPr>
        <w:t xml:space="preserve">ensure independent events being identified. </w:t>
      </w:r>
      <w:r w:rsidR="00C73D62" w:rsidRPr="00C73D62">
        <w:rPr>
          <w:color w:val="000000"/>
        </w:rPr>
        <w:t>We consider the maximum rainfall intensity per event</w:t>
      </w:r>
      <w:r w:rsidR="0035721A">
        <w:rPr>
          <w:color w:val="000000"/>
        </w:rPr>
        <w:t xml:space="preserve"> and</w:t>
      </w:r>
      <w:r w:rsidR="00C73D62" w:rsidRPr="00C73D62">
        <w:rPr>
          <w:color w:val="000000"/>
        </w:rPr>
        <w:t xml:space="preserve"> fit a G</w:t>
      </w:r>
      <w:r w:rsidR="0035721A">
        <w:rPr>
          <w:color w:val="000000"/>
        </w:rPr>
        <w:t xml:space="preserve">eneralized Pareto </w:t>
      </w:r>
      <w:r w:rsidR="00C73D62" w:rsidRPr="00C73D62">
        <w:rPr>
          <w:color w:val="000000"/>
        </w:rPr>
        <w:t xml:space="preserve">function. Using the fitting parameters, we compute the expected intensity for </w:t>
      </w:r>
      <w:r w:rsidR="0098789C">
        <w:rPr>
          <w:color w:val="000000"/>
        </w:rPr>
        <w:t>a</w:t>
      </w:r>
      <w:r w:rsidR="00C73D62" w:rsidRPr="00C73D62">
        <w:rPr>
          <w:color w:val="000000"/>
        </w:rPr>
        <w:t xml:space="preserve"> specified return period</w:t>
      </w:r>
      <w:r w:rsidR="00A53042">
        <w:rPr>
          <w:color w:val="000000"/>
        </w:rPr>
        <w:t>, and derive the return-period scaling factors for each model, scenario and time frame.</w:t>
      </w:r>
      <w:r w:rsidR="00C73D62" w:rsidRPr="00C73D62">
        <w:rPr>
          <w:color w:val="000000"/>
        </w:rPr>
        <w:t xml:space="preserve"> We apply this procedure to all model-scenario combinations to compute the scaling factors.</w:t>
      </w:r>
      <w:r w:rsidR="004C33DB">
        <w:rPr>
          <w:color w:val="000000"/>
        </w:rPr>
        <w:t xml:space="preserve"> </w:t>
      </w:r>
      <w:r>
        <w:t xml:space="preserve">We use the multi-model median CC scaling factor per port to </w:t>
      </w:r>
      <w:r w:rsidR="006E6698">
        <w:t>derive the</w:t>
      </w:r>
      <w:r>
        <w:t xml:space="preserve"> new return periods. </w:t>
      </w:r>
    </w:p>
    <w:p w14:paraId="46192DFD" w14:textId="77777777" w:rsidR="00C12D4D" w:rsidRPr="00581107" w:rsidRDefault="00C12D4D" w:rsidP="00C12D4D">
      <w:pPr>
        <w:spacing w:line="276" w:lineRule="auto"/>
        <w:jc w:val="both"/>
      </w:pPr>
    </w:p>
    <w:p w14:paraId="4F060F1D" w14:textId="77777777" w:rsidR="00C12D4D" w:rsidRPr="00581107" w:rsidRDefault="00C12D4D" w:rsidP="00C12D4D">
      <w:pPr>
        <w:spacing w:line="276" w:lineRule="auto"/>
        <w:jc w:val="both"/>
        <w:rPr>
          <w:b/>
          <w:bCs/>
          <w:i/>
          <w:iCs/>
        </w:rPr>
      </w:pPr>
      <w:r w:rsidRPr="00581107">
        <w:rPr>
          <w:b/>
          <w:bCs/>
          <w:i/>
          <w:iCs/>
        </w:rPr>
        <w:t>Fluvial flooding</w:t>
      </w:r>
    </w:p>
    <w:p w14:paraId="367E9AF6" w14:textId="5FC54F2B" w:rsidR="00C12D4D" w:rsidRPr="00581107" w:rsidRDefault="00C12D4D" w:rsidP="00C12D4D">
      <w:pPr>
        <w:autoSpaceDE w:val="0"/>
        <w:autoSpaceDN w:val="0"/>
        <w:adjustRightInd w:val="0"/>
        <w:spacing w:line="276" w:lineRule="auto"/>
        <w:jc w:val="both"/>
      </w:pPr>
      <w:r w:rsidRPr="00581107">
        <w:lastRenderedPageBreak/>
        <w:t xml:space="preserve">The current fluvial flood hazard maps are based on global hydrological model output and a flood routing model, which are provided by JBA consulting for </w:t>
      </w:r>
      <w:r w:rsidR="00E659EE">
        <w:t>six</w:t>
      </w:r>
      <w:r w:rsidRPr="00581107">
        <w:t xml:space="preserve"> return periods. To derive the CC scaling factor, we use the discharge output of six hydrological models (Jules-W1, CLM45, H08, LPJML, </w:t>
      </w:r>
      <w:proofErr w:type="spellStart"/>
      <w:r w:rsidRPr="00581107">
        <w:t>Orchidee</w:t>
      </w:r>
      <w:proofErr w:type="spellEnd"/>
      <w:r w:rsidRPr="00581107">
        <w:t>, Watergap2) that are forced by four climate models (GFDL-ESM2M, HadGEM2-ES, IPSL-CM5a-LR, MIROC5)</w:t>
      </w:r>
      <w:r w:rsidR="00720826">
        <w:t>, as</w:t>
      </w:r>
      <w:r w:rsidRPr="00581107">
        <w:t xml:space="preserve"> included in the ‘Inter-Sectoral Impact Model Inter-comparison Project (ISIMIP2a)’. Please refer to earlier work for details and model evaluation</w:t>
      </w:r>
      <w:r w:rsidRPr="00581107">
        <w:fldChar w:fldCharType="begin" w:fldLock="1"/>
      </w:r>
      <w:r w:rsidR="00545404">
        <w:instrText>ADDIN CSL_CITATION {"citationItems":[{"id":"ITEM-1","itemData":{"DOI":"10.1088/1748-9326/aac547","ISSN":"17489326","abstract":"Global-scale hydrological models are routinely used to assess water scarcity, flood hazards and droughts worldwide. Recent efforts to incorporate anthropogenic activities in these models have enabled more realistic comparisons with observations. Here we evaluate simulations from an ensemble of six models participating in the second phase of the Inter-Sectoral Impact Model Inter-comparison Project (ISIMIP2a). We simulate monthly runoff in 40 catchments, spatially distributed across eight global hydrobelts. The performance of each model and the ensemble mean is examined with respect to their ability to replicate observed mean and extreme runoff under human-influenced conditions. Application of a novel integrated evaluation metric to quantify the models' ability to simulate timeseries of monthly runoff suggests that the models generally perform better in the wetter equatorial and northern hydrobelts than in drier southern hydrobelts. When model outputs are temporally aggregated to assess mean annual and extreme runoff, the models perform better. Nevertheless, we find a general trend in the majority of models towards the overestimation of mean annual runoff and all indicators of upper and lower extreme runoff. The models struggle to capture the timing of the seasonal cycle, particularly in northern hydrobelts, while in southern hydrobelts the models struggle to reproduce the magnitude of the seasonal cycle. It is noteworthy that over all hydrological indicators, the ensemble mean fails to perform better than any individual model - a finding that challenges the commonly held perception that model ensemble estimates deliver superior performance over individual models. The study highlights the need for continued model development and improvement. It also suggests that caution should be taken when summarising the simulations from a model ensemble based upon its mean output.","author":[{"dropping-particle":"","family":"Zaherpour","given":"Jamal","non-dropping-particle":"","parse-names":false,"suffix":""},{"dropping-particle":"","family":"Gosling","given":"Simon N.","non-dropping-particle":"","parse-names":false,"suffix":""},{"dropping-particle":"","family":"Mount","given":"Nick","non-dropping-particle":"","parse-names":false,"suffix":""},{"dropping-particle":"","family":"Schmied","given":"Hannes Müller","non-dropping-particle":"","parse-names":false,"suffix":""},{"dropping-particle":"","family":"Veldkamp","given":"Ted I.E.","non-dropping-particle":"","parse-names":false,"suffix":""},{"dropping-particle":"","family":"Dankers","given":"Rutger","non-dropping-particle":"","parse-names":false,"suffix":""},{"dropping-particle":"","family":"Eisner","given":"Stephanie","non-dropping-particle":"","parse-names":false,"suffix":""},{"dropping-particle":"","family":"Gerten","given":"Dieter","non-dropping-particle":"","parse-names":false,"suffix":""},{"dropping-particle":"","family":"Gudmundsson","given":"Lukas","non-dropping-particle":"","parse-names":false,"suffix":""},{"dropping-particle":"","family":"Haddeland","given":"Ingjerd","non-dropping-particle":"","parse-names":false,"suffix":""},{"dropping-particle":"","family":"Hanasaki","given":"Naota","non-dropping-particle":"","parse-names":false,"suffix":""},{"dropping-particle":"","family":"Kim","given":"Hyungjun","non-dropping-particle":"","parse-names":false,"suffix":""},{"dropping-particle":"","family":"Leng","given":"Guoyong","non-dropping-particle":"","parse-names":false,"suffix":""},{"dropping-particle":"","family":"Liu","given":"Junguo","non-dropping-particle":"","parse-names":false,"suffix":""},{"dropping-particle":"","family":"Masaki","given":"Yoshimitsu","non-dropping-particle":"","parse-names":false,"suffix":""},{"dropping-particle":"","family":"Oki","given":"Taikan","non-dropping-particle":"","parse-names":false,"suffix":""},{"dropping-particle":"","family":"Pokhrel","given":"Yadu","non-dropping-particle":"","parse-names":false,"suffix":""},{"dropping-particle":"","family":"Satoh","given":"Yusuke","non-dropping-particle":"","parse-names":false,"suffix":""},{"dropping-particle":"","family":"Schewe","given":"Jacob","non-dropping-particle":"","parse-names":false,"suffix":""},{"dropping-particle":"","family":"Wada","given":"Yoshihide","non-dropping-particle":"","parse-names":false,"suffix":""}],"container-title":"Environmental Research Letters","id":"ITEM-1","issue":"6","issued":{"date-parts":[["2018"]]},"title":"Worldwide evaluation of mean and extreme runoff from six global-scale hydrological models that account for human impacts","type":"article-journal","volume":"13"},"uris":["http://www.mendeley.com/documents/?uuid=2aad9102-6c47-4c43-91fe-52be6aca9527"]},{"id":"ITEM-2","itemData":{"DOI":"10.1088/1748-9326/aa9938","ISSN":"17489326","abstract":"Climate change impacts on water availability and hydrological extremes are major concerns as regards the Sustainable Development Goals. Impacts on hydrology are normally investigated as part of a modelling chain, in which climate projections from multiple climate models are used as inputs to multiple impact models, under different greenhouse gas emissions scenarios, which result in different amounts of global temperature rise. While the goal is generally to investigate the relevance of changes in climate for the water cycle, water resources or hydrological extremes, it is often the case that variations in other components of the model chain obscure the effect of climate scenario variation. This is particularly important when assessing the impacts of relatively lower magnitudes of global warming, such as those associated with the aspirational goals of the Paris Agreement. In our study, we use ANOVA (analyses of variance) to allocate and quantify the main sources of uncertainty in the hydrological impact modelling chain. In turn we determine the statistical significance of different sources of uncertainty. We achieve this by using a set of five climate models and up to 13 hydrological models, for nine large scale river basins across the globe, under four emissions scenarios. The impact variable we consider in our analysis is daily river discharge. We analyze overall water availability and flow regime, including seasonality, high flows and low flows. Scaling effects are investigated by separately looking at discharge generated by global and regional hydrological models respectively. Finally, we compare our results with other recently published studies. We find that small differences in global temperature rise associated with some emissions scenarios have mostly significant impacts on river discharge-however, climate model related uncertainty is so large that it obscures the sensitivity of the hydrological system.","author":[{"dropping-particle":"","family":"Hattermann","given":"F. F.","non-dropping-particle":"","parse-names":false,"suffix":""},{"dropping-particle":"","family":"Vetter","given":"T.","non-dropping-particle":"","parse-names":false,"suffix":""},{"dropping-particle":"","family":"Breuer","given":"L.","non-dropping-particle":"","parse-names":false,"suffix":""},{"dropping-particle":"","family":"Su","given":"Buda","non-dropping-particle":"","parse-names":false,"suffix":""},{"dropping-particle":"","family":"Daggupati","given":"P.","non-dropping-particle":"","parse-names":false,"suffix":""},{"dropping-particle":"","family":"Donnelly","given":"C.","non-dropping-particle":"","parse-names":false,"suffix":""},{"dropping-particle":"","family":"Fekete","given":"B.","non-dropping-particle":"","parse-names":false,"suffix":""},{"dropping-particle":"","family":"Florke","given":"F.","non-dropping-particle":"","parse-names":false,"suffix":""},{"dropping-particle":"","family":"Gosling","given":"S. N.","non-dropping-particle":"","parse-names":false,"suffix":""},{"dropping-particle":"","family":"Hoffmann","given":"P.","non-dropping-particle":"","parse-names":false,"suffix":""},{"dropping-particle":"","family":"Liersch","given":"S.","non-dropping-particle":"","parse-names":false,"suffix":""},{"dropping-particle":"","family":"Masaki","given":"Y.","non-dropping-particle":"","parse-names":false,"suffix":""},{"dropping-particle":"","family":"Motovilov","given":"Y.","non-dropping-particle":"","parse-names":false,"suffix":""},{"dropping-particle":"","family":"Muller","given":"C.","non-dropping-particle":"","parse-names":false,"suffix":""},{"dropping-particle":"","family":"Samaniego","given":"L.","non-dropping-particle":"","parse-names":false,"suffix":""},{"dropping-particle":"","family":"Stacke","given":"T.","non-dropping-particle":"","parse-names":false,"suffix":""},{"dropping-particle":"","family":"Wada","given":"Y.","non-dropping-particle":"","parse-names":false,"suffix":""},{"dropping-particle":"","family":"Yang","given":"T.","non-dropping-particle":"","parse-names":false,"suffix":""},{"dropping-particle":"","family":"Krysnaova","given":"V.","non-dropping-particle":"","parse-names":false,"suffix":""}],"container-title":"Environmental Research Letters","id":"ITEM-2","issue":"1","issued":{"date-parts":[["2018"]]},"title":"Sources of uncertainty in hydrological climate impact assessment: A cross-scale study","type":"article-journal","volume":"13"},"uris":["http://www.mendeley.com/documents/?uuid=6aafe7d4-858a-4046-9e2d-79727fd6ff31"]}],"mendeley":{"formattedCitation":"&lt;sup&gt;17,18&lt;/sup&gt;","plainTextFormattedCitation":"17,18","previouslyFormattedCitation":"&lt;sup&gt;18,19&lt;/sup&gt;"},"properties":{"noteIndex":0},"schema":"https://github.com/citation-style-language/schema/raw/master/csl-citation.json"}</w:instrText>
      </w:r>
      <w:r w:rsidRPr="00581107">
        <w:fldChar w:fldCharType="separate"/>
      </w:r>
      <w:r w:rsidR="00545404" w:rsidRPr="00545404">
        <w:rPr>
          <w:noProof/>
          <w:vertAlign w:val="superscript"/>
        </w:rPr>
        <w:t>17,18</w:t>
      </w:r>
      <w:r w:rsidRPr="00581107">
        <w:fldChar w:fldCharType="end"/>
      </w:r>
      <w:r w:rsidRPr="00581107">
        <w:t>. We compare historical discharge time series (1981-20</w:t>
      </w:r>
      <w:r w:rsidR="00576018">
        <w:t>20</w:t>
      </w:r>
      <w:r w:rsidRPr="00581107">
        <w:t>) with future time series (203</w:t>
      </w:r>
      <w:r w:rsidR="00EF6D71">
        <w:t>5</w:t>
      </w:r>
      <w:r w:rsidRPr="00581107">
        <w:t>-206</w:t>
      </w:r>
      <w:r w:rsidR="00EF6D71">
        <w:t>5 and 2070-</w:t>
      </w:r>
      <w:r w:rsidR="00637CCE">
        <w:t>2100</w:t>
      </w:r>
      <w:r w:rsidRPr="00581107">
        <w:t xml:space="preserve">) at every port and estimate the </w:t>
      </w:r>
      <w:r w:rsidR="00102735">
        <w:t>CC scaling factors</w:t>
      </w:r>
      <w:r w:rsidRPr="00581107">
        <w:t xml:space="preserve"> by extracting the monthly maxima and fitting a Gumbel distribution to </w:t>
      </w:r>
      <w:r w:rsidR="0020640F">
        <w:t>both the present and future time series</w:t>
      </w:r>
      <w:r w:rsidRPr="00581107">
        <w:t xml:space="preserve">. We use the multi-model median CC scaling factor per port to </w:t>
      </w:r>
      <w:r w:rsidR="001821A3">
        <w:t>derive</w:t>
      </w:r>
      <w:r w:rsidRPr="00581107">
        <w:t xml:space="preserve"> the new return periods. </w:t>
      </w:r>
    </w:p>
    <w:p w14:paraId="320B9786" w14:textId="77777777" w:rsidR="00C12D4D" w:rsidRPr="00581107" w:rsidRDefault="00C12D4D" w:rsidP="00C12D4D">
      <w:pPr>
        <w:autoSpaceDE w:val="0"/>
        <w:autoSpaceDN w:val="0"/>
        <w:adjustRightInd w:val="0"/>
        <w:spacing w:line="276" w:lineRule="auto"/>
        <w:jc w:val="both"/>
      </w:pPr>
    </w:p>
    <w:p w14:paraId="01C0C673" w14:textId="77777777" w:rsidR="00C12D4D" w:rsidRPr="00581107" w:rsidRDefault="00C12D4D" w:rsidP="00C12D4D">
      <w:pPr>
        <w:spacing w:line="276" w:lineRule="auto"/>
        <w:jc w:val="both"/>
        <w:rPr>
          <w:b/>
          <w:bCs/>
          <w:i/>
          <w:iCs/>
        </w:rPr>
      </w:pPr>
      <w:r w:rsidRPr="00581107">
        <w:rPr>
          <w:b/>
          <w:bCs/>
          <w:i/>
          <w:iCs/>
        </w:rPr>
        <w:t>Coastal flooding</w:t>
      </w:r>
    </w:p>
    <w:p w14:paraId="5B89EA4A" w14:textId="23B918EF" w:rsidR="00C12D4D" w:rsidRDefault="00C12D4D" w:rsidP="00C12D4D">
      <w:pPr>
        <w:spacing w:line="276" w:lineRule="auto"/>
        <w:jc w:val="both"/>
      </w:pPr>
      <w:r w:rsidRPr="00581107">
        <w:t xml:space="preserve">Coastal flood risk is </w:t>
      </w:r>
      <w:r w:rsidR="005305B4">
        <w:t>estimated by</w:t>
      </w:r>
      <w:r w:rsidRPr="00581107">
        <w:t xml:space="preserve"> the construction </w:t>
      </w:r>
      <w:r w:rsidR="005305B4">
        <w:t xml:space="preserve">a number of return periods </w:t>
      </w:r>
      <w:r w:rsidRPr="00581107">
        <w:t xml:space="preserve">of an extreme water level (EWL) time series at every port and overlaying the EWL with a global digital elevation model for </w:t>
      </w:r>
      <w:r w:rsidR="005305B4">
        <w:t>these</w:t>
      </w:r>
      <w:r w:rsidRPr="00581107">
        <w:t xml:space="preserve"> number of return periods</w:t>
      </w:r>
      <w:r w:rsidR="005305B4">
        <w:t xml:space="preserve"> (see </w:t>
      </w:r>
      <w:r w:rsidR="005305B4">
        <w:fldChar w:fldCharType="begin" w:fldLock="1"/>
      </w:r>
      <w:r w:rsidR="00545404">
        <w:instrText>ADDIN CSL_CITATION {"citationItems":[{"id":"ITEM-1","itemData":{"DOI":"10.1038/s43247-022-00656-7","ISSN":"2662-4435","abstract":"Despite their economic importance, the risk that ports face from multiple natural hazards has not yet been monetised on a global scale. Here, we perform an asset-level risk analysis of global port infrastructure from multiple hazards, quantifying the risk to physical asset damages and logistics services (i.e. port-specific risk) and maritime trade flows at-risk (i.e. trade risk). We find that 86% majority of ports are exposed to more than three hazards. Globally, port-specific risk totals 7.5 USD bn per year, with 32% of the risk attributed to tropical cyclone impacts. In addition, 63.1 USD bn of trade is at-risk every year, with trade risk as a fraction of total trade being particularly high in Small Island Developing States. Our result underline that port resilience is determined by various critical factors, such as engineering standards, operational thresholds, recovery duration, that vary widely across ports, requiring tailored solutions to improve port resilience.","author":[{"dropping-particle":"","family":"Verschuur","given":"J.","non-dropping-particle":"","parse-names":false,"suffix":""},{"dropping-particle":"","family":"Koks","given":"E. E.","non-dropping-particle":"","parse-names":false,"suffix":""},{"dropping-particle":"","family":"Li","given":"S.","non-dropping-particle":"","parse-names":false,"suffix":""},{"dropping-particle":"","family":"Hall","given":"J.W.","non-dropping-particle":"","parse-names":false,"suffix":""}],"container-title":"Communications Earth &amp; Environment","id":"ITEM-1","issue":"1","issued":{"date-parts":[["2023","1","12"]]},"page":"5","title":"Multi-hazard risk to global port infrastructure and resulting trade and logistics losses","type":"article-journal","volume":"4"},"uris":["http://www.mendeley.com/documents/?uuid=731330bf-a49a-4dd3-9378-a7dd17f6d94f"]}],"mendeley":{"formattedCitation":"&lt;sup&gt;1&lt;/sup&gt;","plainTextFormattedCitation":"1","previouslyFormattedCitation":"&lt;sup&gt;1&lt;/sup&gt;"},"properties":{"noteIndex":0},"schema":"https://github.com/citation-style-language/schema/raw/master/csl-citation.json"}</w:instrText>
      </w:r>
      <w:r w:rsidR="005305B4">
        <w:fldChar w:fldCharType="separate"/>
      </w:r>
      <w:r w:rsidR="008B1E88" w:rsidRPr="008B1E88">
        <w:rPr>
          <w:noProof/>
          <w:vertAlign w:val="superscript"/>
        </w:rPr>
        <w:t>1</w:t>
      </w:r>
      <w:r w:rsidR="005305B4">
        <w:fldChar w:fldCharType="end"/>
      </w:r>
      <w:r w:rsidR="005305B4">
        <w:t xml:space="preserve"> for details)</w:t>
      </w:r>
      <w:r w:rsidRPr="00581107">
        <w:t xml:space="preserve">. Here, we use sea-level rise projections from Jackson and </w:t>
      </w:r>
      <w:proofErr w:type="spellStart"/>
      <w:r w:rsidRPr="00581107">
        <w:t>Jevrejeva</w:t>
      </w:r>
      <w:proofErr w:type="spellEnd"/>
      <w:r w:rsidRPr="00581107">
        <w:t xml:space="preserve"> (2016)</w:t>
      </w:r>
      <w:r w:rsidR="006F3BF5">
        <w:fldChar w:fldCharType="begin" w:fldLock="1"/>
      </w:r>
      <w:r w:rsidR="00545404">
        <w:instrText>ADDIN CSL_CITATION {"citationItems":[{"id":"ITEM-1","itemData":{"author":[{"dropping-particle":"","family":"Jackson","given":"L P","non-dropping-particle":"","parse-names":false,"suffix":""},{"dropping-particle":"","family":"Jevrejeva","given":"S","non-dropping-particle":"","parse-names":false,"suffix":""}],"container-title":"Global and Planetary Changes","id":"ITEM-1","issued":{"date-parts":[["2016"]]},"page":"179-189","title":"A probabilistic approach to 21st century regional sea-level projections using RCP and High-end scenarios","type":"article-journal","volume":"146"},"uris":["http://www.mendeley.com/documents/?uuid=f701d95f-8eb8-4490-a744-9c50e6cc2de9"]}],"mendeley":{"formattedCitation":"&lt;sup&gt;19&lt;/sup&gt;","plainTextFormattedCitation":"19","previouslyFormattedCitation":"&lt;sup&gt;20&lt;/sup&gt;"},"properties":{"noteIndex":0},"schema":"https://github.com/citation-style-language/schema/raw/master/csl-citation.json"}</w:instrText>
      </w:r>
      <w:r w:rsidR="006F3BF5">
        <w:fldChar w:fldCharType="separate"/>
      </w:r>
      <w:r w:rsidR="00545404" w:rsidRPr="00545404">
        <w:rPr>
          <w:noProof/>
          <w:vertAlign w:val="superscript"/>
        </w:rPr>
        <w:t>19</w:t>
      </w:r>
      <w:r w:rsidR="006F3BF5">
        <w:fldChar w:fldCharType="end"/>
      </w:r>
      <w:r w:rsidRPr="00581107">
        <w:t xml:space="preserve"> </w:t>
      </w:r>
      <w:r w:rsidR="00EF7271">
        <w:t>to create future EWL time series</w:t>
      </w:r>
      <w:r w:rsidRPr="00581107">
        <w:t>. The sea-level rise projection</w:t>
      </w:r>
      <w:r w:rsidR="00726717">
        <w:t>s</w:t>
      </w:r>
      <w:r w:rsidRPr="00581107">
        <w:t xml:space="preserve"> predict the regional sea-level rise changes for </w:t>
      </w:r>
      <w:r w:rsidR="00726717">
        <w:t>in the future</w:t>
      </w:r>
      <w:r w:rsidRPr="00581107">
        <w:t xml:space="preserve"> compared to the historical period (1986 – 2005)</w:t>
      </w:r>
      <w:r w:rsidR="00726717">
        <w:t>. We</w:t>
      </w:r>
      <w:r w:rsidR="00CC0548">
        <w:t xml:space="preserve"> </w:t>
      </w:r>
      <w:r w:rsidR="00726717">
        <w:t>first</w:t>
      </w:r>
      <w:r w:rsidR="00CC0548">
        <w:t xml:space="preserve"> correct the projections </w:t>
      </w:r>
      <w:r w:rsidR="00726717">
        <w:t xml:space="preserve">such that </w:t>
      </w:r>
      <w:r w:rsidR="00CC0548">
        <w:t xml:space="preserve">2015 </w:t>
      </w:r>
      <w:r w:rsidR="00726717">
        <w:t>is the</w:t>
      </w:r>
      <w:r w:rsidR="00CC0548">
        <w:t xml:space="preserve"> base year</w:t>
      </w:r>
      <w:r w:rsidR="00726717">
        <w:t xml:space="preserve">, and </w:t>
      </w:r>
      <w:r w:rsidRPr="00581107">
        <w:t xml:space="preserve">fit a GEV to the historical and future </w:t>
      </w:r>
      <w:r w:rsidR="00FA0A95">
        <w:t xml:space="preserve">time series to </w:t>
      </w:r>
      <w:r w:rsidRPr="00581107">
        <w:t>analyse the change in occurrence of the EWL</w:t>
      </w:r>
      <w:r w:rsidR="00FA0A95">
        <w:t>s and derive the CC scaling factors.</w:t>
      </w:r>
    </w:p>
    <w:p w14:paraId="2B71FBE4" w14:textId="2D78BFFB" w:rsidR="00CA55FE" w:rsidRDefault="00CA55FE" w:rsidP="00C12D4D">
      <w:pPr>
        <w:spacing w:line="276" w:lineRule="auto"/>
        <w:jc w:val="both"/>
      </w:pPr>
    </w:p>
    <w:p w14:paraId="0C69D621" w14:textId="3AB919B5" w:rsidR="00CA55FE" w:rsidRPr="00CA55FE" w:rsidRDefault="00CA55FE" w:rsidP="00C12D4D">
      <w:pPr>
        <w:spacing w:line="276" w:lineRule="auto"/>
        <w:jc w:val="both"/>
        <w:rPr>
          <w:b/>
          <w:bCs/>
          <w:i/>
          <w:iCs/>
        </w:rPr>
      </w:pPr>
      <w:r w:rsidRPr="00CA55FE">
        <w:rPr>
          <w:b/>
          <w:bCs/>
          <w:i/>
          <w:iCs/>
        </w:rPr>
        <w:t>Operational thresholds</w:t>
      </w:r>
    </w:p>
    <w:p w14:paraId="54EE01C9" w14:textId="46DD0A7F" w:rsidR="00C12D4D" w:rsidRPr="00581107" w:rsidRDefault="00EC7315" w:rsidP="00C12D4D">
      <w:pPr>
        <w:spacing w:line="276" w:lineRule="auto"/>
        <w:jc w:val="both"/>
      </w:pPr>
      <w:r>
        <w:t xml:space="preserve">The baseline exceedance of wind, </w:t>
      </w:r>
      <w:r w:rsidR="00D77588">
        <w:t xml:space="preserve">waves, </w:t>
      </w:r>
      <w:r>
        <w:t>overtopping and temperature are based on ERA5 reanalysis data. To pro</w:t>
      </w:r>
      <w:r w:rsidR="00D77588">
        <w:t>ject</w:t>
      </w:r>
      <w:r>
        <w:t xml:space="preserve"> th</w:t>
      </w:r>
      <w:r w:rsidR="00C025F3">
        <w:t xml:space="preserve">e operational </w:t>
      </w:r>
      <w:r w:rsidR="00D5695F">
        <w:t>exceedances</w:t>
      </w:r>
      <w:r w:rsidR="00C025F3">
        <w:t xml:space="preserve"> of wind and temperature</w:t>
      </w:r>
      <w:r>
        <w:t xml:space="preserve"> into the future, we </w:t>
      </w:r>
      <w:r w:rsidR="00BF1282">
        <w:t>derive, per port,</w:t>
      </w:r>
      <w:r>
        <w:t xml:space="preserve"> </w:t>
      </w:r>
      <w:r w:rsidR="00BF1282">
        <w:t>the</w:t>
      </w:r>
      <w:r>
        <w:t xml:space="preserve"> quantile the threshold corresponds </w:t>
      </w:r>
      <w:r w:rsidR="00BF1282">
        <w:t>in the reanalysis data</w:t>
      </w:r>
      <w:r>
        <w:t xml:space="preserve"> and use the</w:t>
      </w:r>
      <w:r w:rsidR="006421A8">
        <w:t xml:space="preserve"> </w:t>
      </w:r>
      <w:r w:rsidR="00BF1282">
        <w:t>22</w:t>
      </w:r>
      <w:r>
        <w:t xml:space="preserve"> CMIP6 climate models to project the changes in the exceedance of this quantile in the future (2035 – 2065</w:t>
      </w:r>
      <w:r w:rsidR="00643612">
        <w:t xml:space="preserve"> and 2070 - 2100</w:t>
      </w:r>
      <w:r>
        <w:t xml:space="preserve">). </w:t>
      </w:r>
      <w:r w:rsidR="006421A8">
        <w:t>We</w:t>
      </w:r>
      <w:r w:rsidR="00E74D06">
        <w:t xml:space="preserve"> use the change in threshold exceedance </w:t>
      </w:r>
      <w:r w:rsidR="00C025F3">
        <w:t>to estimate the future downtime risk</w:t>
      </w:r>
      <w:r w:rsidR="00F862E7">
        <w:t xml:space="preserve"> (average expected number of days per year)</w:t>
      </w:r>
      <w:r w:rsidR="00C025F3">
        <w:t xml:space="preserve">. </w:t>
      </w:r>
      <w:r w:rsidR="0053666D">
        <w:t>To derive future</w:t>
      </w:r>
      <w:r w:rsidR="00F350CE">
        <w:t xml:space="preserve"> overtopping</w:t>
      </w:r>
      <w:r w:rsidR="0053666D">
        <w:t xml:space="preserve"> exceedance</w:t>
      </w:r>
      <w:r w:rsidR="00F350CE">
        <w:t xml:space="preserve">, we </w:t>
      </w:r>
      <w:r w:rsidR="008333EB">
        <w:t>apply sea-level rise scenario</w:t>
      </w:r>
      <w:r w:rsidR="00D70719">
        <w:t>s</w:t>
      </w:r>
      <w:r w:rsidR="008333EB">
        <w:t xml:space="preserve"> for 2050</w:t>
      </w:r>
      <w:r w:rsidR="009B41A6">
        <w:t xml:space="preserve"> and 2100</w:t>
      </w:r>
      <w:r w:rsidR="008333EB">
        <w:t xml:space="preserve"> based on </w:t>
      </w:r>
      <w:r w:rsidR="008333EB" w:rsidRPr="00581107">
        <w:t xml:space="preserve">Jackson and </w:t>
      </w:r>
      <w:proofErr w:type="spellStart"/>
      <w:r w:rsidR="008333EB" w:rsidRPr="00581107">
        <w:t>Jevrejeva</w:t>
      </w:r>
      <w:proofErr w:type="spellEnd"/>
      <w:r w:rsidR="008333EB" w:rsidRPr="00581107">
        <w:t xml:space="preserve"> (2016)</w:t>
      </w:r>
      <w:r w:rsidR="008333EB">
        <w:fldChar w:fldCharType="begin" w:fldLock="1"/>
      </w:r>
      <w:r w:rsidR="00545404">
        <w:instrText>ADDIN CSL_CITATION {"citationItems":[{"id":"ITEM-1","itemData":{"author":[{"dropping-particle":"","family":"Jackson","given":"L P","non-dropping-particle":"","parse-names":false,"suffix":""},{"dropping-particle":"","family":"Jevrejeva","given":"S","non-dropping-particle":"","parse-names":false,"suffix":""}],"container-title":"Global and Planetary Changes","id":"ITEM-1","issued":{"date-parts":[["2016"]]},"page":"179-189","title":"A probabilistic approach to 21st century regional sea-level projections using RCP and High-end scenarios","type":"article-journal","volume":"146"},"uris":["http://www.mendeley.com/documents/?uuid=f701d95f-8eb8-4490-a744-9c50e6cc2de9"]}],"mendeley":{"formattedCitation":"&lt;sup&gt;19&lt;/sup&gt;","plainTextFormattedCitation":"19","previouslyFormattedCitation":"&lt;sup&gt;20&lt;/sup&gt;"},"properties":{"noteIndex":0},"schema":"https://github.com/citation-style-language/schema/raw/master/csl-citation.json"}</w:instrText>
      </w:r>
      <w:r w:rsidR="008333EB">
        <w:fldChar w:fldCharType="separate"/>
      </w:r>
      <w:r w:rsidR="00545404" w:rsidRPr="00545404">
        <w:rPr>
          <w:noProof/>
          <w:vertAlign w:val="superscript"/>
        </w:rPr>
        <w:t>19</w:t>
      </w:r>
      <w:r w:rsidR="008333EB">
        <w:fldChar w:fldCharType="end"/>
      </w:r>
      <w:r w:rsidR="008333EB">
        <w:t xml:space="preserve"> to the modelled present-day overtopping discharges</w:t>
      </w:r>
      <w:r w:rsidR="00D70719">
        <w:t xml:space="preserve"> (which changes the storm surge in front of the breakwater or </w:t>
      </w:r>
      <w:r w:rsidR="00D70449">
        <w:t xml:space="preserve">quay </w:t>
      </w:r>
      <w:r w:rsidR="00D70719">
        <w:t xml:space="preserve">wall), </w:t>
      </w:r>
      <w:r w:rsidR="008333EB">
        <w:t xml:space="preserve">and re-evaluate the number of times the overtopping discharges exceed the operational threshold set. </w:t>
      </w:r>
    </w:p>
    <w:p w14:paraId="5A477BA6" w14:textId="326ADCB6" w:rsidR="00C12D4D" w:rsidRDefault="00C12D4D" w:rsidP="00C12D4D">
      <w:pPr>
        <w:spacing w:line="276" w:lineRule="auto"/>
        <w:jc w:val="both"/>
        <w:rPr>
          <w:b/>
          <w:bCs/>
        </w:rPr>
      </w:pPr>
    </w:p>
    <w:p w14:paraId="48A20F41" w14:textId="192E435C" w:rsidR="00022A44" w:rsidRDefault="00022A44" w:rsidP="00C12D4D">
      <w:pPr>
        <w:spacing w:line="276" w:lineRule="auto"/>
        <w:jc w:val="both"/>
        <w:rPr>
          <w:b/>
          <w:bCs/>
        </w:rPr>
      </w:pPr>
    </w:p>
    <w:p w14:paraId="1EDAE25C" w14:textId="6F13FA83" w:rsidR="00022A44" w:rsidRDefault="00022A44" w:rsidP="00C12D4D">
      <w:pPr>
        <w:spacing w:line="276" w:lineRule="auto"/>
        <w:jc w:val="both"/>
        <w:rPr>
          <w:b/>
          <w:bCs/>
        </w:rPr>
      </w:pPr>
    </w:p>
    <w:p w14:paraId="6C7E68C6" w14:textId="4FB56E57" w:rsidR="00022A44" w:rsidRDefault="00022A44" w:rsidP="00C12D4D">
      <w:pPr>
        <w:spacing w:line="276" w:lineRule="auto"/>
        <w:jc w:val="both"/>
        <w:rPr>
          <w:b/>
          <w:bCs/>
        </w:rPr>
      </w:pPr>
    </w:p>
    <w:p w14:paraId="7E56D4B8" w14:textId="3AFC38C5" w:rsidR="00022A44" w:rsidRDefault="00022A44" w:rsidP="00C12D4D">
      <w:pPr>
        <w:spacing w:line="276" w:lineRule="auto"/>
        <w:jc w:val="both"/>
        <w:rPr>
          <w:b/>
          <w:bCs/>
        </w:rPr>
      </w:pPr>
    </w:p>
    <w:p w14:paraId="791A9E3A" w14:textId="316975E8" w:rsidR="00022A44" w:rsidRDefault="00022A44" w:rsidP="00C12D4D">
      <w:pPr>
        <w:spacing w:line="276" w:lineRule="auto"/>
        <w:jc w:val="both"/>
        <w:rPr>
          <w:b/>
          <w:bCs/>
        </w:rPr>
      </w:pPr>
    </w:p>
    <w:p w14:paraId="35DD19BA" w14:textId="78B75826" w:rsidR="00022A44" w:rsidRDefault="00022A44" w:rsidP="00C12D4D">
      <w:pPr>
        <w:spacing w:line="276" w:lineRule="auto"/>
        <w:jc w:val="both"/>
        <w:rPr>
          <w:b/>
          <w:bCs/>
        </w:rPr>
      </w:pPr>
    </w:p>
    <w:p w14:paraId="2CBDB386" w14:textId="55B1DAD3" w:rsidR="00022A44" w:rsidRDefault="00022A44" w:rsidP="00C12D4D">
      <w:pPr>
        <w:spacing w:line="276" w:lineRule="auto"/>
        <w:jc w:val="both"/>
        <w:rPr>
          <w:b/>
          <w:bCs/>
        </w:rPr>
      </w:pPr>
    </w:p>
    <w:p w14:paraId="2324AF70" w14:textId="39E6A748" w:rsidR="00022A44" w:rsidRDefault="00022A44" w:rsidP="00C12D4D">
      <w:pPr>
        <w:spacing w:line="276" w:lineRule="auto"/>
        <w:jc w:val="both"/>
        <w:rPr>
          <w:b/>
          <w:bCs/>
        </w:rPr>
      </w:pPr>
    </w:p>
    <w:p w14:paraId="60AC4D1F" w14:textId="5ECD690A" w:rsidR="00022A44" w:rsidRDefault="00022A44" w:rsidP="00C12D4D">
      <w:pPr>
        <w:spacing w:line="276" w:lineRule="auto"/>
        <w:jc w:val="both"/>
        <w:rPr>
          <w:b/>
          <w:bCs/>
        </w:rPr>
      </w:pPr>
    </w:p>
    <w:p w14:paraId="09439242" w14:textId="2AF4D67A" w:rsidR="00022A44" w:rsidRDefault="00022A44" w:rsidP="00C12D4D">
      <w:pPr>
        <w:spacing w:line="276" w:lineRule="auto"/>
        <w:jc w:val="both"/>
        <w:rPr>
          <w:b/>
          <w:bCs/>
        </w:rPr>
      </w:pPr>
    </w:p>
    <w:p w14:paraId="0DD4D1B4" w14:textId="73D24100" w:rsidR="00022A44" w:rsidRDefault="00022A44" w:rsidP="00C12D4D">
      <w:pPr>
        <w:spacing w:line="276" w:lineRule="auto"/>
        <w:jc w:val="both"/>
        <w:rPr>
          <w:b/>
          <w:bCs/>
        </w:rPr>
      </w:pPr>
    </w:p>
    <w:p w14:paraId="641488D2" w14:textId="17261C51" w:rsidR="00022A44" w:rsidRDefault="00022A44" w:rsidP="00C12D4D">
      <w:pPr>
        <w:spacing w:line="276" w:lineRule="auto"/>
        <w:jc w:val="both"/>
        <w:rPr>
          <w:b/>
          <w:bCs/>
        </w:rPr>
      </w:pPr>
    </w:p>
    <w:p w14:paraId="2C190706" w14:textId="51AFB184" w:rsidR="00022A44" w:rsidRDefault="00022A44" w:rsidP="00C12D4D">
      <w:pPr>
        <w:spacing w:line="276" w:lineRule="auto"/>
        <w:jc w:val="both"/>
        <w:rPr>
          <w:b/>
          <w:bCs/>
        </w:rPr>
      </w:pPr>
    </w:p>
    <w:p w14:paraId="61C59FE1" w14:textId="38E35E56" w:rsidR="00C12D4D" w:rsidRPr="00C22A7C" w:rsidRDefault="00C12D4D" w:rsidP="00C12D4D">
      <w:pPr>
        <w:spacing w:line="276" w:lineRule="auto"/>
        <w:jc w:val="both"/>
        <w:rPr>
          <w:b/>
          <w:bCs/>
          <w:sz w:val="28"/>
          <w:szCs w:val="28"/>
        </w:rPr>
      </w:pPr>
      <w:r w:rsidRPr="00C22A7C">
        <w:rPr>
          <w:b/>
          <w:bCs/>
          <w:sz w:val="28"/>
          <w:szCs w:val="28"/>
        </w:rPr>
        <w:t>Supplementary Fig</w:t>
      </w:r>
      <w:r w:rsidR="002A532E" w:rsidRPr="00C22A7C">
        <w:rPr>
          <w:b/>
          <w:bCs/>
          <w:sz w:val="28"/>
          <w:szCs w:val="28"/>
        </w:rPr>
        <w:t>ures</w:t>
      </w:r>
    </w:p>
    <w:p w14:paraId="05A6CDBB" w14:textId="5A6415F0" w:rsidR="00301753" w:rsidRDefault="00301753" w:rsidP="00C12D4D">
      <w:pPr>
        <w:spacing w:line="276" w:lineRule="auto"/>
        <w:jc w:val="both"/>
        <w:rPr>
          <w:b/>
          <w:bCs/>
        </w:rPr>
      </w:pPr>
    </w:p>
    <w:p w14:paraId="4CAA82D9" w14:textId="77777777" w:rsidR="00301753" w:rsidRPr="00581107" w:rsidRDefault="00301753" w:rsidP="00C12D4D">
      <w:pPr>
        <w:spacing w:line="276" w:lineRule="auto"/>
        <w:jc w:val="both"/>
        <w:rPr>
          <w:b/>
          <w:bCs/>
        </w:rPr>
      </w:pPr>
    </w:p>
    <w:p w14:paraId="320EED32" w14:textId="2C384003" w:rsidR="00C12D4D" w:rsidRDefault="005D589D" w:rsidP="00301753">
      <w:pPr>
        <w:spacing w:line="276" w:lineRule="auto"/>
        <w:jc w:val="both"/>
        <w:rPr>
          <w:b/>
          <w:bCs/>
        </w:rPr>
      </w:pPr>
      <w:r>
        <w:rPr>
          <w:b/>
          <w:bCs/>
          <w:noProof/>
        </w:rPr>
        <w:drawing>
          <wp:inline distT="0" distB="0" distL="0" distR="0" wp14:anchorId="04FC6E23" wp14:editId="3EEB28C4">
            <wp:extent cx="5636029" cy="3678453"/>
            <wp:effectExtent l="0" t="0" r="3175" b="5080"/>
            <wp:docPr id="3" name="Picture 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bar chart&#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667625" cy="3699075"/>
                    </a:xfrm>
                    <a:prstGeom prst="rect">
                      <a:avLst/>
                    </a:prstGeom>
                  </pic:spPr>
                </pic:pic>
              </a:graphicData>
            </a:graphic>
          </wp:inline>
        </w:drawing>
      </w:r>
    </w:p>
    <w:p w14:paraId="01AE5E6D" w14:textId="72332AA1" w:rsidR="00C12D4D" w:rsidRDefault="00C12D4D" w:rsidP="00C12D4D">
      <w:pPr>
        <w:spacing w:line="276" w:lineRule="auto"/>
        <w:jc w:val="both"/>
        <w:rPr>
          <w:b/>
          <w:bCs/>
        </w:rPr>
      </w:pPr>
      <w:r>
        <w:rPr>
          <w:b/>
          <w:bCs/>
        </w:rPr>
        <w:t>Supplementary Fig. 1</w:t>
      </w:r>
      <w:r w:rsidR="001A0BDC">
        <w:rPr>
          <w:b/>
          <w:bCs/>
        </w:rPr>
        <w:t xml:space="preserve">. Throughput growth per continent. </w:t>
      </w:r>
      <w:r w:rsidR="001A0BDC" w:rsidRPr="001A0BDC">
        <w:t>Change in global throughput in 2050 compared to the 2015 per continent and trade scenario.</w:t>
      </w:r>
      <w:r w:rsidR="001A0BDC">
        <w:rPr>
          <w:b/>
          <w:bCs/>
        </w:rPr>
        <w:t xml:space="preserve"> </w:t>
      </w:r>
    </w:p>
    <w:p w14:paraId="7F77CC5F" w14:textId="0438D587" w:rsidR="00C12D4D" w:rsidRDefault="00C12D4D" w:rsidP="00402165">
      <w:pPr>
        <w:rPr>
          <w:b/>
          <w:bCs/>
        </w:rPr>
      </w:pPr>
    </w:p>
    <w:p w14:paraId="31E85A70" w14:textId="77777777" w:rsidR="00C12D4D" w:rsidRDefault="00C12D4D" w:rsidP="00C12D4D">
      <w:pPr>
        <w:rPr>
          <w:b/>
          <w:bCs/>
        </w:rPr>
      </w:pPr>
      <w:r>
        <w:rPr>
          <w:b/>
          <w:bCs/>
        </w:rPr>
        <w:br w:type="page"/>
      </w:r>
    </w:p>
    <w:p w14:paraId="39E25354" w14:textId="66AC166F" w:rsidR="00C12D4D" w:rsidRDefault="006D6A3A" w:rsidP="00C12D4D">
      <w:pPr>
        <w:spacing w:line="276" w:lineRule="auto"/>
        <w:jc w:val="both"/>
        <w:rPr>
          <w:b/>
          <w:bCs/>
        </w:rPr>
      </w:pPr>
      <w:r>
        <w:rPr>
          <w:b/>
          <w:bCs/>
          <w:noProof/>
        </w:rPr>
        <w:lastRenderedPageBreak/>
        <w:drawing>
          <wp:inline distT="0" distB="0" distL="0" distR="0" wp14:anchorId="279BAD4B" wp14:editId="1A7A7B9B">
            <wp:extent cx="5760720" cy="5534660"/>
            <wp:effectExtent l="0" t="0" r="5080" b="254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760720" cy="5534660"/>
                    </a:xfrm>
                    <a:prstGeom prst="rect">
                      <a:avLst/>
                    </a:prstGeom>
                  </pic:spPr>
                </pic:pic>
              </a:graphicData>
            </a:graphic>
          </wp:inline>
        </w:drawing>
      </w:r>
    </w:p>
    <w:p w14:paraId="72E57F41" w14:textId="77777777" w:rsidR="0048528C" w:rsidRDefault="0048528C" w:rsidP="00C12D4D">
      <w:pPr>
        <w:spacing w:line="276" w:lineRule="auto"/>
        <w:jc w:val="both"/>
        <w:rPr>
          <w:b/>
          <w:bCs/>
        </w:rPr>
      </w:pPr>
    </w:p>
    <w:p w14:paraId="3AA392C9" w14:textId="29E066E4" w:rsidR="00C12D4D" w:rsidRDefault="00C12D4D" w:rsidP="00C12D4D">
      <w:pPr>
        <w:spacing w:line="276" w:lineRule="auto"/>
        <w:jc w:val="both"/>
        <w:rPr>
          <w:b/>
          <w:bCs/>
        </w:rPr>
      </w:pPr>
      <w:r>
        <w:rPr>
          <w:b/>
          <w:bCs/>
        </w:rPr>
        <w:t xml:space="preserve">Supplementary Fig. </w:t>
      </w:r>
      <w:r w:rsidR="0026457A">
        <w:rPr>
          <w:b/>
          <w:bCs/>
        </w:rPr>
        <w:t>2.</w:t>
      </w:r>
      <w:r w:rsidR="009F4B69">
        <w:rPr>
          <w:b/>
          <w:bCs/>
        </w:rPr>
        <w:t xml:space="preserve"> Highest and lowest throughput scenario per port. </w:t>
      </w:r>
      <w:r w:rsidR="009F4B69" w:rsidRPr="009F4B69">
        <w:t xml:space="preserve">Overview of the trade scenario that cause the lowest port throughput (a) and the highest port throughput (b). </w:t>
      </w:r>
    </w:p>
    <w:p w14:paraId="15EEE592" w14:textId="77777777" w:rsidR="005D589D" w:rsidRDefault="005D589D" w:rsidP="00C12D4D">
      <w:pPr>
        <w:spacing w:line="276" w:lineRule="auto"/>
        <w:jc w:val="both"/>
        <w:rPr>
          <w:b/>
          <w:bCs/>
        </w:rPr>
      </w:pPr>
    </w:p>
    <w:p w14:paraId="3042F79F" w14:textId="77777777" w:rsidR="00C12D4D" w:rsidRDefault="00C12D4D" w:rsidP="00C12D4D">
      <w:pPr>
        <w:spacing w:line="276" w:lineRule="auto"/>
        <w:jc w:val="both"/>
        <w:rPr>
          <w:b/>
          <w:bCs/>
        </w:rPr>
      </w:pPr>
      <w:r>
        <w:rPr>
          <w:b/>
          <w:bCs/>
        </w:rPr>
        <w:br w:type="page"/>
      </w:r>
    </w:p>
    <w:p w14:paraId="2D750E58" w14:textId="50249168" w:rsidR="005D589D" w:rsidRDefault="00F839B9" w:rsidP="00971155">
      <w:pPr>
        <w:spacing w:line="276" w:lineRule="auto"/>
        <w:jc w:val="center"/>
        <w:rPr>
          <w:b/>
          <w:bCs/>
        </w:rPr>
      </w:pPr>
      <w:r>
        <w:rPr>
          <w:b/>
          <w:bCs/>
          <w:noProof/>
        </w:rPr>
        <w:lastRenderedPageBreak/>
        <w:drawing>
          <wp:inline distT="0" distB="0" distL="0" distR="0" wp14:anchorId="234E10C6" wp14:editId="43E41752">
            <wp:extent cx="5287617" cy="5969890"/>
            <wp:effectExtent l="0" t="0" r="0" b="0"/>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301208" cy="5985234"/>
                    </a:xfrm>
                    <a:prstGeom prst="rect">
                      <a:avLst/>
                    </a:prstGeom>
                  </pic:spPr>
                </pic:pic>
              </a:graphicData>
            </a:graphic>
          </wp:inline>
        </w:drawing>
      </w:r>
    </w:p>
    <w:p w14:paraId="3205A61D" w14:textId="3204FB6E" w:rsidR="005D589D" w:rsidRDefault="005D589D" w:rsidP="005D589D">
      <w:pPr>
        <w:spacing w:line="276" w:lineRule="auto"/>
        <w:jc w:val="both"/>
        <w:rPr>
          <w:b/>
          <w:bCs/>
        </w:rPr>
      </w:pPr>
      <w:r>
        <w:rPr>
          <w:b/>
          <w:bCs/>
        </w:rPr>
        <w:t xml:space="preserve">Supplementary Fig. </w:t>
      </w:r>
      <w:r w:rsidR="0026457A">
        <w:rPr>
          <w:b/>
          <w:bCs/>
        </w:rPr>
        <w:t>3</w:t>
      </w:r>
      <w:r w:rsidR="00F839B9">
        <w:rPr>
          <w:b/>
          <w:bCs/>
        </w:rPr>
        <w:t xml:space="preserve">. </w:t>
      </w:r>
      <w:r w:rsidR="00012B08">
        <w:rPr>
          <w:b/>
          <w:bCs/>
        </w:rPr>
        <w:t xml:space="preserve">Likelihood of negative and fast throughput change. </w:t>
      </w:r>
      <w:r w:rsidR="00012B08" w:rsidRPr="00012B08">
        <w:t xml:space="preserve">The fraction of scenarios (out of 14) that indicate a negative throughput change per port (a) and a fast throughput growth, defined as a change of &gt;300% (b). </w:t>
      </w:r>
    </w:p>
    <w:p w14:paraId="66A07D33" w14:textId="022E006D" w:rsidR="005D589D" w:rsidRDefault="005D589D" w:rsidP="005D589D">
      <w:pPr>
        <w:rPr>
          <w:b/>
          <w:bCs/>
        </w:rPr>
      </w:pPr>
      <w:r>
        <w:rPr>
          <w:b/>
          <w:bCs/>
        </w:rPr>
        <w:br w:type="page"/>
      </w:r>
    </w:p>
    <w:p w14:paraId="5E552B7B" w14:textId="66DF9738" w:rsidR="00C12D4D" w:rsidRDefault="00012B08" w:rsidP="00012B08">
      <w:pPr>
        <w:rPr>
          <w:b/>
          <w:bCs/>
        </w:rPr>
      </w:pPr>
      <w:r>
        <w:rPr>
          <w:b/>
          <w:bCs/>
          <w:noProof/>
        </w:rPr>
        <w:lastRenderedPageBreak/>
        <w:drawing>
          <wp:inline distT="0" distB="0" distL="0" distR="0" wp14:anchorId="1755354F" wp14:editId="6FE704C1">
            <wp:extent cx="5760720" cy="2898140"/>
            <wp:effectExtent l="0" t="0" r="5080" b="0"/>
            <wp:docPr id="6" name="Picture 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bar char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760720" cy="2898140"/>
                    </a:xfrm>
                    <a:prstGeom prst="rect">
                      <a:avLst/>
                    </a:prstGeom>
                  </pic:spPr>
                </pic:pic>
              </a:graphicData>
            </a:graphic>
          </wp:inline>
        </w:drawing>
      </w:r>
    </w:p>
    <w:p w14:paraId="0471F6F6" w14:textId="78E3F73C" w:rsidR="00C12D4D" w:rsidRDefault="00C12D4D" w:rsidP="00C12D4D">
      <w:pPr>
        <w:spacing w:line="276" w:lineRule="auto"/>
        <w:jc w:val="both"/>
        <w:rPr>
          <w:b/>
          <w:bCs/>
        </w:rPr>
      </w:pPr>
      <w:r>
        <w:rPr>
          <w:b/>
          <w:bCs/>
        </w:rPr>
        <w:t xml:space="preserve">Supplementary Fig. </w:t>
      </w:r>
      <w:r w:rsidR="0026457A">
        <w:rPr>
          <w:b/>
          <w:bCs/>
        </w:rPr>
        <w:t>4</w:t>
      </w:r>
      <w:r w:rsidR="00012B08">
        <w:rPr>
          <w:b/>
          <w:bCs/>
        </w:rPr>
        <w:t>. Port area requirement for new port expansions.</w:t>
      </w:r>
      <w:r w:rsidR="00012B08" w:rsidRPr="00632269">
        <w:t xml:space="preserve"> (a) The global area requirement for new port expansions to meet throughput demand for 2050, disaggregated by the terminal type. </w:t>
      </w:r>
      <w:r w:rsidR="00632269" w:rsidRPr="00632269">
        <w:t>The uncertainty bar show the 10 to 90</w:t>
      </w:r>
      <w:r w:rsidR="00632269" w:rsidRPr="00632269">
        <w:rPr>
          <w:vertAlign w:val="superscript"/>
        </w:rPr>
        <w:t>th</w:t>
      </w:r>
      <w:r w:rsidR="00632269" w:rsidRPr="00632269">
        <w:t xml:space="preserve"> percentile confidence interval based on the Monte Carlo analysis (Methods).</w:t>
      </w:r>
      <w:r w:rsidR="00632269">
        <w:t xml:space="preserve"> </w:t>
      </w:r>
      <w:r w:rsidR="009B3301">
        <w:t xml:space="preserve">(b) </w:t>
      </w:r>
      <w:r w:rsidR="009B3301" w:rsidRPr="00F31A1D">
        <w:t xml:space="preserve">The relative </w:t>
      </w:r>
      <w:r w:rsidR="009B3301">
        <w:t>contribution</w:t>
      </w:r>
      <w:r w:rsidR="009B3301" w:rsidRPr="00F31A1D">
        <w:t xml:space="preserve"> </w:t>
      </w:r>
      <w:r w:rsidR="009B3301">
        <w:t xml:space="preserve">of the five </w:t>
      </w:r>
      <w:r w:rsidR="009B3301" w:rsidRPr="00F31A1D">
        <w:t>terminal type</w:t>
      </w:r>
      <w:r w:rsidR="009B3301">
        <w:t xml:space="preserve">s to the area requirement. </w:t>
      </w:r>
    </w:p>
    <w:p w14:paraId="231BF6B6" w14:textId="77777777" w:rsidR="00C12D4D" w:rsidRDefault="00C12D4D" w:rsidP="00C12D4D">
      <w:pPr>
        <w:spacing w:line="276" w:lineRule="auto"/>
        <w:jc w:val="both"/>
        <w:rPr>
          <w:b/>
          <w:bCs/>
        </w:rPr>
      </w:pPr>
    </w:p>
    <w:p w14:paraId="02D47891" w14:textId="77777777" w:rsidR="00C12D4D" w:rsidRDefault="00C12D4D" w:rsidP="00C12D4D">
      <w:pPr>
        <w:spacing w:line="276" w:lineRule="auto"/>
        <w:jc w:val="both"/>
        <w:rPr>
          <w:b/>
          <w:bCs/>
        </w:rPr>
      </w:pPr>
    </w:p>
    <w:p w14:paraId="3BC8A7FE" w14:textId="34A09633" w:rsidR="00C12D4D" w:rsidRDefault="00C12D4D" w:rsidP="00C12D4D">
      <w:pPr>
        <w:spacing w:line="276" w:lineRule="auto"/>
        <w:jc w:val="both"/>
        <w:rPr>
          <w:b/>
          <w:bCs/>
        </w:rPr>
      </w:pPr>
    </w:p>
    <w:p w14:paraId="1BE1884D" w14:textId="77777777" w:rsidR="00C12D4D" w:rsidRDefault="00C12D4D" w:rsidP="00C12D4D">
      <w:pPr>
        <w:spacing w:line="276" w:lineRule="auto"/>
        <w:jc w:val="both"/>
        <w:rPr>
          <w:b/>
          <w:bCs/>
        </w:rPr>
      </w:pPr>
    </w:p>
    <w:p w14:paraId="53C92A23" w14:textId="740D36CD" w:rsidR="00C12D4D" w:rsidRDefault="00C12D4D" w:rsidP="003A4032">
      <w:pPr>
        <w:rPr>
          <w:b/>
          <w:bCs/>
        </w:rPr>
      </w:pPr>
      <w:r>
        <w:rPr>
          <w:b/>
          <w:bCs/>
        </w:rPr>
        <w:br w:type="page"/>
      </w:r>
    </w:p>
    <w:p w14:paraId="2FF0BE45" w14:textId="4742651E" w:rsidR="00B23643" w:rsidRDefault="00744D96" w:rsidP="00B23643">
      <w:pPr>
        <w:spacing w:line="276" w:lineRule="auto"/>
        <w:jc w:val="both"/>
      </w:pPr>
      <w:r>
        <w:rPr>
          <w:b/>
          <w:bCs/>
          <w:noProof/>
        </w:rPr>
        <w:lastRenderedPageBreak/>
        <w:drawing>
          <wp:inline distT="0" distB="0" distL="0" distR="0" wp14:anchorId="6916F6F4" wp14:editId="224DD1D9">
            <wp:extent cx="5760720" cy="2140585"/>
            <wp:effectExtent l="0" t="0" r="5080" b="5715"/>
            <wp:docPr id="1311523436"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523436" name="Picture 1" descr="A graph of different colored lines&#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2140585"/>
                    </a:xfrm>
                    <a:prstGeom prst="rect">
                      <a:avLst/>
                    </a:prstGeom>
                  </pic:spPr>
                </pic:pic>
              </a:graphicData>
            </a:graphic>
          </wp:inline>
        </w:drawing>
      </w:r>
      <w:r w:rsidR="00B23643">
        <w:rPr>
          <w:b/>
          <w:bCs/>
        </w:rPr>
        <w:t>Supplementary Fig. 5. Investment needs per income group.</w:t>
      </w:r>
      <w:r w:rsidR="00B23643" w:rsidRPr="00632269">
        <w:t xml:space="preserve"> </w:t>
      </w:r>
      <w:r w:rsidR="002E44E7" w:rsidRPr="002E44E7">
        <w:t>(</w:t>
      </w:r>
      <w:r w:rsidR="002E44E7">
        <w:t>a</w:t>
      </w:r>
      <w:r w:rsidR="002E44E7" w:rsidRPr="002E44E7">
        <w:t xml:space="preserve">) The annual average investments needs in USD billion for the period 2015 to 2050 aggregated  per income group per trade scenario. </w:t>
      </w:r>
      <w:r w:rsidR="005D15E3" w:rsidRPr="005D15E3">
        <w:t>(</w:t>
      </w:r>
      <w:r w:rsidR="002E44E7">
        <w:t>b</w:t>
      </w:r>
      <w:r w:rsidR="005D15E3" w:rsidRPr="005D15E3">
        <w:t>) The annual average investments needs as fraction of Gross Domestic Product (GDP) for the period 2015 to 2050 aggregated  per income group per trade scenario</w:t>
      </w:r>
      <w:r w:rsidR="005D15E3">
        <w:t xml:space="preserve">. </w:t>
      </w:r>
    </w:p>
    <w:p w14:paraId="2EE0CA2F" w14:textId="77777777" w:rsidR="00E07355" w:rsidRDefault="00E07355" w:rsidP="00B23643">
      <w:pPr>
        <w:spacing w:line="276" w:lineRule="auto"/>
        <w:jc w:val="both"/>
      </w:pPr>
    </w:p>
    <w:p w14:paraId="121F1DDA" w14:textId="77777777" w:rsidR="00E07355" w:rsidRDefault="00E07355" w:rsidP="00B23643">
      <w:pPr>
        <w:spacing w:line="276" w:lineRule="auto"/>
        <w:jc w:val="both"/>
      </w:pPr>
    </w:p>
    <w:p w14:paraId="63438E4D" w14:textId="77777777" w:rsidR="00E07355" w:rsidRDefault="00E07355" w:rsidP="00B23643">
      <w:pPr>
        <w:spacing w:line="276" w:lineRule="auto"/>
        <w:jc w:val="both"/>
      </w:pPr>
    </w:p>
    <w:p w14:paraId="17C8EE3A" w14:textId="77777777" w:rsidR="00E07355" w:rsidRDefault="00E07355" w:rsidP="00B23643">
      <w:pPr>
        <w:spacing w:line="276" w:lineRule="auto"/>
        <w:jc w:val="both"/>
        <w:rPr>
          <w:b/>
          <w:bCs/>
        </w:rPr>
      </w:pPr>
    </w:p>
    <w:p w14:paraId="1593C064" w14:textId="77777777" w:rsidR="00E42006" w:rsidRDefault="00E42006" w:rsidP="00B23643">
      <w:pPr>
        <w:spacing w:line="276" w:lineRule="auto"/>
        <w:jc w:val="both"/>
        <w:rPr>
          <w:b/>
          <w:bCs/>
        </w:rPr>
      </w:pPr>
    </w:p>
    <w:p w14:paraId="059374EE" w14:textId="77777777" w:rsidR="00E42006" w:rsidRDefault="00E42006" w:rsidP="00B23643">
      <w:pPr>
        <w:spacing w:line="276" w:lineRule="auto"/>
        <w:jc w:val="both"/>
        <w:rPr>
          <w:b/>
          <w:bCs/>
        </w:rPr>
      </w:pPr>
    </w:p>
    <w:p w14:paraId="35DEEDC9" w14:textId="77777777" w:rsidR="00E42006" w:rsidRDefault="00E42006" w:rsidP="00B23643">
      <w:pPr>
        <w:spacing w:line="276" w:lineRule="auto"/>
        <w:jc w:val="both"/>
        <w:rPr>
          <w:b/>
          <w:bCs/>
        </w:rPr>
      </w:pPr>
    </w:p>
    <w:p w14:paraId="7942A0E2" w14:textId="77777777" w:rsidR="00E42006" w:rsidRDefault="00E42006" w:rsidP="00B23643">
      <w:pPr>
        <w:spacing w:line="276" w:lineRule="auto"/>
        <w:jc w:val="both"/>
        <w:rPr>
          <w:b/>
          <w:bCs/>
        </w:rPr>
      </w:pPr>
    </w:p>
    <w:p w14:paraId="44BEC9B0" w14:textId="77777777" w:rsidR="00E42006" w:rsidRDefault="00E42006" w:rsidP="00B23643">
      <w:pPr>
        <w:spacing w:line="276" w:lineRule="auto"/>
        <w:jc w:val="both"/>
        <w:rPr>
          <w:b/>
          <w:bCs/>
        </w:rPr>
      </w:pPr>
    </w:p>
    <w:p w14:paraId="5BD8259D" w14:textId="77777777" w:rsidR="00E42006" w:rsidRDefault="00E42006" w:rsidP="00B23643">
      <w:pPr>
        <w:spacing w:line="276" w:lineRule="auto"/>
        <w:jc w:val="both"/>
        <w:rPr>
          <w:b/>
          <w:bCs/>
        </w:rPr>
      </w:pPr>
    </w:p>
    <w:p w14:paraId="2BF515B2" w14:textId="77777777" w:rsidR="00E42006" w:rsidRDefault="00E42006" w:rsidP="00B23643">
      <w:pPr>
        <w:spacing w:line="276" w:lineRule="auto"/>
        <w:jc w:val="both"/>
        <w:rPr>
          <w:b/>
          <w:bCs/>
        </w:rPr>
      </w:pPr>
    </w:p>
    <w:p w14:paraId="264ADD5D" w14:textId="77777777" w:rsidR="00E42006" w:rsidRDefault="00E42006" w:rsidP="00B23643">
      <w:pPr>
        <w:spacing w:line="276" w:lineRule="auto"/>
        <w:jc w:val="both"/>
      </w:pPr>
    </w:p>
    <w:p w14:paraId="658FC74A" w14:textId="77777777" w:rsidR="002E44E7" w:rsidRDefault="002E44E7" w:rsidP="00B23643">
      <w:pPr>
        <w:spacing w:line="276" w:lineRule="auto"/>
        <w:jc w:val="both"/>
      </w:pPr>
    </w:p>
    <w:p w14:paraId="6994A0FE" w14:textId="77777777" w:rsidR="002E44E7" w:rsidRDefault="002E44E7" w:rsidP="00B23643">
      <w:pPr>
        <w:spacing w:line="276" w:lineRule="auto"/>
        <w:jc w:val="both"/>
      </w:pPr>
    </w:p>
    <w:p w14:paraId="39B55B97" w14:textId="77777777" w:rsidR="002E44E7" w:rsidRDefault="002E44E7" w:rsidP="00B23643">
      <w:pPr>
        <w:spacing w:line="276" w:lineRule="auto"/>
        <w:jc w:val="both"/>
        <w:rPr>
          <w:b/>
          <w:bCs/>
        </w:rPr>
      </w:pPr>
    </w:p>
    <w:p w14:paraId="7E727BB9" w14:textId="77777777" w:rsidR="00B23643" w:rsidRDefault="00B23643" w:rsidP="003A4032">
      <w:pPr>
        <w:rPr>
          <w:b/>
          <w:bCs/>
        </w:rPr>
      </w:pPr>
    </w:p>
    <w:p w14:paraId="12DBCD70" w14:textId="77777777" w:rsidR="00B23643" w:rsidRDefault="00B23643" w:rsidP="003A4032">
      <w:pPr>
        <w:rPr>
          <w:b/>
          <w:bCs/>
        </w:rPr>
      </w:pPr>
    </w:p>
    <w:p w14:paraId="4143D8E8" w14:textId="30793C30" w:rsidR="003A4032" w:rsidRDefault="007B0FB1" w:rsidP="00C12D4D">
      <w:pPr>
        <w:spacing w:line="276" w:lineRule="auto"/>
        <w:jc w:val="both"/>
        <w:rPr>
          <w:b/>
          <w:bCs/>
        </w:rPr>
      </w:pPr>
      <w:r w:rsidRPr="00A14179">
        <w:rPr>
          <w:b/>
          <w:bCs/>
          <w:noProof/>
        </w:rPr>
        <w:lastRenderedPageBreak/>
        <w:drawing>
          <wp:inline distT="0" distB="0" distL="0" distR="0" wp14:anchorId="3606C359" wp14:editId="3C80F2DE">
            <wp:extent cx="5630779" cy="2743200"/>
            <wp:effectExtent l="0" t="0" r="0" b="0"/>
            <wp:docPr id="21" name="Picture 3" descr="A screenshot of a computer&#10;&#10;Description automatically generated with low confidence">
              <a:extLst xmlns:a="http://schemas.openxmlformats.org/drawingml/2006/main">
                <a:ext uri="{FF2B5EF4-FFF2-40B4-BE49-F238E27FC236}">
                  <a16:creationId xmlns:a16="http://schemas.microsoft.com/office/drawing/2014/main" id="{BB8FBCE9-D0CC-D57A-549C-FC96FFE720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screenshot of a computer&#10;&#10;Description automatically generated with low confidence">
                      <a:extLst>
                        <a:ext uri="{FF2B5EF4-FFF2-40B4-BE49-F238E27FC236}">
                          <a16:creationId xmlns:a16="http://schemas.microsoft.com/office/drawing/2014/main" id="{BB8FBCE9-D0CC-D57A-549C-FC96FFE720D8}"/>
                        </a:ext>
                      </a:extLst>
                    </pic:cNvPr>
                    <pic:cNvPicPr>
                      <a:picLocks noChangeAspect="1"/>
                    </pic:cNvPicPr>
                  </pic:nvPicPr>
                  <pic:blipFill>
                    <a:blip r:embed="rId11"/>
                    <a:stretch>
                      <a:fillRect/>
                    </a:stretch>
                  </pic:blipFill>
                  <pic:spPr>
                    <a:xfrm>
                      <a:off x="0" y="0"/>
                      <a:ext cx="5630779" cy="2743200"/>
                    </a:xfrm>
                    <a:prstGeom prst="rect">
                      <a:avLst/>
                    </a:prstGeom>
                  </pic:spPr>
                </pic:pic>
              </a:graphicData>
            </a:graphic>
          </wp:inline>
        </w:drawing>
      </w:r>
    </w:p>
    <w:p w14:paraId="094A0C4F" w14:textId="5CAFCB25" w:rsidR="003A4032" w:rsidRDefault="003A4032" w:rsidP="003A4032">
      <w:pPr>
        <w:spacing w:line="276" w:lineRule="auto"/>
        <w:jc w:val="both"/>
      </w:pPr>
      <w:r>
        <w:rPr>
          <w:b/>
          <w:bCs/>
        </w:rPr>
        <w:t xml:space="preserve">Supplementary Fig. </w:t>
      </w:r>
      <w:r w:rsidR="00E42006">
        <w:rPr>
          <w:b/>
          <w:bCs/>
        </w:rPr>
        <w:t>6</w:t>
      </w:r>
      <w:r w:rsidR="007B0FB1">
        <w:rPr>
          <w:b/>
          <w:bCs/>
        </w:rPr>
        <w:t xml:space="preserve">. Investment need as fraction of GDP in OECD countries. </w:t>
      </w:r>
      <w:r w:rsidR="007B0FB1">
        <w:t>The light blue bar shows the lowest possible investment need as fraction of GDP, whereas the dark blue bar shows the highest possible investment need as fraction of GDP. The red marker indicates the current public expenditure on maritime infrastructure as included in the OECD infrastructure investment database</w:t>
      </w:r>
      <w:r w:rsidR="0031338A">
        <w:t xml:space="preserve"> (</w:t>
      </w:r>
      <w:r w:rsidR="0031338A" w:rsidRPr="0031338A">
        <w:t>https://data.oecd.org/transport/infrastructure-investment.htm</w:t>
      </w:r>
      <w:r w:rsidR="0031338A">
        <w:t>)</w:t>
      </w:r>
      <w:r w:rsidR="007B0FB1">
        <w:t xml:space="preserve">. </w:t>
      </w:r>
      <w:r w:rsidR="0031338A">
        <w:t xml:space="preserve">The latter includes both spending on new construction and the improvement of the existing network. </w:t>
      </w:r>
    </w:p>
    <w:p w14:paraId="07ABD587" w14:textId="77777777" w:rsidR="00E42006" w:rsidRDefault="00E42006" w:rsidP="003A4032">
      <w:pPr>
        <w:spacing w:line="276" w:lineRule="auto"/>
        <w:jc w:val="both"/>
      </w:pPr>
    </w:p>
    <w:p w14:paraId="6E91BEC5" w14:textId="77777777" w:rsidR="00E42006" w:rsidRDefault="00E42006" w:rsidP="00E42006">
      <w:pPr>
        <w:spacing w:line="276" w:lineRule="auto"/>
        <w:jc w:val="center"/>
        <w:rPr>
          <w:b/>
          <w:bCs/>
        </w:rPr>
      </w:pPr>
      <w:r>
        <w:rPr>
          <w:b/>
          <w:bCs/>
          <w:noProof/>
        </w:rPr>
        <w:lastRenderedPageBreak/>
        <w:drawing>
          <wp:inline distT="0" distB="0" distL="0" distR="0" wp14:anchorId="73B02617" wp14:editId="47B224C2">
            <wp:extent cx="5336771" cy="7168404"/>
            <wp:effectExtent l="0" t="0" r="0" b="0"/>
            <wp:docPr id="1498125968" name="Picture 149812596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bar char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342191" cy="7175685"/>
                    </a:xfrm>
                    <a:prstGeom prst="rect">
                      <a:avLst/>
                    </a:prstGeom>
                  </pic:spPr>
                </pic:pic>
              </a:graphicData>
            </a:graphic>
          </wp:inline>
        </w:drawing>
      </w:r>
    </w:p>
    <w:p w14:paraId="685082A0" w14:textId="6B1EE87B" w:rsidR="00E42006" w:rsidRDefault="00E42006" w:rsidP="00E42006">
      <w:pPr>
        <w:spacing w:line="276" w:lineRule="auto"/>
        <w:jc w:val="both"/>
        <w:rPr>
          <w:b/>
          <w:bCs/>
        </w:rPr>
      </w:pPr>
      <w:r>
        <w:rPr>
          <w:b/>
          <w:bCs/>
        </w:rPr>
        <w:t>Supplementary Fig. 7. Influence of the terminal efficiency improvement strategies on the area and investment needs</w:t>
      </w:r>
      <w:r w:rsidRPr="00C939C5">
        <w:rPr>
          <w:b/>
          <w:bCs/>
        </w:rPr>
        <w:t>.</w:t>
      </w:r>
      <w:r>
        <w:rPr>
          <w:b/>
          <w:bCs/>
        </w:rPr>
        <w:t xml:space="preserve"> </w:t>
      </w:r>
      <w:r w:rsidRPr="00E1155A">
        <w:t>(a) the fraction of the area required (1 indicating the baseline results in the main paper) for the median TEIS, high TEIS and Max TEIS scenarios (see Methods). (b) Same as (a) but in terms of the investment needs.</w:t>
      </w:r>
      <w:r>
        <w:rPr>
          <w:b/>
          <w:bCs/>
        </w:rPr>
        <w:t xml:space="preserve"> </w:t>
      </w:r>
    </w:p>
    <w:p w14:paraId="6300A07C" w14:textId="77777777" w:rsidR="00E42006" w:rsidRDefault="00E42006" w:rsidP="003A4032">
      <w:pPr>
        <w:spacing w:line="276" w:lineRule="auto"/>
        <w:jc w:val="both"/>
      </w:pPr>
    </w:p>
    <w:p w14:paraId="746D2A37" w14:textId="77777777" w:rsidR="006A2532" w:rsidRDefault="006A2532" w:rsidP="003A4032">
      <w:pPr>
        <w:spacing w:line="276" w:lineRule="auto"/>
        <w:jc w:val="both"/>
      </w:pPr>
    </w:p>
    <w:p w14:paraId="3B0D11A3" w14:textId="77777777" w:rsidR="006A2532" w:rsidRDefault="006A2532" w:rsidP="003A4032">
      <w:pPr>
        <w:spacing w:line="276" w:lineRule="auto"/>
        <w:jc w:val="both"/>
      </w:pPr>
    </w:p>
    <w:p w14:paraId="16B05DC1" w14:textId="77777777" w:rsidR="006A2532" w:rsidRDefault="006A2532" w:rsidP="003A4032">
      <w:pPr>
        <w:spacing w:line="276" w:lineRule="auto"/>
        <w:jc w:val="both"/>
      </w:pPr>
    </w:p>
    <w:p w14:paraId="018CAC79" w14:textId="627CC80B" w:rsidR="006A2532" w:rsidRDefault="006A2532"/>
    <w:p w14:paraId="36C03C78" w14:textId="17134BF0" w:rsidR="00781679" w:rsidRDefault="00781679" w:rsidP="006A2532">
      <w:pPr>
        <w:spacing w:line="276" w:lineRule="auto"/>
        <w:jc w:val="both"/>
        <w:rPr>
          <w:b/>
          <w:bCs/>
        </w:rPr>
      </w:pPr>
      <w:r>
        <w:rPr>
          <w:b/>
          <w:bCs/>
          <w:noProof/>
        </w:rPr>
        <w:drawing>
          <wp:inline distT="0" distB="0" distL="0" distR="0" wp14:anchorId="5A54F7F9" wp14:editId="0C23BF1C">
            <wp:extent cx="5760720" cy="4281170"/>
            <wp:effectExtent l="0" t="0" r="5080" b="0"/>
            <wp:docPr id="2135284341" name="Picture 1" descr="A group of graphs showing different types of wea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284341" name="Picture 1" descr="A group of graphs showing different types of weather&#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5760720" cy="4281170"/>
                    </a:xfrm>
                    <a:prstGeom prst="rect">
                      <a:avLst/>
                    </a:prstGeom>
                  </pic:spPr>
                </pic:pic>
              </a:graphicData>
            </a:graphic>
          </wp:inline>
        </w:drawing>
      </w:r>
    </w:p>
    <w:p w14:paraId="734AA5C2" w14:textId="6BF5159D" w:rsidR="006A2532" w:rsidRDefault="006A2532" w:rsidP="006A2532">
      <w:pPr>
        <w:spacing w:line="276" w:lineRule="auto"/>
        <w:jc w:val="both"/>
      </w:pPr>
      <w:r>
        <w:rPr>
          <w:b/>
          <w:bCs/>
        </w:rPr>
        <w:t xml:space="preserve">Supplementary Fig. </w:t>
      </w:r>
      <w:r w:rsidR="00495DC0">
        <w:rPr>
          <w:b/>
          <w:bCs/>
        </w:rPr>
        <w:t>8</w:t>
      </w:r>
      <w:r>
        <w:rPr>
          <w:b/>
          <w:bCs/>
        </w:rPr>
        <w:t xml:space="preserve">. </w:t>
      </w:r>
      <w:r w:rsidR="00D23D1B">
        <w:rPr>
          <w:b/>
          <w:bCs/>
        </w:rPr>
        <w:t>P</w:t>
      </w:r>
      <w:r>
        <w:rPr>
          <w:b/>
          <w:bCs/>
        </w:rPr>
        <w:t xml:space="preserve">resent and future </w:t>
      </w:r>
      <w:r w:rsidR="00D23D1B">
        <w:rPr>
          <w:b/>
          <w:bCs/>
        </w:rPr>
        <w:t>physical asset risk per hazard</w:t>
      </w:r>
      <w:r w:rsidR="00781679">
        <w:t xml:space="preserve">. </w:t>
      </w:r>
      <w:r w:rsidR="00AA5D8A">
        <w:t>Expected annual p</w:t>
      </w:r>
      <w:r w:rsidR="00781679">
        <w:t xml:space="preserve">hysical asset damages </w:t>
      </w:r>
      <w:r w:rsidR="00863277">
        <w:t xml:space="preserve">per hazard and climate scenario. The top row is for the mid-century time period and the bottom row for the end-century time period. </w:t>
      </w:r>
      <w:r w:rsidR="00D010E8">
        <w:t xml:space="preserve">Note that y-axis for the end-century </w:t>
      </w:r>
      <w:r w:rsidR="001F4479">
        <w:t xml:space="preserve">coastal hazard is </w:t>
      </w:r>
      <w:r w:rsidR="00C302E8">
        <w:t>a factor five larger</w:t>
      </w:r>
      <w:r w:rsidR="00F004C9">
        <w:t xml:space="preserve"> for visibility purposes. </w:t>
      </w:r>
    </w:p>
    <w:p w14:paraId="5123629A" w14:textId="77777777" w:rsidR="00D23D1B" w:rsidRDefault="00D23D1B" w:rsidP="006A2532">
      <w:pPr>
        <w:spacing w:line="276" w:lineRule="auto"/>
        <w:jc w:val="both"/>
      </w:pPr>
    </w:p>
    <w:p w14:paraId="6127C881" w14:textId="77777777" w:rsidR="00D23D1B" w:rsidRDefault="00D23D1B" w:rsidP="006A2532">
      <w:pPr>
        <w:spacing w:line="276" w:lineRule="auto"/>
        <w:jc w:val="both"/>
      </w:pPr>
    </w:p>
    <w:p w14:paraId="37566A52" w14:textId="42AF0DE3" w:rsidR="00722BF7" w:rsidRDefault="00511C58" w:rsidP="00511C58">
      <w:pPr>
        <w:spacing w:line="276" w:lineRule="auto"/>
        <w:jc w:val="center"/>
      </w:pPr>
      <w:r>
        <w:rPr>
          <w:noProof/>
        </w:rPr>
        <w:lastRenderedPageBreak/>
        <w:drawing>
          <wp:inline distT="0" distB="0" distL="0" distR="0" wp14:anchorId="50B49BA6" wp14:editId="6ED5CDE5">
            <wp:extent cx="3569677" cy="8147828"/>
            <wp:effectExtent l="0" t="0" r="0" b="0"/>
            <wp:docPr id="566877599" name="Picture 2"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877599" name="Picture 2" descr="A graph of different colored bars&#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3591931" cy="8198623"/>
                    </a:xfrm>
                    <a:prstGeom prst="rect">
                      <a:avLst/>
                    </a:prstGeom>
                  </pic:spPr>
                </pic:pic>
              </a:graphicData>
            </a:graphic>
          </wp:inline>
        </w:drawing>
      </w:r>
    </w:p>
    <w:p w14:paraId="4366C930" w14:textId="23BA3DE1" w:rsidR="00C12D4D" w:rsidRPr="00B4023D" w:rsidRDefault="00D23D1B" w:rsidP="00C12D4D">
      <w:pPr>
        <w:spacing w:line="276" w:lineRule="auto"/>
        <w:jc w:val="both"/>
      </w:pPr>
      <w:r>
        <w:rPr>
          <w:b/>
          <w:bCs/>
        </w:rPr>
        <w:t xml:space="preserve">Supplementary Fig. 9. </w:t>
      </w:r>
      <w:r w:rsidR="00AA5D8A">
        <w:rPr>
          <w:b/>
          <w:bCs/>
        </w:rPr>
        <w:t>Present and future physical asset risk per hazard</w:t>
      </w:r>
      <w:r w:rsidR="00AA5D8A">
        <w:t xml:space="preserve">. Expected annual total downtime across all 1350 ports per hazard and climate scenario. The top row is for the mid-century time period and the bottom row for the end-century time period. </w:t>
      </w:r>
    </w:p>
    <w:p w14:paraId="59411A9E" w14:textId="30EB1FFB" w:rsidR="00C12D4D" w:rsidRDefault="00005777" w:rsidP="00C12D4D">
      <w:pPr>
        <w:spacing w:line="276" w:lineRule="auto"/>
        <w:jc w:val="both"/>
        <w:rPr>
          <w:b/>
          <w:bCs/>
        </w:rPr>
      </w:pPr>
      <w:r>
        <w:rPr>
          <w:b/>
          <w:bCs/>
          <w:noProof/>
        </w:rPr>
        <w:lastRenderedPageBreak/>
        <w:drawing>
          <wp:inline distT="0" distB="0" distL="0" distR="0" wp14:anchorId="4736B0CE" wp14:editId="778E68B8">
            <wp:extent cx="5760720" cy="5772150"/>
            <wp:effectExtent l="0" t="0" r="5080" b="6350"/>
            <wp:docPr id="41013999" name="Picture 3" descr="A map of the wor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3999" name="Picture 3" descr="A map of the world&#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5760720" cy="5772150"/>
                    </a:xfrm>
                    <a:prstGeom prst="rect">
                      <a:avLst/>
                    </a:prstGeom>
                  </pic:spPr>
                </pic:pic>
              </a:graphicData>
            </a:graphic>
          </wp:inline>
        </w:drawing>
      </w:r>
    </w:p>
    <w:p w14:paraId="31A6F39E" w14:textId="2C07C39D" w:rsidR="00C12D4D" w:rsidRPr="00074A21" w:rsidRDefault="00C12D4D" w:rsidP="00C12D4D">
      <w:pPr>
        <w:spacing w:line="276" w:lineRule="auto"/>
        <w:jc w:val="both"/>
      </w:pPr>
      <w:r>
        <w:rPr>
          <w:b/>
          <w:bCs/>
        </w:rPr>
        <w:t xml:space="preserve">Supplementary Fig. </w:t>
      </w:r>
      <w:r w:rsidR="00722BF7">
        <w:rPr>
          <w:b/>
          <w:bCs/>
        </w:rPr>
        <w:t>10</w:t>
      </w:r>
      <w:r w:rsidR="00A84FE9">
        <w:rPr>
          <w:b/>
          <w:bCs/>
        </w:rPr>
        <w:t>.</w:t>
      </w:r>
      <w:r w:rsidR="0031338A">
        <w:rPr>
          <w:b/>
          <w:bCs/>
        </w:rPr>
        <w:t xml:space="preserve"> </w:t>
      </w:r>
      <w:r w:rsidR="00074A21" w:rsidRPr="00074A21">
        <w:rPr>
          <w:b/>
          <w:bCs/>
        </w:rPr>
        <w:t>Change in climate risk due to climate change alone.</w:t>
      </w:r>
      <w:r w:rsidR="00074A21">
        <w:t xml:space="preserve"> </w:t>
      </w:r>
      <w:r w:rsidR="00E768A9">
        <w:t xml:space="preserve">(a) </w:t>
      </w:r>
      <w:r w:rsidR="00074A21">
        <w:t xml:space="preserve">The climate risk in </w:t>
      </w:r>
      <w:r w:rsidR="00F33D0B">
        <w:t>the mid-century climate</w:t>
      </w:r>
      <w:r w:rsidR="00074A21">
        <w:t xml:space="preserve"> compared to the climate risk in 2015 because of a change in climate change alone (so no port expansions). The figure shows the mean across the scenarios. </w:t>
      </w:r>
      <w:r w:rsidR="00E768A9">
        <w:t xml:space="preserve">(b) same as (a) but for the end-century climate. </w:t>
      </w:r>
    </w:p>
    <w:p w14:paraId="6CDCD487" w14:textId="77777777" w:rsidR="00C12D4D" w:rsidRDefault="00C12D4D" w:rsidP="00C12D4D">
      <w:pPr>
        <w:spacing w:line="276" w:lineRule="auto"/>
        <w:jc w:val="both"/>
        <w:rPr>
          <w:b/>
          <w:bCs/>
        </w:rPr>
      </w:pPr>
    </w:p>
    <w:p w14:paraId="6ED240F7" w14:textId="77777777" w:rsidR="00C12D4D" w:rsidRDefault="00C12D4D" w:rsidP="00C12D4D">
      <w:pPr>
        <w:spacing w:line="276" w:lineRule="auto"/>
        <w:jc w:val="both"/>
        <w:rPr>
          <w:b/>
          <w:bCs/>
        </w:rPr>
      </w:pPr>
    </w:p>
    <w:p w14:paraId="6A02C831" w14:textId="0C7F8D26" w:rsidR="00C12D4D" w:rsidRDefault="00C12D4D" w:rsidP="00C12D4D">
      <w:pPr>
        <w:spacing w:line="276" w:lineRule="auto"/>
        <w:jc w:val="both"/>
        <w:rPr>
          <w:b/>
          <w:bCs/>
        </w:rPr>
      </w:pPr>
    </w:p>
    <w:p w14:paraId="07C6E602" w14:textId="77777777" w:rsidR="00C12D4D" w:rsidRDefault="00C12D4D" w:rsidP="00C12D4D">
      <w:pPr>
        <w:spacing w:line="276" w:lineRule="auto"/>
        <w:jc w:val="both"/>
        <w:rPr>
          <w:b/>
          <w:bCs/>
        </w:rPr>
      </w:pPr>
      <w:r>
        <w:rPr>
          <w:b/>
          <w:bCs/>
        </w:rPr>
        <w:br w:type="page"/>
      </w:r>
    </w:p>
    <w:p w14:paraId="747284E9" w14:textId="5E53C42A" w:rsidR="00C12D4D" w:rsidRDefault="00C12D4D" w:rsidP="00C12D4D">
      <w:pPr>
        <w:spacing w:line="276" w:lineRule="auto"/>
        <w:jc w:val="both"/>
        <w:rPr>
          <w:b/>
          <w:bCs/>
        </w:rPr>
      </w:pPr>
    </w:p>
    <w:p w14:paraId="6861C299" w14:textId="13265F81" w:rsidR="00C12D4D" w:rsidRDefault="00824FB2" w:rsidP="00C12D4D">
      <w:pPr>
        <w:spacing w:line="276" w:lineRule="auto"/>
        <w:jc w:val="both"/>
        <w:rPr>
          <w:b/>
          <w:bCs/>
        </w:rPr>
      </w:pPr>
      <w:r>
        <w:rPr>
          <w:b/>
          <w:bCs/>
          <w:noProof/>
        </w:rPr>
        <w:drawing>
          <wp:inline distT="0" distB="0" distL="0" distR="0" wp14:anchorId="422A9D52" wp14:editId="6B810EC4">
            <wp:extent cx="5760720" cy="5356860"/>
            <wp:effectExtent l="0" t="0" r="5080" b="2540"/>
            <wp:docPr id="1758541166" name="Picture 1" descr="A graph of different numbers and a numb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541166" name="Picture 1" descr="A graph of different numbers and a number&#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5760720" cy="5356860"/>
                    </a:xfrm>
                    <a:prstGeom prst="rect">
                      <a:avLst/>
                    </a:prstGeom>
                  </pic:spPr>
                </pic:pic>
              </a:graphicData>
            </a:graphic>
          </wp:inline>
        </w:drawing>
      </w:r>
    </w:p>
    <w:p w14:paraId="09734D6A" w14:textId="69E83D66" w:rsidR="00C12D4D" w:rsidRPr="00A773A4" w:rsidRDefault="00C12D4D" w:rsidP="00C12D4D">
      <w:pPr>
        <w:spacing w:line="276" w:lineRule="auto"/>
        <w:jc w:val="both"/>
      </w:pPr>
      <w:r>
        <w:rPr>
          <w:b/>
          <w:bCs/>
        </w:rPr>
        <w:t>Supplementary Fig. 1</w:t>
      </w:r>
      <w:r w:rsidR="00722BF7">
        <w:rPr>
          <w:b/>
          <w:bCs/>
        </w:rPr>
        <w:t>1</w:t>
      </w:r>
      <w:r w:rsidR="00675C98">
        <w:rPr>
          <w:b/>
          <w:bCs/>
        </w:rPr>
        <w:t xml:space="preserve">. The trade at-risk due to port downtime. </w:t>
      </w:r>
      <w:r w:rsidR="00675C98" w:rsidRPr="008E7961">
        <w:t xml:space="preserve">(a) The yearly average global trade at-risk at present (P) and under the future scenarios expressed in billion tonnes per year. The numbers on top of the bars indicate the trade at-risk as percentage of the global port throughput at present or in the future. (b) Same as (a) but expressed in terms of </w:t>
      </w:r>
      <w:r w:rsidR="008E7961" w:rsidRPr="008E7961">
        <w:t>value (USD billion per year).</w:t>
      </w:r>
      <w:r w:rsidR="008E7961">
        <w:rPr>
          <w:b/>
          <w:bCs/>
        </w:rPr>
        <w:t xml:space="preserve"> </w:t>
      </w:r>
      <w:r w:rsidR="00A773A4">
        <w:t xml:space="preserve">(c) and (d) are same as (a) and (b) but for </w:t>
      </w:r>
      <w:r w:rsidR="00816E80">
        <w:t>under the</w:t>
      </w:r>
      <w:r w:rsidR="00A773A4">
        <w:t xml:space="preserve"> end-century climate</w:t>
      </w:r>
      <w:r w:rsidR="00816E80">
        <w:t xml:space="preserve"> projections. </w:t>
      </w:r>
    </w:p>
    <w:p w14:paraId="17CCA761" w14:textId="4393EF1B" w:rsidR="00301753" w:rsidRDefault="00301753" w:rsidP="00C12D4D">
      <w:pPr>
        <w:spacing w:line="276" w:lineRule="auto"/>
        <w:jc w:val="both"/>
        <w:rPr>
          <w:b/>
          <w:bCs/>
        </w:rPr>
      </w:pPr>
    </w:p>
    <w:p w14:paraId="1F8F90A6" w14:textId="77777777" w:rsidR="001D4BB2" w:rsidRDefault="001D4BB2" w:rsidP="00C12D4D">
      <w:pPr>
        <w:spacing w:line="276" w:lineRule="auto"/>
        <w:jc w:val="both"/>
        <w:rPr>
          <w:b/>
          <w:bCs/>
        </w:rPr>
      </w:pPr>
    </w:p>
    <w:p w14:paraId="38D548A6" w14:textId="77777777" w:rsidR="002271FD" w:rsidRDefault="002271FD" w:rsidP="00C12D4D">
      <w:pPr>
        <w:spacing w:line="276" w:lineRule="auto"/>
        <w:jc w:val="both"/>
        <w:rPr>
          <w:b/>
          <w:bCs/>
        </w:rPr>
      </w:pPr>
    </w:p>
    <w:p w14:paraId="4D0BCA28" w14:textId="77777777" w:rsidR="002271FD" w:rsidRDefault="002271FD" w:rsidP="00C12D4D">
      <w:pPr>
        <w:spacing w:line="276" w:lineRule="auto"/>
        <w:jc w:val="both"/>
        <w:rPr>
          <w:b/>
          <w:bCs/>
        </w:rPr>
      </w:pPr>
    </w:p>
    <w:p w14:paraId="32F61417" w14:textId="77777777" w:rsidR="002271FD" w:rsidRDefault="002271FD" w:rsidP="00C12D4D">
      <w:pPr>
        <w:spacing w:line="276" w:lineRule="auto"/>
        <w:jc w:val="both"/>
        <w:rPr>
          <w:b/>
          <w:bCs/>
        </w:rPr>
      </w:pPr>
    </w:p>
    <w:p w14:paraId="5FE83CDA" w14:textId="77777777" w:rsidR="002271FD" w:rsidRDefault="002271FD" w:rsidP="00C12D4D">
      <w:pPr>
        <w:spacing w:line="276" w:lineRule="auto"/>
        <w:jc w:val="both"/>
        <w:rPr>
          <w:b/>
          <w:bCs/>
        </w:rPr>
      </w:pPr>
    </w:p>
    <w:p w14:paraId="1351A6B7" w14:textId="77777777" w:rsidR="002271FD" w:rsidRDefault="002271FD" w:rsidP="00C12D4D">
      <w:pPr>
        <w:spacing w:line="276" w:lineRule="auto"/>
        <w:jc w:val="both"/>
        <w:rPr>
          <w:b/>
          <w:bCs/>
        </w:rPr>
      </w:pPr>
    </w:p>
    <w:p w14:paraId="38B63D08" w14:textId="77777777" w:rsidR="002271FD" w:rsidRDefault="002271FD" w:rsidP="00C12D4D">
      <w:pPr>
        <w:spacing w:line="276" w:lineRule="auto"/>
        <w:jc w:val="both"/>
        <w:rPr>
          <w:b/>
          <w:bCs/>
        </w:rPr>
      </w:pPr>
    </w:p>
    <w:p w14:paraId="72884BE3" w14:textId="77777777" w:rsidR="002271FD" w:rsidRDefault="002271FD" w:rsidP="00C12D4D">
      <w:pPr>
        <w:spacing w:line="276" w:lineRule="auto"/>
        <w:jc w:val="both"/>
        <w:rPr>
          <w:b/>
          <w:bCs/>
        </w:rPr>
      </w:pPr>
    </w:p>
    <w:p w14:paraId="3273513D" w14:textId="77777777" w:rsidR="002271FD" w:rsidRDefault="002271FD" w:rsidP="00C12D4D">
      <w:pPr>
        <w:spacing w:line="276" w:lineRule="auto"/>
        <w:jc w:val="both"/>
        <w:rPr>
          <w:b/>
          <w:bCs/>
        </w:rPr>
      </w:pPr>
    </w:p>
    <w:p w14:paraId="7754DCBF" w14:textId="34B55920" w:rsidR="002271FD" w:rsidRDefault="007E2FE3" w:rsidP="002271FD">
      <w:pPr>
        <w:spacing w:line="276" w:lineRule="auto"/>
        <w:jc w:val="both"/>
        <w:rPr>
          <w:b/>
          <w:bCs/>
        </w:rPr>
      </w:pPr>
      <w:r>
        <w:rPr>
          <w:b/>
          <w:bCs/>
          <w:noProof/>
        </w:rPr>
        <w:lastRenderedPageBreak/>
        <w:drawing>
          <wp:inline distT="0" distB="0" distL="0" distR="0" wp14:anchorId="2C28F419" wp14:editId="0C97A2A0">
            <wp:extent cx="5080000" cy="5016500"/>
            <wp:effectExtent l="0" t="0" r="0" b="0"/>
            <wp:docPr id="311551843" name="Picture 2" descr="A map of the wor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551843" name="Picture 2" descr="A map of the world&#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5080000" cy="5016500"/>
                    </a:xfrm>
                    <a:prstGeom prst="rect">
                      <a:avLst/>
                    </a:prstGeom>
                  </pic:spPr>
                </pic:pic>
              </a:graphicData>
            </a:graphic>
          </wp:inline>
        </w:drawing>
      </w:r>
    </w:p>
    <w:p w14:paraId="0DA57EC8" w14:textId="444D8A2F" w:rsidR="002271FD" w:rsidRPr="00074A21" w:rsidRDefault="002271FD" w:rsidP="002271FD">
      <w:pPr>
        <w:spacing w:line="276" w:lineRule="auto"/>
        <w:jc w:val="both"/>
      </w:pPr>
      <w:r>
        <w:rPr>
          <w:b/>
          <w:bCs/>
        </w:rPr>
        <w:t>Supplementary Fig. 1</w:t>
      </w:r>
      <w:r w:rsidR="00722BF7">
        <w:rPr>
          <w:b/>
          <w:bCs/>
        </w:rPr>
        <w:t>2</w:t>
      </w:r>
      <w:r>
        <w:rPr>
          <w:b/>
          <w:bCs/>
        </w:rPr>
        <w:t xml:space="preserve">. </w:t>
      </w:r>
      <w:r w:rsidRPr="00074A21">
        <w:rPr>
          <w:b/>
          <w:bCs/>
        </w:rPr>
        <w:t xml:space="preserve">Change in climate risk due to climate change </w:t>
      </w:r>
      <w:r>
        <w:rPr>
          <w:b/>
          <w:bCs/>
        </w:rPr>
        <w:t>and port expansions</w:t>
      </w:r>
      <w:r w:rsidR="007E2FE3">
        <w:rPr>
          <w:b/>
          <w:bCs/>
        </w:rPr>
        <w:t>.</w:t>
      </w:r>
      <w:r w:rsidR="007E2FE3">
        <w:t xml:space="preserve"> </w:t>
      </w:r>
      <w:r>
        <w:t xml:space="preserve">(a) The climate risk in the mid-century climate compared to the climate risk in 2015 because of a change in climate change and port expansions. </w:t>
      </w:r>
      <w:r w:rsidR="00860BB2">
        <w:t xml:space="preserve">The </w:t>
      </w:r>
      <w:r>
        <w:t xml:space="preserve">figure shows the mean across the scenarios. (b) same as (a) but for the end-century climate. </w:t>
      </w:r>
    </w:p>
    <w:p w14:paraId="4F01165E" w14:textId="77777777" w:rsidR="002271FD" w:rsidRDefault="002271FD" w:rsidP="00C12D4D">
      <w:pPr>
        <w:spacing w:line="276" w:lineRule="auto"/>
        <w:jc w:val="both"/>
        <w:rPr>
          <w:b/>
          <w:bCs/>
        </w:rPr>
      </w:pPr>
    </w:p>
    <w:p w14:paraId="5C813F0D" w14:textId="77777777" w:rsidR="001D4BB2" w:rsidRDefault="001D4BB2" w:rsidP="00C12D4D">
      <w:pPr>
        <w:spacing w:line="276" w:lineRule="auto"/>
        <w:jc w:val="both"/>
        <w:rPr>
          <w:b/>
          <w:bCs/>
        </w:rPr>
      </w:pPr>
    </w:p>
    <w:p w14:paraId="1D48C05E" w14:textId="70DF5C0C" w:rsidR="00301753" w:rsidRDefault="00301753" w:rsidP="008408B3">
      <w:pPr>
        <w:rPr>
          <w:b/>
          <w:bCs/>
        </w:rPr>
      </w:pPr>
      <w:r>
        <w:rPr>
          <w:b/>
          <w:bCs/>
        </w:rPr>
        <w:br w:type="page"/>
      </w:r>
    </w:p>
    <w:p w14:paraId="208847EA" w14:textId="49F0A17C" w:rsidR="00301753" w:rsidRDefault="005D589D" w:rsidP="00C12D4D">
      <w:pPr>
        <w:spacing w:line="276" w:lineRule="auto"/>
        <w:jc w:val="both"/>
        <w:rPr>
          <w:b/>
          <w:bCs/>
        </w:rPr>
      </w:pPr>
      <w:r>
        <w:rPr>
          <w:b/>
          <w:bCs/>
          <w:noProof/>
        </w:rPr>
        <w:lastRenderedPageBreak/>
        <w:drawing>
          <wp:inline distT="0" distB="0" distL="0" distR="0" wp14:anchorId="2F6FF315" wp14:editId="4C791AEC">
            <wp:extent cx="6036011" cy="6014720"/>
            <wp:effectExtent l="0" t="0" r="0" b="5080"/>
            <wp:docPr id="17" name="Picture 1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Map&#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6039876" cy="6018572"/>
                    </a:xfrm>
                    <a:prstGeom prst="rect">
                      <a:avLst/>
                    </a:prstGeom>
                  </pic:spPr>
                </pic:pic>
              </a:graphicData>
            </a:graphic>
          </wp:inline>
        </w:drawing>
      </w:r>
    </w:p>
    <w:p w14:paraId="629E1D0C" w14:textId="77777777" w:rsidR="005D589D" w:rsidRDefault="005D589D" w:rsidP="005D589D">
      <w:pPr>
        <w:spacing w:line="276" w:lineRule="auto"/>
        <w:jc w:val="both"/>
        <w:rPr>
          <w:b/>
          <w:bCs/>
        </w:rPr>
      </w:pPr>
    </w:p>
    <w:p w14:paraId="3DCF236E" w14:textId="32242E57" w:rsidR="005D589D" w:rsidRDefault="005D589D" w:rsidP="005D589D">
      <w:pPr>
        <w:spacing w:line="276" w:lineRule="auto"/>
        <w:jc w:val="both"/>
        <w:rPr>
          <w:b/>
          <w:bCs/>
        </w:rPr>
      </w:pPr>
      <w:r>
        <w:rPr>
          <w:b/>
          <w:bCs/>
        </w:rPr>
        <w:t>Supplementary Fig. 1</w:t>
      </w:r>
      <w:r w:rsidR="00722BF7">
        <w:rPr>
          <w:b/>
          <w:bCs/>
        </w:rPr>
        <w:t>3</w:t>
      </w:r>
      <w:r w:rsidR="00844729">
        <w:rPr>
          <w:b/>
          <w:bCs/>
        </w:rPr>
        <w:t xml:space="preserve">. </w:t>
      </w:r>
      <w:r w:rsidR="00844729" w:rsidRPr="00C939C5">
        <w:rPr>
          <w:b/>
          <w:bCs/>
        </w:rPr>
        <w:t xml:space="preserve">Sensitivity analysis of hotspots of expensive retrofitting and </w:t>
      </w:r>
      <w:r w:rsidR="00C939C5" w:rsidRPr="00C939C5">
        <w:rPr>
          <w:b/>
          <w:bCs/>
        </w:rPr>
        <w:t>mainstreaming of adaptation.</w:t>
      </w:r>
      <w:r w:rsidR="00C939C5">
        <w:rPr>
          <w:b/>
          <w:bCs/>
        </w:rPr>
        <w:t xml:space="preserve"> </w:t>
      </w:r>
      <w:r w:rsidR="00C939C5" w:rsidRPr="00C939C5">
        <w:t>A comparison of different criteria used to evaluate the hotspots of adaptation mainstreaming (left) and expensive retrofitting (right). The top panel includes the criteria used in the main paper, whereas the bottom three panels show the result for different criteria by changing the throughput change threshold and the AIN to CR fraction.</w:t>
      </w:r>
      <w:r w:rsidR="00C939C5">
        <w:rPr>
          <w:b/>
          <w:bCs/>
        </w:rPr>
        <w:t xml:space="preserve"> </w:t>
      </w:r>
    </w:p>
    <w:p w14:paraId="276D8937" w14:textId="3D3C1530" w:rsidR="00C12D4D" w:rsidRDefault="00C12D4D" w:rsidP="001F47E7">
      <w:pPr>
        <w:spacing w:line="276" w:lineRule="auto"/>
        <w:jc w:val="both"/>
        <w:rPr>
          <w:b/>
          <w:bCs/>
        </w:rPr>
      </w:pPr>
      <w:r>
        <w:rPr>
          <w:b/>
          <w:bCs/>
        </w:rPr>
        <w:br w:type="page"/>
      </w:r>
    </w:p>
    <w:p w14:paraId="20EE290F" w14:textId="2350F5DB" w:rsidR="00C12D4D" w:rsidRPr="00C22A7C" w:rsidRDefault="00C12D4D" w:rsidP="00C12D4D">
      <w:pPr>
        <w:spacing w:line="276" w:lineRule="auto"/>
        <w:jc w:val="both"/>
        <w:rPr>
          <w:b/>
          <w:bCs/>
          <w:sz w:val="28"/>
          <w:szCs w:val="28"/>
        </w:rPr>
      </w:pPr>
      <w:r w:rsidRPr="00C22A7C">
        <w:rPr>
          <w:b/>
          <w:bCs/>
          <w:sz w:val="28"/>
          <w:szCs w:val="28"/>
        </w:rPr>
        <w:lastRenderedPageBreak/>
        <w:t>Supplementary Tables</w:t>
      </w:r>
    </w:p>
    <w:p w14:paraId="6BA9F226" w14:textId="47BD8733" w:rsidR="00C12D4D" w:rsidRPr="00581107" w:rsidRDefault="00CE3C16" w:rsidP="00C12D4D">
      <w:pPr>
        <w:spacing w:line="276" w:lineRule="auto"/>
        <w:jc w:val="both"/>
      </w:pPr>
      <w:r>
        <w:rPr>
          <w:b/>
          <w:bCs/>
        </w:rPr>
        <w:t xml:space="preserve">Supplementary </w:t>
      </w:r>
      <w:r w:rsidR="00C12D4D" w:rsidRPr="00AD1426">
        <w:rPr>
          <w:b/>
          <w:bCs/>
        </w:rPr>
        <w:t xml:space="preserve">Table </w:t>
      </w:r>
      <w:r w:rsidR="00586E5B">
        <w:rPr>
          <w:b/>
          <w:bCs/>
        </w:rPr>
        <w:t>1</w:t>
      </w:r>
      <w:r w:rsidR="00C12D4D" w:rsidRPr="00581107">
        <w:t>: Cost scaling factor across different regions globally</w:t>
      </w:r>
    </w:p>
    <w:tbl>
      <w:tblPr>
        <w:tblStyle w:val="TableGrid"/>
        <w:tblW w:w="0" w:type="auto"/>
        <w:tblLook w:val="04A0" w:firstRow="1" w:lastRow="0" w:firstColumn="1" w:lastColumn="0" w:noHBand="0" w:noVBand="1"/>
      </w:tblPr>
      <w:tblGrid>
        <w:gridCol w:w="7366"/>
        <w:gridCol w:w="1696"/>
      </w:tblGrid>
      <w:tr w:rsidR="00C12D4D" w:rsidRPr="00581107" w14:paraId="37DC4246" w14:textId="77777777" w:rsidTr="001E3420">
        <w:tc>
          <w:tcPr>
            <w:tcW w:w="7366" w:type="dxa"/>
          </w:tcPr>
          <w:p w14:paraId="71BB8381" w14:textId="77777777" w:rsidR="00C12D4D" w:rsidRPr="00581107" w:rsidRDefault="00C12D4D" w:rsidP="001E3420">
            <w:pPr>
              <w:spacing w:line="276" w:lineRule="auto"/>
              <w:jc w:val="both"/>
              <w:rPr>
                <w:b/>
                <w:bCs/>
                <w:sz w:val="20"/>
                <w:szCs w:val="20"/>
              </w:rPr>
            </w:pPr>
            <w:r w:rsidRPr="00581107">
              <w:rPr>
                <w:b/>
                <w:bCs/>
                <w:sz w:val="20"/>
                <w:szCs w:val="20"/>
              </w:rPr>
              <w:t>Regions</w:t>
            </w:r>
          </w:p>
        </w:tc>
        <w:tc>
          <w:tcPr>
            <w:tcW w:w="1696" w:type="dxa"/>
          </w:tcPr>
          <w:p w14:paraId="41B0D4B0" w14:textId="77777777" w:rsidR="00C12D4D" w:rsidRPr="00581107" w:rsidRDefault="00C12D4D" w:rsidP="001E3420">
            <w:pPr>
              <w:spacing w:line="276" w:lineRule="auto"/>
              <w:jc w:val="both"/>
              <w:rPr>
                <w:b/>
                <w:bCs/>
                <w:sz w:val="20"/>
                <w:szCs w:val="20"/>
              </w:rPr>
            </w:pPr>
            <w:r w:rsidRPr="00581107">
              <w:rPr>
                <w:b/>
                <w:bCs/>
                <w:sz w:val="20"/>
                <w:szCs w:val="20"/>
              </w:rPr>
              <w:t>Cost factor (-)</w:t>
            </w:r>
          </w:p>
        </w:tc>
      </w:tr>
      <w:tr w:rsidR="00C12D4D" w:rsidRPr="00581107" w14:paraId="02A5B4A8" w14:textId="77777777" w:rsidTr="001E3420">
        <w:tc>
          <w:tcPr>
            <w:tcW w:w="7366" w:type="dxa"/>
          </w:tcPr>
          <w:p w14:paraId="17E74535" w14:textId="77777777" w:rsidR="00C12D4D" w:rsidRPr="00581107" w:rsidRDefault="00C12D4D" w:rsidP="001E3420">
            <w:pPr>
              <w:spacing w:line="276" w:lineRule="auto"/>
              <w:jc w:val="both"/>
              <w:rPr>
                <w:sz w:val="20"/>
                <w:szCs w:val="20"/>
              </w:rPr>
            </w:pPr>
            <w:r w:rsidRPr="00581107">
              <w:rPr>
                <w:sz w:val="20"/>
                <w:szCs w:val="20"/>
              </w:rPr>
              <w:t>Rest of Europe, North America, Australia, New Zealand</w:t>
            </w:r>
          </w:p>
        </w:tc>
        <w:tc>
          <w:tcPr>
            <w:tcW w:w="1696" w:type="dxa"/>
          </w:tcPr>
          <w:p w14:paraId="1E56CA90" w14:textId="77777777" w:rsidR="00C12D4D" w:rsidRPr="00581107" w:rsidRDefault="00C12D4D" w:rsidP="001E3420">
            <w:pPr>
              <w:spacing w:line="276" w:lineRule="auto"/>
              <w:jc w:val="both"/>
              <w:rPr>
                <w:sz w:val="20"/>
                <w:szCs w:val="20"/>
              </w:rPr>
            </w:pPr>
            <w:r w:rsidRPr="00581107">
              <w:rPr>
                <w:sz w:val="20"/>
                <w:szCs w:val="20"/>
              </w:rPr>
              <w:t>1</w:t>
            </w:r>
          </w:p>
        </w:tc>
      </w:tr>
      <w:tr w:rsidR="00C12D4D" w:rsidRPr="00581107" w14:paraId="17C6E0F4" w14:textId="77777777" w:rsidTr="001E3420">
        <w:tc>
          <w:tcPr>
            <w:tcW w:w="7366" w:type="dxa"/>
          </w:tcPr>
          <w:p w14:paraId="2A10494E" w14:textId="77777777" w:rsidR="00C12D4D" w:rsidRPr="00581107" w:rsidRDefault="00C12D4D" w:rsidP="001E3420">
            <w:pPr>
              <w:spacing w:line="276" w:lineRule="auto"/>
              <w:jc w:val="both"/>
              <w:rPr>
                <w:sz w:val="20"/>
                <w:szCs w:val="20"/>
              </w:rPr>
            </w:pPr>
            <w:r w:rsidRPr="00581107">
              <w:rPr>
                <w:sz w:val="20"/>
                <w:szCs w:val="20"/>
              </w:rPr>
              <w:t>Southern Africa</w:t>
            </w:r>
          </w:p>
        </w:tc>
        <w:tc>
          <w:tcPr>
            <w:tcW w:w="1696" w:type="dxa"/>
          </w:tcPr>
          <w:p w14:paraId="4DD8F8A0" w14:textId="77777777" w:rsidR="00C12D4D" w:rsidRPr="00581107" w:rsidRDefault="00C12D4D" w:rsidP="001E3420">
            <w:pPr>
              <w:spacing w:line="276" w:lineRule="auto"/>
              <w:jc w:val="both"/>
              <w:rPr>
                <w:sz w:val="20"/>
                <w:szCs w:val="20"/>
              </w:rPr>
            </w:pPr>
            <w:r w:rsidRPr="00581107">
              <w:rPr>
                <w:sz w:val="20"/>
                <w:szCs w:val="20"/>
              </w:rPr>
              <w:t>1.1</w:t>
            </w:r>
          </w:p>
        </w:tc>
      </w:tr>
      <w:tr w:rsidR="00C12D4D" w:rsidRPr="00581107" w14:paraId="612BC19E" w14:textId="77777777" w:rsidTr="001E3420">
        <w:tc>
          <w:tcPr>
            <w:tcW w:w="7366" w:type="dxa"/>
          </w:tcPr>
          <w:p w14:paraId="43B0A76A" w14:textId="77777777" w:rsidR="00C12D4D" w:rsidRPr="00581107" w:rsidRDefault="00C12D4D" w:rsidP="001E3420">
            <w:pPr>
              <w:spacing w:line="276" w:lineRule="auto"/>
              <w:jc w:val="both"/>
              <w:rPr>
                <w:sz w:val="20"/>
                <w:szCs w:val="20"/>
              </w:rPr>
            </w:pPr>
            <w:r w:rsidRPr="00581107">
              <w:rPr>
                <w:sz w:val="20"/>
                <w:szCs w:val="20"/>
              </w:rPr>
              <w:t>Asia</w:t>
            </w:r>
          </w:p>
        </w:tc>
        <w:tc>
          <w:tcPr>
            <w:tcW w:w="1696" w:type="dxa"/>
          </w:tcPr>
          <w:p w14:paraId="6B135EE1" w14:textId="77777777" w:rsidR="00C12D4D" w:rsidRPr="00581107" w:rsidRDefault="00C12D4D" w:rsidP="001E3420">
            <w:pPr>
              <w:spacing w:line="276" w:lineRule="auto"/>
              <w:jc w:val="both"/>
              <w:rPr>
                <w:sz w:val="20"/>
                <w:szCs w:val="20"/>
              </w:rPr>
            </w:pPr>
            <w:r w:rsidRPr="00581107">
              <w:rPr>
                <w:sz w:val="20"/>
                <w:szCs w:val="20"/>
              </w:rPr>
              <w:t>0.5</w:t>
            </w:r>
          </w:p>
        </w:tc>
      </w:tr>
      <w:tr w:rsidR="00C12D4D" w:rsidRPr="00581107" w14:paraId="4AA7D68D" w14:textId="77777777" w:rsidTr="001E3420">
        <w:tc>
          <w:tcPr>
            <w:tcW w:w="7366" w:type="dxa"/>
          </w:tcPr>
          <w:p w14:paraId="66AFA92E" w14:textId="77777777" w:rsidR="00C12D4D" w:rsidRPr="00581107" w:rsidRDefault="00C12D4D" w:rsidP="001E3420">
            <w:pPr>
              <w:spacing w:line="276" w:lineRule="auto"/>
              <w:jc w:val="both"/>
              <w:rPr>
                <w:sz w:val="20"/>
                <w:szCs w:val="20"/>
              </w:rPr>
            </w:pPr>
            <w:r w:rsidRPr="00581107">
              <w:rPr>
                <w:sz w:val="20"/>
                <w:szCs w:val="20"/>
              </w:rPr>
              <w:t>Middle-East and Northern Africa</w:t>
            </w:r>
          </w:p>
        </w:tc>
        <w:tc>
          <w:tcPr>
            <w:tcW w:w="1696" w:type="dxa"/>
          </w:tcPr>
          <w:p w14:paraId="7BFA414B" w14:textId="77777777" w:rsidR="00C12D4D" w:rsidRPr="00581107" w:rsidRDefault="00C12D4D" w:rsidP="001E3420">
            <w:pPr>
              <w:spacing w:line="276" w:lineRule="auto"/>
              <w:jc w:val="both"/>
              <w:rPr>
                <w:sz w:val="20"/>
                <w:szCs w:val="20"/>
              </w:rPr>
            </w:pPr>
            <w:r w:rsidRPr="00581107">
              <w:rPr>
                <w:sz w:val="20"/>
                <w:szCs w:val="20"/>
              </w:rPr>
              <w:t>0.6</w:t>
            </w:r>
          </w:p>
        </w:tc>
      </w:tr>
      <w:tr w:rsidR="00C12D4D" w:rsidRPr="00581107" w14:paraId="21AD7732" w14:textId="77777777" w:rsidTr="001E3420">
        <w:trPr>
          <w:trHeight w:val="84"/>
        </w:trPr>
        <w:tc>
          <w:tcPr>
            <w:tcW w:w="7366" w:type="dxa"/>
          </w:tcPr>
          <w:p w14:paraId="23DEC640" w14:textId="77777777" w:rsidR="00C12D4D" w:rsidRPr="00581107" w:rsidRDefault="00C12D4D" w:rsidP="001E3420">
            <w:pPr>
              <w:spacing w:line="276" w:lineRule="auto"/>
              <w:jc w:val="both"/>
              <w:rPr>
                <w:sz w:val="20"/>
                <w:szCs w:val="20"/>
              </w:rPr>
            </w:pPr>
            <w:r w:rsidRPr="00581107">
              <w:rPr>
                <w:sz w:val="20"/>
                <w:szCs w:val="20"/>
              </w:rPr>
              <w:t>South America, Caribbean, Pacific, Eastern Europe</w:t>
            </w:r>
          </w:p>
        </w:tc>
        <w:tc>
          <w:tcPr>
            <w:tcW w:w="1696" w:type="dxa"/>
          </w:tcPr>
          <w:p w14:paraId="346855B9" w14:textId="77777777" w:rsidR="00C12D4D" w:rsidRPr="00581107" w:rsidRDefault="00C12D4D" w:rsidP="001E3420">
            <w:pPr>
              <w:spacing w:line="276" w:lineRule="auto"/>
              <w:jc w:val="both"/>
              <w:rPr>
                <w:sz w:val="20"/>
                <w:szCs w:val="20"/>
              </w:rPr>
            </w:pPr>
            <w:r w:rsidRPr="00581107">
              <w:rPr>
                <w:sz w:val="20"/>
                <w:szCs w:val="20"/>
              </w:rPr>
              <w:t>0.8</w:t>
            </w:r>
          </w:p>
        </w:tc>
      </w:tr>
    </w:tbl>
    <w:p w14:paraId="16C27C9A" w14:textId="77777777" w:rsidR="00C12D4D" w:rsidRDefault="00C12D4D" w:rsidP="00C12D4D">
      <w:pPr>
        <w:spacing w:line="276" w:lineRule="auto"/>
        <w:jc w:val="both"/>
        <w:rPr>
          <w:b/>
          <w:bCs/>
        </w:rPr>
      </w:pPr>
    </w:p>
    <w:p w14:paraId="3E32E5B4" w14:textId="77777777" w:rsidR="00C12D4D" w:rsidRDefault="00C12D4D" w:rsidP="00C12D4D">
      <w:pPr>
        <w:spacing w:line="276" w:lineRule="auto"/>
        <w:jc w:val="both"/>
        <w:rPr>
          <w:b/>
          <w:bCs/>
        </w:rPr>
      </w:pPr>
    </w:p>
    <w:p w14:paraId="41A3085A" w14:textId="77777777" w:rsidR="00C12D4D" w:rsidRDefault="00C12D4D" w:rsidP="00C12D4D">
      <w:pPr>
        <w:spacing w:line="276" w:lineRule="auto"/>
        <w:jc w:val="both"/>
        <w:rPr>
          <w:b/>
          <w:bCs/>
        </w:rPr>
      </w:pPr>
      <w:r>
        <w:rPr>
          <w:b/>
          <w:bCs/>
        </w:rPr>
        <w:br w:type="page"/>
      </w:r>
    </w:p>
    <w:p w14:paraId="2C65697E" w14:textId="7670AFDD" w:rsidR="00C12D4D" w:rsidRPr="00581107" w:rsidRDefault="00CE3C16" w:rsidP="00C12D4D">
      <w:pPr>
        <w:spacing w:line="276" w:lineRule="auto"/>
        <w:jc w:val="both"/>
      </w:pPr>
      <w:r>
        <w:rPr>
          <w:b/>
          <w:bCs/>
        </w:rPr>
        <w:lastRenderedPageBreak/>
        <w:t xml:space="preserve">Supplementary </w:t>
      </w:r>
      <w:r w:rsidR="00C12D4D" w:rsidRPr="009810B0">
        <w:rPr>
          <w:b/>
          <w:bCs/>
        </w:rPr>
        <w:t xml:space="preserve">Table </w:t>
      </w:r>
      <w:r>
        <w:rPr>
          <w:b/>
          <w:bCs/>
        </w:rPr>
        <w:t>2</w:t>
      </w:r>
      <w:r w:rsidR="00586E5B">
        <w:rPr>
          <w:b/>
          <w:bCs/>
        </w:rPr>
        <w:t>.</w:t>
      </w:r>
      <w:r w:rsidR="00C12D4D" w:rsidRPr="00581107">
        <w:t xml:space="preserve"> Parameters used in this study</w:t>
      </w:r>
      <w:r w:rsidR="00C12D4D">
        <w:t xml:space="preserve"> to derive the port area requirement. </w:t>
      </w:r>
      <w:r w:rsidR="00C12D4D" w:rsidRPr="00581107">
        <w:t>All parameters are modelled using a uniform distribution function between the lower and upper bound.</w:t>
      </w:r>
    </w:p>
    <w:tbl>
      <w:tblPr>
        <w:tblStyle w:val="TableGrid"/>
        <w:tblW w:w="10065" w:type="dxa"/>
        <w:tblInd w:w="-147" w:type="dxa"/>
        <w:tblLook w:val="04A0" w:firstRow="1" w:lastRow="0" w:firstColumn="1" w:lastColumn="0" w:noHBand="0" w:noVBand="1"/>
      </w:tblPr>
      <w:tblGrid>
        <w:gridCol w:w="1186"/>
        <w:gridCol w:w="1427"/>
        <w:gridCol w:w="1598"/>
        <w:gridCol w:w="1424"/>
        <w:gridCol w:w="1522"/>
        <w:gridCol w:w="2908"/>
      </w:tblGrid>
      <w:tr w:rsidR="00C12D4D" w:rsidRPr="00581107" w14:paraId="6650659D" w14:textId="77777777" w:rsidTr="001E3420">
        <w:tc>
          <w:tcPr>
            <w:tcW w:w="1189" w:type="dxa"/>
            <w:vAlign w:val="center"/>
          </w:tcPr>
          <w:p w14:paraId="498CD3E0" w14:textId="77777777" w:rsidR="00C12D4D" w:rsidRPr="005036BA" w:rsidRDefault="00C12D4D" w:rsidP="001E3420">
            <w:pPr>
              <w:spacing w:line="276" w:lineRule="auto"/>
              <w:jc w:val="both"/>
              <w:rPr>
                <w:b/>
                <w:bCs/>
                <w:sz w:val="20"/>
                <w:szCs w:val="20"/>
              </w:rPr>
            </w:pPr>
            <w:r w:rsidRPr="005036BA">
              <w:rPr>
                <w:b/>
                <w:bCs/>
                <w:sz w:val="20"/>
                <w:szCs w:val="20"/>
              </w:rPr>
              <w:t>Parameter</w:t>
            </w:r>
          </w:p>
        </w:tc>
        <w:tc>
          <w:tcPr>
            <w:tcW w:w="1221" w:type="dxa"/>
            <w:vAlign w:val="center"/>
          </w:tcPr>
          <w:p w14:paraId="3AA90EB1" w14:textId="77777777" w:rsidR="00C12D4D" w:rsidRPr="005036BA" w:rsidRDefault="00C12D4D" w:rsidP="001E3420">
            <w:pPr>
              <w:spacing w:line="276" w:lineRule="auto"/>
              <w:jc w:val="center"/>
              <w:rPr>
                <w:b/>
                <w:bCs/>
                <w:sz w:val="20"/>
                <w:szCs w:val="20"/>
              </w:rPr>
            </w:pPr>
            <w:r w:rsidRPr="005036BA">
              <w:rPr>
                <w:b/>
                <w:bCs/>
                <w:sz w:val="20"/>
                <w:szCs w:val="20"/>
              </w:rPr>
              <w:t>Container</w:t>
            </w:r>
          </w:p>
        </w:tc>
        <w:tc>
          <w:tcPr>
            <w:tcW w:w="1657" w:type="dxa"/>
            <w:vAlign w:val="center"/>
          </w:tcPr>
          <w:p w14:paraId="02A57FBC" w14:textId="230E71C9" w:rsidR="00C12D4D" w:rsidRPr="005036BA" w:rsidRDefault="00C12D4D" w:rsidP="001E3420">
            <w:pPr>
              <w:spacing w:line="276" w:lineRule="auto"/>
              <w:jc w:val="center"/>
              <w:rPr>
                <w:b/>
                <w:bCs/>
                <w:sz w:val="20"/>
                <w:szCs w:val="20"/>
              </w:rPr>
            </w:pPr>
            <w:r w:rsidRPr="005036BA">
              <w:rPr>
                <w:b/>
                <w:bCs/>
                <w:sz w:val="20"/>
                <w:szCs w:val="20"/>
              </w:rPr>
              <w:t xml:space="preserve">Dry </w:t>
            </w:r>
            <w:r w:rsidR="00074A38">
              <w:rPr>
                <w:b/>
                <w:bCs/>
                <w:sz w:val="20"/>
                <w:szCs w:val="20"/>
              </w:rPr>
              <w:t>b</w:t>
            </w:r>
            <w:r w:rsidRPr="005036BA">
              <w:rPr>
                <w:b/>
                <w:bCs/>
                <w:sz w:val="20"/>
                <w:szCs w:val="20"/>
              </w:rPr>
              <w:t>ulk</w:t>
            </w:r>
          </w:p>
        </w:tc>
        <w:tc>
          <w:tcPr>
            <w:tcW w:w="1462" w:type="dxa"/>
            <w:vAlign w:val="center"/>
          </w:tcPr>
          <w:p w14:paraId="22220433" w14:textId="77777777" w:rsidR="00C12D4D" w:rsidRPr="005036BA" w:rsidRDefault="00C12D4D" w:rsidP="001E3420">
            <w:pPr>
              <w:spacing w:line="276" w:lineRule="auto"/>
              <w:jc w:val="center"/>
              <w:rPr>
                <w:b/>
                <w:bCs/>
                <w:sz w:val="20"/>
                <w:szCs w:val="20"/>
              </w:rPr>
            </w:pPr>
            <w:r w:rsidRPr="005036BA">
              <w:rPr>
                <w:b/>
                <w:bCs/>
                <w:sz w:val="20"/>
                <w:szCs w:val="20"/>
              </w:rPr>
              <w:t>Liquid bulk</w:t>
            </w:r>
          </w:p>
        </w:tc>
        <w:tc>
          <w:tcPr>
            <w:tcW w:w="1559" w:type="dxa"/>
            <w:vAlign w:val="center"/>
          </w:tcPr>
          <w:p w14:paraId="0E07D526" w14:textId="77777777" w:rsidR="00C12D4D" w:rsidRPr="005036BA" w:rsidRDefault="00C12D4D" w:rsidP="001E3420">
            <w:pPr>
              <w:spacing w:line="276" w:lineRule="auto"/>
              <w:jc w:val="center"/>
              <w:rPr>
                <w:b/>
                <w:bCs/>
                <w:sz w:val="20"/>
                <w:szCs w:val="20"/>
              </w:rPr>
            </w:pPr>
            <w:r w:rsidRPr="005036BA">
              <w:rPr>
                <w:b/>
                <w:bCs/>
                <w:sz w:val="20"/>
                <w:szCs w:val="20"/>
              </w:rPr>
              <w:t>General cargo</w:t>
            </w:r>
          </w:p>
        </w:tc>
        <w:tc>
          <w:tcPr>
            <w:tcW w:w="2977" w:type="dxa"/>
            <w:vAlign w:val="center"/>
          </w:tcPr>
          <w:p w14:paraId="5D88DB42" w14:textId="77777777" w:rsidR="00C12D4D" w:rsidRPr="005036BA" w:rsidRDefault="00C12D4D" w:rsidP="001E3420">
            <w:pPr>
              <w:spacing w:line="276" w:lineRule="auto"/>
              <w:jc w:val="both"/>
              <w:rPr>
                <w:b/>
                <w:bCs/>
                <w:sz w:val="20"/>
                <w:szCs w:val="20"/>
              </w:rPr>
            </w:pPr>
            <w:r w:rsidRPr="005036BA">
              <w:rPr>
                <w:b/>
                <w:bCs/>
                <w:sz w:val="20"/>
                <w:szCs w:val="20"/>
              </w:rPr>
              <w:t>Source</w:t>
            </w:r>
          </w:p>
        </w:tc>
      </w:tr>
      <w:tr w:rsidR="00C12D4D" w:rsidRPr="00581107" w14:paraId="527BB097" w14:textId="77777777" w:rsidTr="001E3420">
        <w:tc>
          <w:tcPr>
            <w:tcW w:w="1189" w:type="dxa"/>
            <w:vAlign w:val="center"/>
          </w:tcPr>
          <w:p w14:paraId="355734CB" w14:textId="77777777" w:rsidR="00C12D4D" w:rsidRPr="00581107" w:rsidRDefault="00C12D4D" w:rsidP="001E3420">
            <w:pPr>
              <w:spacing w:line="276" w:lineRule="auto"/>
              <w:rPr>
                <w:sz w:val="20"/>
                <w:szCs w:val="20"/>
              </w:rPr>
            </w:pPr>
            <w:r w:rsidRPr="00581107">
              <w:rPr>
                <w:sz w:val="20"/>
                <w:szCs w:val="20"/>
              </w:rPr>
              <w:t>t</w:t>
            </w:r>
          </w:p>
        </w:tc>
        <w:tc>
          <w:tcPr>
            <w:tcW w:w="1221" w:type="dxa"/>
            <w:vAlign w:val="center"/>
          </w:tcPr>
          <w:p w14:paraId="6D9113C7" w14:textId="77777777" w:rsidR="00C12D4D" w:rsidRPr="00581107" w:rsidRDefault="00C12D4D" w:rsidP="001E3420">
            <w:pPr>
              <w:spacing w:line="276" w:lineRule="auto"/>
              <w:jc w:val="center"/>
              <w:rPr>
                <w:sz w:val="20"/>
                <w:szCs w:val="20"/>
              </w:rPr>
            </w:pPr>
            <w:r w:rsidRPr="00581107">
              <w:rPr>
                <w:sz w:val="20"/>
                <w:szCs w:val="20"/>
              </w:rPr>
              <w:t>4 - 8</w:t>
            </w:r>
          </w:p>
        </w:tc>
        <w:tc>
          <w:tcPr>
            <w:tcW w:w="1657" w:type="dxa"/>
            <w:vAlign w:val="center"/>
          </w:tcPr>
          <w:p w14:paraId="71B0B6CC" w14:textId="77777777" w:rsidR="00C12D4D" w:rsidRPr="00581107" w:rsidRDefault="00C12D4D" w:rsidP="001E3420">
            <w:pPr>
              <w:spacing w:line="276" w:lineRule="auto"/>
              <w:jc w:val="center"/>
              <w:rPr>
                <w:sz w:val="20"/>
                <w:szCs w:val="20"/>
              </w:rPr>
            </w:pPr>
            <w:r w:rsidRPr="00581107">
              <w:rPr>
                <w:sz w:val="20"/>
                <w:szCs w:val="20"/>
              </w:rPr>
              <w:t xml:space="preserve">12 - 18 for </w:t>
            </w:r>
            <w:r>
              <w:rPr>
                <w:sz w:val="20"/>
                <w:szCs w:val="20"/>
              </w:rPr>
              <w:t>silo</w:t>
            </w:r>
          </w:p>
          <w:p w14:paraId="2361938B" w14:textId="77777777" w:rsidR="00C12D4D" w:rsidRPr="00581107" w:rsidRDefault="00C12D4D" w:rsidP="001E3420">
            <w:pPr>
              <w:spacing w:line="276" w:lineRule="auto"/>
              <w:jc w:val="center"/>
              <w:rPr>
                <w:sz w:val="20"/>
                <w:szCs w:val="20"/>
              </w:rPr>
            </w:pPr>
            <w:r w:rsidRPr="00581107">
              <w:rPr>
                <w:sz w:val="20"/>
                <w:szCs w:val="20"/>
              </w:rPr>
              <w:t xml:space="preserve">25 - 45 for </w:t>
            </w:r>
            <w:r>
              <w:rPr>
                <w:sz w:val="20"/>
                <w:szCs w:val="20"/>
              </w:rPr>
              <w:t>open</w:t>
            </w:r>
          </w:p>
        </w:tc>
        <w:tc>
          <w:tcPr>
            <w:tcW w:w="1462" w:type="dxa"/>
            <w:vAlign w:val="center"/>
          </w:tcPr>
          <w:p w14:paraId="7165F078" w14:textId="77777777" w:rsidR="00C12D4D" w:rsidRPr="00581107" w:rsidRDefault="00C12D4D" w:rsidP="001E3420">
            <w:pPr>
              <w:spacing w:line="276" w:lineRule="auto"/>
              <w:jc w:val="center"/>
              <w:rPr>
                <w:sz w:val="20"/>
                <w:szCs w:val="20"/>
              </w:rPr>
            </w:pPr>
            <w:r w:rsidRPr="00581107">
              <w:rPr>
                <w:sz w:val="20"/>
                <w:szCs w:val="20"/>
              </w:rPr>
              <w:t>15 - 3</w:t>
            </w:r>
            <w:r>
              <w:rPr>
                <w:sz w:val="20"/>
                <w:szCs w:val="20"/>
              </w:rPr>
              <w:t>0</w:t>
            </w:r>
          </w:p>
        </w:tc>
        <w:tc>
          <w:tcPr>
            <w:tcW w:w="1559" w:type="dxa"/>
            <w:vAlign w:val="center"/>
          </w:tcPr>
          <w:p w14:paraId="6EC7158A" w14:textId="77777777" w:rsidR="00C12D4D" w:rsidRPr="00581107" w:rsidRDefault="00C12D4D" w:rsidP="001E3420">
            <w:pPr>
              <w:spacing w:line="276" w:lineRule="auto"/>
              <w:jc w:val="center"/>
              <w:rPr>
                <w:sz w:val="20"/>
                <w:szCs w:val="20"/>
              </w:rPr>
            </w:pPr>
            <w:r w:rsidRPr="00581107">
              <w:rPr>
                <w:sz w:val="20"/>
                <w:szCs w:val="20"/>
              </w:rPr>
              <w:t>7 - 13</w:t>
            </w:r>
          </w:p>
        </w:tc>
        <w:tc>
          <w:tcPr>
            <w:tcW w:w="2977" w:type="dxa"/>
            <w:vAlign w:val="center"/>
          </w:tcPr>
          <w:p w14:paraId="66924957" w14:textId="796AA920" w:rsidR="00C12D4D" w:rsidRPr="00C343F8" w:rsidRDefault="00C12D4D" w:rsidP="001E3420">
            <w:pPr>
              <w:spacing w:line="276" w:lineRule="auto"/>
              <w:rPr>
                <w:sz w:val="20"/>
                <w:szCs w:val="20"/>
                <w:lang w:val="nl-NL"/>
              </w:rPr>
            </w:pPr>
            <w:proofErr w:type="spellStart"/>
            <w:r w:rsidRPr="00C343F8">
              <w:rPr>
                <w:sz w:val="20"/>
                <w:szCs w:val="20"/>
                <w:lang w:val="nl-NL"/>
              </w:rPr>
              <w:t>Kox</w:t>
            </w:r>
            <w:proofErr w:type="spellEnd"/>
            <w:r w:rsidRPr="00C343F8">
              <w:rPr>
                <w:sz w:val="20"/>
                <w:szCs w:val="20"/>
                <w:lang w:val="nl-NL"/>
              </w:rPr>
              <w:t xml:space="preserve"> (201</w:t>
            </w:r>
            <w:r w:rsidR="006421A8">
              <w:rPr>
                <w:sz w:val="20"/>
                <w:szCs w:val="20"/>
                <w:lang w:val="nl-NL"/>
              </w:rPr>
              <w:t>6</w:t>
            </w:r>
            <w:r w:rsidRPr="00C343F8">
              <w:rPr>
                <w:sz w:val="20"/>
                <w:szCs w:val="20"/>
                <w:lang w:val="nl-NL"/>
              </w:rPr>
              <w:t>)</w:t>
            </w:r>
            <w:r w:rsidR="006421A8">
              <w:rPr>
                <w:sz w:val="20"/>
                <w:szCs w:val="20"/>
                <w:lang w:val="nl-NL"/>
              </w:rPr>
              <w:fldChar w:fldCharType="begin" w:fldLock="1"/>
            </w:r>
            <w:r w:rsidR="008A5081">
              <w:rPr>
                <w:sz w:val="20"/>
                <w:szCs w:val="20"/>
                <w:lang w:val="nl-NL"/>
              </w:rPr>
              <w:instrText>ADDIN CSL_CITATION {"citationItems":[{"id":"ITEM-1","itemData":{"author":[{"dropping-particle":"","family":"Kox","given":"S.A.J.","non-dropping-particle":"","parse-names":false,"suffix":""}],"id":"ITEM-1","issued":{"date-parts":[["2016"]]},"page":"203","title":"A Tool for Determining Marine Terminal Dimensions and Costs in a Project's Feasibility Phase.","type":"article-journal"},"uris":["http://www.mendeley.com/documents/?uuid=5d51f26b-6431-4721-8b88-3f04a222e1cf"]}],"mendeley":{"formattedCitation":"&lt;sup&gt;4&lt;/sup&gt;","plainTextFormattedCitation":"4","previouslyFormattedCitation":"&lt;sup&gt;4&lt;/sup&gt;"},"properties":{"noteIndex":0},"schema":"https://github.com/citation-style-language/schema/raw/master/csl-citation.json"}</w:instrText>
            </w:r>
            <w:r w:rsidR="006421A8">
              <w:rPr>
                <w:sz w:val="20"/>
                <w:szCs w:val="20"/>
                <w:lang w:val="nl-NL"/>
              </w:rPr>
              <w:fldChar w:fldCharType="separate"/>
            </w:r>
            <w:r w:rsidR="008A5081" w:rsidRPr="008A5081">
              <w:rPr>
                <w:noProof/>
                <w:sz w:val="20"/>
                <w:szCs w:val="20"/>
                <w:vertAlign w:val="superscript"/>
                <w:lang w:val="nl-NL"/>
              </w:rPr>
              <w:t>4</w:t>
            </w:r>
            <w:r w:rsidR="006421A8">
              <w:rPr>
                <w:sz w:val="20"/>
                <w:szCs w:val="20"/>
                <w:lang w:val="nl-NL"/>
              </w:rPr>
              <w:fldChar w:fldCharType="end"/>
            </w:r>
          </w:p>
          <w:p w14:paraId="15147257" w14:textId="4E064CB1" w:rsidR="00C12D4D" w:rsidRPr="00C343F8" w:rsidRDefault="00C12D4D" w:rsidP="001E3420">
            <w:pPr>
              <w:spacing w:line="276" w:lineRule="auto"/>
              <w:rPr>
                <w:sz w:val="20"/>
                <w:szCs w:val="20"/>
                <w:lang w:val="nl-NL"/>
              </w:rPr>
            </w:pPr>
            <w:proofErr w:type="spellStart"/>
            <w:r w:rsidRPr="00C343F8">
              <w:rPr>
                <w:sz w:val="20"/>
                <w:szCs w:val="20"/>
                <w:lang w:val="nl-NL"/>
              </w:rPr>
              <w:t>Kleinheerenbrink</w:t>
            </w:r>
            <w:proofErr w:type="spellEnd"/>
            <w:r w:rsidRPr="00C343F8">
              <w:rPr>
                <w:sz w:val="20"/>
                <w:szCs w:val="20"/>
                <w:lang w:val="nl-NL"/>
              </w:rPr>
              <w:t xml:space="preserve"> (2012)</w:t>
            </w:r>
            <w:r w:rsidR="006421A8">
              <w:rPr>
                <w:sz w:val="20"/>
                <w:szCs w:val="20"/>
                <w:lang w:val="nl-NL"/>
              </w:rPr>
              <w:fldChar w:fldCharType="begin" w:fldLock="1"/>
            </w:r>
            <w:r w:rsidR="00545404">
              <w:rPr>
                <w:sz w:val="20"/>
                <w:szCs w:val="20"/>
                <w:lang w:val="nl-NL"/>
              </w:rPr>
              <w:instrText>ADDIN CSL_CITATION {"citationItems":[{"id":"ITEM-1","itemData":{"author":[{"dropping-particle":"","family":"Kleinheerenbrink","given":"A.J.A.","non-dropping-particle":"","parse-names":false,"suffix":""}],"id":"ITEM-1","issued":{"date-parts":[["2012"]]},"publisher":"Delft University of Technology","title":"A Design Tool for Dry Bulk Terminals","type":"thesis"},"uris":["http://www.mendeley.com/documents/?uuid=417c8604-6dad-45d6-b99e-0b3d811bc51c"]}],"mendeley":{"formattedCitation":"&lt;sup&gt;20&lt;/sup&gt;","plainTextFormattedCitation":"20","previouslyFormattedCitation":"&lt;sup&gt;21&lt;/sup&gt;"},"properties":{"noteIndex":0},"schema":"https://github.com/citation-style-language/schema/raw/master/csl-citation.json"}</w:instrText>
            </w:r>
            <w:r w:rsidR="006421A8">
              <w:rPr>
                <w:sz w:val="20"/>
                <w:szCs w:val="20"/>
                <w:lang w:val="nl-NL"/>
              </w:rPr>
              <w:fldChar w:fldCharType="separate"/>
            </w:r>
            <w:r w:rsidR="00545404" w:rsidRPr="00545404">
              <w:rPr>
                <w:noProof/>
                <w:sz w:val="20"/>
                <w:szCs w:val="20"/>
                <w:vertAlign w:val="superscript"/>
                <w:lang w:val="nl-NL"/>
              </w:rPr>
              <w:t>20</w:t>
            </w:r>
            <w:r w:rsidR="006421A8">
              <w:rPr>
                <w:sz w:val="20"/>
                <w:szCs w:val="20"/>
                <w:lang w:val="nl-NL"/>
              </w:rPr>
              <w:fldChar w:fldCharType="end"/>
            </w:r>
          </w:p>
          <w:p w14:paraId="4C731E04" w14:textId="60B9E288" w:rsidR="00C12D4D" w:rsidRPr="00C343F8" w:rsidRDefault="00C12D4D" w:rsidP="001E3420">
            <w:pPr>
              <w:spacing w:line="276" w:lineRule="auto"/>
              <w:rPr>
                <w:sz w:val="20"/>
                <w:szCs w:val="20"/>
                <w:lang w:val="nl-NL"/>
              </w:rPr>
            </w:pPr>
            <w:r w:rsidRPr="00C343F8">
              <w:rPr>
                <w:sz w:val="20"/>
                <w:szCs w:val="20"/>
                <w:lang w:val="nl-NL"/>
              </w:rPr>
              <w:t xml:space="preserve">Ligteringen </w:t>
            </w:r>
            <w:proofErr w:type="spellStart"/>
            <w:r w:rsidRPr="00C343F8">
              <w:rPr>
                <w:sz w:val="20"/>
                <w:szCs w:val="20"/>
                <w:lang w:val="nl-NL"/>
              </w:rPr>
              <w:t>and</w:t>
            </w:r>
            <w:proofErr w:type="spellEnd"/>
            <w:r w:rsidRPr="00C343F8">
              <w:rPr>
                <w:sz w:val="20"/>
                <w:szCs w:val="20"/>
                <w:lang w:val="nl-NL"/>
              </w:rPr>
              <w:t xml:space="preserve"> Velsink (2012)</w:t>
            </w:r>
            <w:r w:rsidR="006421A8">
              <w:rPr>
                <w:sz w:val="20"/>
                <w:szCs w:val="20"/>
                <w:lang w:val="nl-NL"/>
              </w:rPr>
              <w:fldChar w:fldCharType="begin" w:fldLock="1"/>
            </w:r>
            <w:r w:rsidR="00545404">
              <w:rPr>
                <w:sz w:val="20"/>
                <w:szCs w:val="20"/>
                <w:lang w:val="nl-NL"/>
              </w:rPr>
              <w:instrText>ADDIN CSL_CITATION {"citationItems":[{"id":"ITEM-1","itemData":{"ISBN":"9789065623041","author":[{"dropping-particle":"","family":"Ligteringen","given":"H.","non-dropping-particle":"","parse-names":false,"suffix":""},{"dropping-particle":"","family":"Velsink","given":"H.","non-dropping-particle":"","parse-names":false,"suffix":""}],"id":"ITEM-1","issued":{"date-parts":[["2012"]]},"publisher":"Delft University Press","publisher-place":"Delft","title":"Ports and Terminals","type":"book"},"uris":["http://www.mendeley.com/documents/?uuid=2e4ffd00-3041-4ce1-a3b5-573fd9f9f93b"]}],"mendeley":{"formattedCitation":"&lt;sup&gt;21&lt;/sup&gt;","plainTextFormattedCitation":"21","previouslyFormattedCitation":"&lt;sup&gt;22&lt;/sup&gt;"},"properties":{"noteIndex":0},"schema":"https://github.com/citation-style-language/schema/raw/master/csl-citation.json"}</w:instrText>
            </w:r>
            <w:r w:rsidR="006421A8">
              <w:rPr>
                <w:sz w:val="20"/>
                <w:szCs w:val="20"/>
                <w:lang w:val="nl-NL"/>
              </w:rPr>
              <w:fldChar w:fldCharType="separate"/>
            </w:r>
            <w:r w:rsidR="00545404" w:rsidRPr="00545404">
              <w:rPr>
                <w:noProof/>
                <w:sz w:val="20"/>
                <w:szCs w:val="20"/>
                <w:vertAlign w:val="superscript"/>
                <w:lang w:val="nl-NL"/>
              </w:rPr>
              <w:t>21</w:t>
            </w:r>
            <w:r w:rsidR="006421A8">
              <w:rPr>
                <w:sz w:val="20"/>
                <w:szCs w:val="20"/>
                <w:lang w:val="nl-NL"/>
              </w:rPr>
              <w:fldChar w:fldCharType="end"/>
            </w:r>
          </w:p>
          <w:p w14:paraId="775351F2" w14:textId="30E3F8B6" w:rsidR="00C12D4D" w:rsidRPr="00581107" w:rsidRDefault="00C12D4D" w:rsidP="001E3420">
            <w:pPr>
              <w:spacing w:line="276" w:lineRule="auto"/>
              <w:rPr>
                <w:sz w:val="20"/>
                <w:szCs w:val="20"/>
              </w:rPr>
            </w:pPr>
            <w:r w:rsidRPr="00581107">
              <w:rPr>
                <w:sz w:val="20"/>
                <w:szCs w:val="20"/>
              </w:rPr>
              <w:t>Merk and Dang (2012)</w:t>
            </w:r>
            <w:r w:rsidR="006421A8">
              <w:rPr>
                <w:sz w:val="20"/>
                <w:szCs w:val="20"/>
              </w:rPr>
              <w:fldChar w:fldCharType="begin" w:fldLock="1"/>
            </w:r>
            <w:r w:rsidR="00545404">
              <w:rPr>
                <w:sz w:val="20"/>
                <w:szCs w:val="20"/>
              </w:rPr>
              <w:instrText>ADDIN CSL_CITATION {"citationItems":[{"id":"ITEM-1","itemData":{"ISSN":"2073-7009","abstract":"Port efficiency is an important indicator of port performance; more efficient ports lower transportation costs and facilitate imports and exports of a country. Despite the importance of the subject, the exisiting port efficiency studies have almost exclusively focused on container ports. This Working Paper aims to fill that gap by calculating efficiency scores of world ports per cargo type (containers, oil, coal, iron ore and grain). These calculcations have been made using a database constructed for this purpose. Several findings can be derived from these calculations. Significant improvements can be made when the technical efficiency of ports is increased. Among the sample, gaps between terminal efficiency mostly reflected gaps in pure technical efficiency. When comparing the level of efficiency achieved by ports across commodities, technical gaps were more marked for container and oil terminals. Promoting policies to raise throughput levels in order to minimise production scale inefficiencies is another important area for improvement. Production scale inefficiencies arise when throughput levels are below or above optimal levels given the current capacity of terminal infrastructure. Such inefficiencies were mostly found in a substantial number of ports handling crude oil and iron ore, suggesting that efficiency is more sensitive and driven by exogenous factors related to traffic flows. The analysis also shows that the size of ports matters for port efficiency. The crude oil, iron-ore and grain ports have higher efficiency scores at larger total port size, suggesting that this size is more efficient because they can drive technological development. Finally, there are regional patterns emerging across commodities. Terminals in China are among the most efficient in handling coal bulk and containers with terminals in Southeast Asia. By contrast, the most efficient grain and iron-ore terminals are located in Latin America, and the most efficient crude-oil transhipment terminals are mostly found in the Gulf region. Further, Australia is also found to perform well in handling coal bulk and grains.","author":[{"dropping-particle":"","family":"Merk","given":"Olaf","non-dropping-particle":"","parse-names":false,"suffix":""},{"dropping-particle":"","family":"Dang","given":"Thai Thanh","non-dropping-particle":"","parse-names":false,"suffix":""}],"container-title":"Regional Development Working Papers","id":"ITEM-1","issue":"2012/09","issued":{"date-parts":[["2012"]]},"page":"1-28","title":"Efficiency of world ports in container and bulk cargo ( oil , coal , ores and grain )","type":"article-journal"},"uris":["http://www.mendeley.com/documents/?uuid=de4b0244-e1db-4c74-b11a-c2c04454daa5"]}],"mendeley":{"formattedCitation":"&lt;sup&gt;22&lt;/sup&gt;","plainTextFormattedCitation":"22","previouslyFormattedCitation":"&lt;sup&gt;23&lt;/sup&gt;"},"properties":{"noteIndex":0},"schema":"https://github.com/citation-style-language/schema/raw/master/csl-citation.json"}</w:instrText>
            </w:r>
            <w:r w:rsidR="006421A8">
              <w:rPr>
                <w:sz w:val="20"/>
                <w:szCs w:val="20"/>
              </w:rPr>
              <w:fldChar w:fldCharType="separate"/>
            </w:r>
            <w:r w:rsidR="00545404" w:rsidRPr="00545404">
              <w:rPr>
                <w:noProof/>
                <w:sz w:val="20"/>
                <w:szCs w:val="20"/>
                <w:vertAlign w:val="superscript"/>
              </w:rPr>
              <w:t>22</w:t>
            </w:r>
            <w:r w:rsidR="006421A8">
              <w:rPr>
                <w:sz w:val="20"/>
                <w:szCs w:val="20"/>
              </w:rPr>
              <w:fldChar w:fldCharType="end"/>
            </w:r>
          </w:p>
        </w:tc>
      </w:tr>
      <w:tr w:rsidR="00C12D4D" w:rsidRPr="00581107" w14:paraId="2691EB25" w14:textId="77777777" w:rsidTr="001E3420">
        <w:tc>
          <w:tcPr>
            <w:tcW w:w="1189" w:type="dxa"/>
            <w:vAlign w:val="center"/>
          </w:tcPr>
          <w:p w14:paraId="6E327E79" w14:textId="77777777" w:rsidR="00C12D4D" w:rsidRPr="00581107" w:rsidRDefault="00C12D4D" w:rsidP="001E3420">
            <w:pPr>
              <w:spacing w:line="276" w:lineRule="auto"/>
              <w:rPr>
                <w:sz w:val="20"/>
                <w:szCs w:val="20"/>
              </w:rPr>
            </w:pPr>
            <w:r w:rsidRPr="003C3808">
              <w:rPr>
                <w:sz w:val="20"/>
                <w:szCs w:val="20"/>
              </w:rPr>
              <w:t>V</w:t>
            </w:r>
            <w:r w:rsidRPr="003C3808">
              <w:rPr>
                <w:sz w:val="20"/>
                <w:szCs w:val="20"/>
                <w:vertAlign w:val="subscript"/>
              </w:rPr>
              <w:t>TEU</w:t>
            </w:r>
          </w:p>
        </w:tc>
        <w:tc>
          <w:tcPr>
            <w:tcW w:w="1221" w:type="dxa"/>
            <w:vAlign w:val="center"/>
          </w:tcPr>
          <w:p w14:paraId="222ADE32" w14:textId="77777777" w:rsidR="00C12D4D" w:rsidRPr="00581107" w:rsidRDefault="00C12D4D" w:rsidP="001E3420">
            <w:pPr>
              <w:spacing w:line="276" w:lineRule="auto"/>
              <w:jc w:val="center"/>
              <w:rPr>
                <w:sz w:val="20"/>
                <w:szCs w:val="20"/>
              </w:rPr>
            </w:pPr>
            <w:r>
              <w:rPr>
                <w:sz w:val="20"/>
                <w:szCs w:val="20"/>
              </w:rPr>
              <w:t xml:space="preserve">10 - </w:t>
            </w:r>
            <w:r w:rsidRPr="00581107">
              <w:rPr>
                <w:sz w:val="20"/>
                <w:szCs w:val="20"/>
              </w:rPr>
              <w:t>12</w:t>
            </w:r>
          </w:p>
        </w:tc>
        <w:tc>
          <w:tcPr>
            <w:tcW w:w="1657" w:type="dxa"/>
            <w:vAlign w:val="center"/>
          </w:tcPr>
          <w:p w14:paraId="619AEFEA" w14:textId="77777777" w:rsidR="00C12D4D" w:rsidRPr="00581107" w:rsidRDefault="00C12D4D" w:rsidP="001E3420">
            <w:pPr>
              <w:spacing w:line="276" w:lineRule="auto"/>
              <w:jc w:val="center"/>
              <w:rPr>
                <w:sz w:val="20"/>
                <w:szCs w:val="20"/>
              </w:rPr>
            </w:pPr>
            <w:r w:rsidRPr="00581107">
              <w:rPr>
                <w:sz w:val="20"/>
                <w:szCs w:val="20"/>
              </w:rPr>
              <w:t>-</w:t>
            </w:r>
          </w:p>
        </w:tc>
        <w:tc>
          <w:tcPr>
            <w:tcW w:w="1462" w:type="dxa"/>
            <w:vAlign w:val="center"/>
          </w:tcPr>
          <w:p w14:paraId="0FF2D65A" w14:textId="77777777" w:rsidR="00C12D4D" w:rsidRPr="00581107" w:rsidRDefault="00C12D4D" w:rsidP="001E3420">
            <w:pPr>
              <w:spacing w:line="276" w:lineRule="auto"/>
              <w:jc w:val="center"/>
              <w:rPr>
                <w:sz w:val="20"/>
                <w:szCs w:val="20"/>
              </w:rPr>
            </w:pPr>
            <w:r w:rsidRPr="00581107">
              <w:rPr>
                <w:sz w:val="20"/>
                <w:szCs w:val="20"/>
              </w:rPr>
              <w:t>-</w:t>
            </w:r>
          </w:p>
        </w:tc>
        <w:tc>
          <w:tcPr>
            <w:tcW w:w="1559" w:type="dxa"/>
            <w:vAlign w:val="center"/>
          </w:tcPr>
          <w:p w14:paraId="7215F536" w14:textId="77777777" w:rsidR="00C12D4D" w:rsidRPr="00581107" w:rsidRDefault="00C12D4D" w:rsidP="001E3420">
            <w:pPr>
              <w:spacing w:line="276" w:lineRule="auto"/>
              <w:jc w:val="center"/>
              <w:rPr>
                <w:sz w:val="20"/>
                <w:szCs w:val="20"/>
              </w:rPr>
            </w:pPr>
            <w:r w:rsidRPr="00581107">
              <w:rPr>
                <w:sz w:val="20"/>
                <w:szCs w:val="20"/>
              </w:rPr>
              <w:t>-</w:t>
            </w:r>
          </w:p>
        </w:tc>
        <w:tc>
          <w:tcPr>
            <w:tcW w:w="2977" w:type="dxa"/>
            <w:vAlign w:val="center"/>
          </w:tcPr>
          <w:p w14:paraId="4F6D1380" w14:textId="398C1413" w:rsidR="00C12D4D" w:rsidRPr="00581107" w:rsidRDefault="006421A8" w:rsidP="001E3420">
            <w:pPr>
              <w:spacing w:line="276" w:lineRule="auto"/>
              <w:rPr>
                <w:sz w:val="20"/>
                <w:szCs w:val="20"/>
              </w:rPr>
            </w:pPr>
            <w:r>
              <w:rPr>
                <w:sz w:val="20"/>
                <w:szCs w:val="20"/>
              </w:rPr>
              <w:t>Expert judgement based on statistics from several ports</w:t>
            </w:r>
          </w:p>
        </w:tc>
      </w:tr>
      <w:tr w:rsidR="00C12D4D" w:rsidRPr="00581107" w14:paraId="344C5C7C" w14:textId="77777777" w:rsidTr="001E3420">
        <w:tc>
          <w:tcPr>
            <w:tcW w:w="1189" w:type="dxa"/>
            <w:vAlign w:val="center"/>
          </w:tcPr>
          <w:p w14:paraId="46F6B585" w14:textId="77777777" w:rsidR="00C12D4D" w:rsidRPr="00581107" w:rsidRDefault="00C12D4D" w:rsidP="001E3420">
            <w:pPr>
              <w:spacing w:line="276" w:lineRule="auto"/>
              <w:rPr>
                <w:sz w:val="20"/>
                <w:szCs w:val="20"/>
              </w:rPr>
            </w:pPr>
            <w:r w:rsidRPr="00581107">
              <w:rPr>
                <w:sz w:val="20"/>
                <w:szCs w:val="20"/>
              </w:rPr>
              <w:t>A</w:t>
            </w:r>
            <w:r w:rsidRPr="00581107">
              <w:rPr>
                <w:sz w:val="20"/>
                <w:szCs w:val="20"/>
                <w:vertAlign w:val="subscript"/>
              </w:rPr>
              <w:t>TEU</w:t>
            </w:r>
          </w:p>
        </w:tc>
        <w:tc>
          <w:tcPr>
            <w:tcW w:w="1221" w:type="dxa"/>
            <w:vAlign w:val="center"/>
          </w:tcPr>
          <w:p w14:paraId="019E894F" w14:textId="0C8C2721" w:rsidR="00C12D4D" w:rsidRPr="00581107" w:rsidRDefault="00CE3C16" w:rsidP="001E3420">
            <w:pPr>
              <w:spacing w:line="276" w:lineRule="auto"/>
              <w:jc w:val="center"/>
              <w:rPr>
                <w:sz w:val="20"/>
                <w:szCs w:val="20"/>
              </w:rPr>
            </w:pPr>
            <w:r>
              <w:rPr>
                <w:sz w:val="20"/>
                <w:szCs w:val="20"/>
              </w:rPr>
              <w:t>Supplementary Table 4</w:t>
            </w:r>
          </w:p>
        </w:tc>
        <w:tc>
          <w:tcPr>
            <w:tcW w:w="1657" w:type="dxa"/>
            <w:vAlign w:val="center"/>
          </w:tcPr>
          <w:p w14:paraId="3A0654F2" w14:textId="77777777" w:rsidR="00C12D4D" w:rsidRPr="00581107" w:rsidRDefault="00C12D4D" w:rsidP="001E3420">
            <w:pPr>
              <w:spacing w:line="276" w:lineRule="auto"/>
              <w:jc w:val="center"/>
              <w:rPr>
                <w:sz w:val="20"/>
                <w:szCs w:val="20"/>
              </w:rPr>
            </w:pPr>
            <w:r w:rsidRPr="00581107">
              <w:rPr>
                <w:sz w:val="20"/>
                <w:szCs w:val="20"/>
              </w:rPr>
              <w:t>-</w:t>
            </w:r>
          </w:p>
        </w:tc>
        <w:tc>
          <w:tcPr>
            <w:tcW w:w="1462" w:type="dxa"/>
            <w:vAlign w:val="center"/>
          </w:tcPr>
          <w:p w14:paraId="1FF59911" w14:textId="77777777" w:rsidR="00C12D4D" w:rsidRPr="00581107" w:rsidRDefault="00C12D4D" w:rsidP="001E3420">
            <w:pPr>
              <w:spacing w:line="276" w:lineRule="auto"/>
              <w:jc w:val="center"/>
              <w:rPr>
                <w:sz w:val="20"/>
                <w:szCs w:val="20"/>
              </w:rPr>
            </w:pPr>
            <w:r w:rsidRPr="00581107">
              <w:rPr>
                <w:sz w:val="20"/>
                <w:szCs w:val="20"/>
              </w:rPr>
              <w:t>-</w:t>
            </w:r>
          </w:p>
        </w:tc>
        <w:tc>
          <w:tcPr>
            <w:tcW w:w="1559" w:type="dxa"/>
            <w:vAlign w:val="center"/>
          </w:tcPr>
          <w:p w14:paraId="2BFDD541" w14:textId="77777777" w:rsidR="00C12D4D" w:rsidRPr="00581107" w:rsidRDefault="00C12D4D" w:rsidP="001E3420">
            <w:pPr>
              <w:spacing w:line="276" w:lineRule="auto"/>
              <w:jc w:val="center"/>
              <w:rPr>
                <w:sz w:val="20"/>
                <w:szCs w:val="20"/>
              </w:rPr>
            </w:pPr>
            <w:r w:rsidRPr="00581107">
              <w:rPr>
                <w:sz w:val="20"/>
                <w:szCs w:val="20"/>
              </w:rPr>
              <w:t>-</w:t>
            </w:r>
          </w:p>
        </w:tc>
        <w:tc>
          <w:tcPr>
            <w:tcW w:w="2977" w:type="dxa"/>
            <w:vAlign w:val="center"/>
          </w:tcPr>
          <w:p w14:paraId="43EADB4E" w14:textId="193AB6BA" w:rsidR="00C12D4D" w:rsidRPr="00581107" w:rsidRDefault="00C12D4D" w:rsidP="001E3420">
            <w:pPr>
              <w:spacing w:line="276" w:lineRule="auto"/>
              <w:rPr>
                <w:sz w:val="20"/>
                <w:szCs w:val="20"/>
              </w:rPr>
            </w:pPr>
            <w:proofErr w:type="spellStart"/>
            <w:r w:rsidRPr="00581107">
              <w:rPr>
                <w:sz w:val="20"/>
                <w:szCs w:val="20"/>
              </w:rPr>
              <w:t>Ligteringen</w:t>
            </w:r>
            <w:proofErr w:type="spellEnd"/>
            <w:r w:rsidRPr="00581107">
              <w:rPr>
                <w:sz w:val="20"/>
                <w:szCs w:val="20"/>
              </w:rPr>
              <w:t xml:space="preserve"> and </w:t>
            </w:r>
            <w:proofErr w:type="spellStart"/>
            <w:r w:rsidRPr="00581107">
              <w:rPr>
                <w:sz w:val="20"/>
                <w:szCs w:val="20"/>
              </w:rPr>
              <w:t>Velsink</w:t>
            </w:r>
            <w:proofErr w:type="spellEnd"/>
            <w:r w:rsidRPr="00581107">
              <w:rPr>
                <w:sz w:val="20"/>
                <w:szCs w:val="20"/>
              </w:rPr>
              <w:t xml:space="preserve"> (2012)</w:t>
            </w:r>
            <w:r w:rsidR="004B0A79">
              <w:rPr>
                <w:sz w:val="20"/>
                <w:szCs w:val="20"/>
              </w:rPr>
              <w:fldChar w:fldCharType="begin" w:fldLock="1"/>
            </w:r>
            <w:r w:rsidR="00545404">
              <w:rPr>
                <w:sz w:val="20"/>
                <w:szCs w:val="20"/>
              </w:rPr>
              <w:instrText>ADDIN CSL_CITATION {"citationItems":[{"id":"ITEM-1","itemData":{"ISBN":"9789065623041","author":[{"dropping-particle":"","family":"Ligteringen","given":"H.","non-dropping-particle":"","parse-names":false,"suffix":""},{"dropping-particle":"","family":"Velsink","given":"H.","non-dropping-particle":"","parse-names":false,"suffix":""}],"id":"ITEM-1","issued":{"date-parts":[["2012"]]},"publisher":"Delft University Press","publisher-place":"Delft","title":"Ports and Terminals","type":"book"},"uris":["http://www.mendeley.com/documents/?uuid=2e4ffd00-3041-4ce1-a3b5-573fd9f9f93b"]}],"mendeley":{"formattedCitation":"&lt;sup&gt;21&lt;/sup&gt;","plainTextFormattedCitation":"21","previouslyFormattedCitation":"&lt;sup&gt;22&lt;/sup&gt;"},"properties":{"noteIndex":0},"schema":"https://github.com/citation-style-language/schema/raw/master/csl-citation.json"}</w:instrText>
            </w:r>
            <w:r w:rsidR="004B0A79">
              <w:rPr>
                <w:sz w:val="20"/>
                <w:szCs w:val="20"/>
              </w:rPr>
              <w:fldChar w:fldCharType="separate"/>
            </w:r>
            <w:r w:rsidR="00545404" w:rsidRPr="00545404">
              <w:rPr>
                <w:noProof/>
                <w:sz w:val="20"/>
                <w:szCs w:val="20"/>
                <w:vertAlign w:val="superscript"/>
              </w:rPr>
              <w:t>21</w:t>
            </w:r>
            <w:r w:rsidR="004B0A79">
              <w:rPr>
                <w:sz w:val="20"/>
                <w:szCs w:val="20"/>
              </w:rPr>
              <w:fldChar w:fldCharType="end"/>
            </w:r>
          </w:p>
          <w:p w14:paraId="23EC1E1F" w14:textId="77777777" w:rsidR="00C12D4D" w:rsidRPr="00581107" w:rsidRDefault="00C12D4D" w:rsidP="001E3420">
            <w:pPr>
              <w:spacing w:line="276" w:lineRule="auto"/>
              <w:rPr>
                <w:sz w:val="20"/>
                <w:szCs w:val="20"/>
              </w:rPr>
            </w:pPr>
          </w:p>
        </w:tc>
      </w:tr>
      <w:tr w:rsidR="00C12D4D" w:rsidRPr="00581107" w14:paraId="327F94D7" w14:textId="77777777" w:rsidTr="001E3420">
        <w:tc>
          <w:tcPr>
            <w:tcW w:w="1189" w:type="dxa"/>
            <w:vAlign w:val="center"/>
          </w:tcPr>
          <w:p w14:paraId="7084D6FD" w14:textId="77777777" w:rsidR="00C12D4D" w:rsidRPr="00581107" w:rsidRDefault="00C12D4D" w:rsidP="001E3420">
            <w:pPr>
              <w:spacing w:line="276" w:lineRule="auto"/>
              <w:rPr>
                <w:sz w:val="20"/>
                <w:szCs w:val="20"/>
              </w:rPr>
            </w:pPr>
            <w:r>
              <w:rPr>
                <w:sz w:val="20"/>
                <w:szCs w:val="20"/>
              </w:rPr>
              <w:t>r</w:t>
            </w:r>
          </w:p>
        </w:tc>
        <w:tc>
          <w:tcPr>
            <w:tcW w:w="1221" w:type="dxa"/>
            <w:vAlign w:val="center"/>
          </w:tcPr>
          <w:p w14:paraId="33388EDD" w14:textId="14001983" w:rsidR="00C12D4D" w:rsidRPr="00581107" w:rsidRDefault="00CE3C16" w:rsidP="001E3420">
            <w:pPr>
              <w:spacing w:line="276" w:lineRule="auto"/>
              <w:jc w:val="center"/>
              <w:rPr>
                <w:sz w:val="20"/>
                <w:szCs w:val="20"/>
              </w:rPr>
            </w:pPr>
            <w:r>
              <w:rPr>
                <w:sz w:val="20"/>
                <w:szCs w:val="20"/>
              </w:rPr>
              <w:t>Supplementary Table 4</w:t>
            </w:r>
          </w:p>
        </w:tc>
        <w:tc>
          <w:tcPr>
            <w:tcW w:w="1657" w:type="dxa"/>
            <w:vAlign w:val="center"/>
          </w:tcPr>
          <w:p w14:paraId="1BCD7DF1" w14:textId="77777777" w:rsidR="00C12D4D" w:rsidRPr="00581107" w:rsidRDefault="00C12D4D" w:rsidP="001E3420">
            <w:pPr>
              <w:spacing w:line="276" w:lineRule="auto"/>
              <w:jc w:val="center"/>
              <w:rPr>
                <w:sz w:val="20"/>
                <w:szCs w:val="20"/>
              </w:rPr>
            </w:pPr>
            <w:r w:rsidRPr="00581107">
              <w:rPr>
                <w:sz w:val="20"/>
                <w:szCs w:val="20"/>
              </w:rPr>
              <w:t>-</w:t>
            </w:r>
          </w:p>
        </w:tc>
        <w:tc>
          <w:tcPr>
            <w:tcW w:w="1462" w:type="dxa"/>
            <w:vAlign w:val="center"/>
          </w:tcPr>
          <w:p w14:paraId="35654F3B" w14:textId="77777777" w:rsidR="00C12D4D" w:rsidRPr="00581107" w:rsidRDefault="00C12D4D" w:rsidP="001E3420">
            <w:pPr>
              <w:spacing w:line="276" w:lineRule="auto"/>
              <w:jc w:val="center"/>
              <w:rPr>
                <w:sz w:val="20"/>
                <w:szCs w:val="20"/>
              </w:rPr>
            </w:pPr>
            <w:r w:rsidRPr="00581107">
              <w:rPr>
                <w:sz w:val="20"/>
                <w:szCs w:val="20"/>
              </w:rPr>
              <w:t>-</w:t>
            </w:r>
          </w:p>
        </w:tc>
        <w:tc>
          <w:tcPr>
            <w:tcW w:w="1559" w:type="dxa"/>
            <w:vAlign w:val="center"/>
          </w:tcPr>
          <w:p w14:paraId="0A9D6B9F" w14:textId="77777777" w:rsidR="00C12D4D" w:rsidRPr="00581107" w:rsidRDefault="00C12D4D" w:rsidP="001E3420">
            <w:pPr>
              <w:spacing w:line="276" w:lineRule="auto"/>
              <w:jc w:val="center"/>
              <w:rPr>
                <w:sz w:val="20"/>
                <w:szCs w:val="20"/>
              </w:rPr>
            </w:pPr>
            <w:r w:rsidRPr="00581107">
              <w:rPr>
                <w:sz w:val="20"/>
                <w:szCs w:val="20"/>
              </w:rPr>
              <w:t>-</w:t>
            </w:r>
          </w:p>
        </w:tc>
        <w:tc>
          <w:tcPr>
            <w:tcW w:w="2977" w:type="dxa"/>
            <w:vAlign w:val="center"/>
          </w:tcPr>
          <w:p w14:paraId="5436566D" w14:textId="4BA88779" w:rsidR="00C12D4D" w:rsidRPr="00581107" w:rsidRDefault="00C12D4D" w:rsidP="001E3420">
            <w:pPr>
              <w:spacing w:line="276" w:lineRule="auto"/>
              <w:rPr>
                <w:sz w:val="20"/>
                <w:szCs w:val="20"/>
              </w:rPr>
            </w:pPr>
            <w:proofErr w:type="spellStart"/>
            <w:r w:rsidRPr="00581107">
              <w:rPr>
                <w:sz w:val="20"/>
                <w:szCs w:val="20"/>
              </w:rPr>
              <w:t>Ligteringen</w:t>
            </w:r>
            <w:proofErr w:type="spellEnd"/>
            <w:r w:rsidRPr="00581107">
              <w:rPr>
                <w:sz w:val="20"/>
                <w:szCs w:val="20"/>
              </w:rPr>
              <w:t xml:space="preserve"> and </w:t>
            </w:r>
            <w:proofErr w:type="spellStart"/>
            <w:r w:rsidRPr="00581107">
              <w:rPr>
                <w:sz w:val="20"/>
                <w:szCs w:val="20"/>
              </w:rPr>
              <w:t>Velsink</w:t>
            </w:r>
            <w:proofErr w:type="spellEnd"/>
            <w:r w:rsidRPr="00581107">
              <w:rPr>
                <w:sz w:val="20"/>
                <w:szCs w:val="20"/>
              </w:rPr>
              <w:t xml:space="preserve"> (2012)</w:t>
            </w:r>
            <w:r w:rsidR="004B0A79">
              <w:rPr>
                <w:sz w:val="20"/>
                <w:szCs w:val="20"/>
              </w:rPr>
              <w:fldChar w:fldCharType="begin" w:fldLock="1"/>
            </w:r>
            <w:r w:rsidR="00545404">
              <w:rPr>
                <w:sz w:val="20"/>
                <w:szCs w:val="20"/>
              </w:rPr>
              <w:instrText>ADDIN CSL_CITATION {"citationItems":[{"id":"ITEM-1","itemData":{"ISBN":"9789065623041","author":[{"dropping-particle":"","family":"Ligteringen","given":"H.","non-dropping-particle":"","parse-names":false,"suffix":""},{"dropping-particle":"","family":"Velsink","given":"H.","non-dropping-particle":"","parse-names":false,"suffix":""}],"id":"ITEM-1","issued":{"date-parts":[["2012"]]},"publisher":"Delft University Press","publisher-place":"Delft","title":"Ports and Terminals","type":"book"},"uris":["http://www.mendeley.com/documents/?uuid=2e4ffd00-3041-4ce1-a3b5-573fd9f9f93b"]}],"mendeley":{"formattedCitation":"&lt;sup&gt;21&lt;/sup&gt;","plainTextFormattedCitation":"21","previouslyFormattedCitation":"&lt;sup&gt;22&lt;/sup&gt;"},"properties":{"noteIndex":0},"schema":"https://github.com/citation-style-language/schema/raw/master/csl-citation.json"}</w:instrText>
            </w:r>
            <w:r w:rsidR="004B0A79">
              <w:rPr>
                <w:sz w:val="20"/>
                <w:szCs w:val="20"/>
              </w:rPr>
              <w:fldChar w:fldCharType="separate"/>
            </w:r>
            <w:r w:rsidR="00545404" w:rsidRPr="00545404">
              <w:rPr>
                <w:noProof/>
                <w:sz w:val="20"/>
                <w:szCs w:val="20"/>
                <w:vertAlign w:val="superscript"/>
              </w:rPr>
              <w:t>21</w:t>
            </w:r>
            <w:r w:rsidR="004B0A79">
              <w:rPr>
                <w:sz w:val="20"/>
                <w:szCs w:val="20"/>
              </w:rPr>
              <w:fldChar w:fldCharType="end"/>
            </w:r>
          </w:p>
          <w:p w14:paraId="439E7F1F" w14:textId="77777777" w:rsidR="00C12D4D" w:rsidRPr="00581107" w:rsidRDefault="00C12D4D" w:rsidP="001E3420">
            <w:pPr>
              <w:spacing w:line="276" w:lineRule="auto"/>
              <w:rPr>
                <w:sz w:val="20"/>
                <w:szCs w:val="20"/>
              </w:rPr>
            </w:pPr>
          </w:p>
        </w:tc>
      </w:tr>
      <w:tr w:rsidR="00C12D4D" w:rsidRPr="00581107" w14:paraId="35E4405A" w14:textId="77777777" w:rsidTr="001E3420">
        <w:tc>
          <w:tcPr>
            <w:tcW w:w="1189" w:type="dxa"/>
            <w:vAlign w:val="center"/>
          </w:tcPr>
          <w:p w14:paraId="637DC802" w14:textId="77777777" w:rsidR="00C12D4D" w:rsidRPr="00581107" w:rsidRDefault="00C12D4D" w:rsidP="001E3420">
            <w:pPr>
              <w:spacing w:line="276" w:lineRule="auto"/>
              <w:rPr>
                <w:sz w:val="20"/>
                <w:szCs w:val="20"/>
              </w:rPr>
            </w:pPr>
            <w:r w:rsidRPr="00581107">
              <w:rPr>
                <w:sz w:val="20"/>
                <w:szCs w:val="20"/>
              </w:rPr>
              <w:t>m</w:t>
            </w:r>
          </w:p>
        </w:tc>
        <w:tc>
          <w:tcPr>
            <w:tcW w:w="1221" w:type="dxa"/>
            <w:vAlign w:val="center"/>
          </w:tcPr>
          <w:p w14:paraId="6B6ECEA3" w14:textId="77777777" w:rsidR="00C12D4D" w:rsidRPr="00581107" w:rsidRDefault="00C12D4D" w:rsidP="001E3420">
            <w:pPr>
              <w:spacing w:line="276" w:lineRule="auto"/>
              <w:jc w:val="center"/>
              <w:rPr>
                <w:sz w:val="20"/>
                <w:szCs w:val="20"/>
              </w:rPr>
            </w:pPr>
            <w:r w:rsidRPr="00581107">
              <w:rPr>
                <w:sz w:val="20"/>
                <w:szCs w:val="20"/>
              </w:rPr>
              <w:t>0.6 – 0.8</w:t>
            </w:r>
          </w:p>
        </w:tc>
        <w:tc>
          <w:tcPr>
            <w:tcW w:w="1657" w:type="dxa"/>
            <w:vAlign w:val="center"/>
          </w:tcPr>
          <w:p w14:paraId="14FA4239" w14:textId="77777777" w:rsidR="00C12D4D" w:rsidRPr="00581107" w:rsidRDefault="00C12D4D" w:rsidP="001E3420">
            <w:pPr>
              <w:spacing w:line="276" w:lineRule="auto"/>
              <w:jc w:val="center"/>
              <w:rPr>
                <w:sz w:val="20"/>
                <w:szCs w:val="20"/>
              </w:rPr>
            </w:pPr>
            <w:r w:rsidRPr="00581107">
              <w:rPr>
                <w:sz w:val="20"/>
                <w:szCs w:val="20"/>
              </w:rPr>
              <w:t>0.6 – 0.85</w:t>
            </w:r>
          </w:p>
        </w:tc>
        <w:tc>
          <w:tcPr>
            <w:tcW w:w="1462" w:type="dxa"/>
            <w:vAlign w:val="center"/>
          </w:tcPr>
          <w:p w14:paraId="5FCB33AF" w14:textId="77777777" w:rsidR="00C12D4D" w:rsidRPr="00581107" w:rsidRDefault="00C12D4D" w:rsidP="001E3420">
            <w:pPr>
              <w:spacing w:line="276" w:lineRule="auto"/>
              <w:jc w:val="center"/>
              <w:rPr>
                <w:sz w:val="20"/>
                <w:szCs w:val="20"/>
              </w:rPr>
            </w:pPr>
            <w:r w:rsidRPr="00581107">
              <w:rPr>
                <w:sz w:val="20"/>
                <w:szCs w:val="20"/>
              </w:rPr>
              <w:t>0.5 – 0.8</w:t>
            </w:r>
          </w:p>
        </w:tc>
        <w:tc>
          <w:tcPr>
            <w:tcW w:w="1559" w:type="dxa"/>
            <w:vAlign w:val="center"/>
          </w:tcPr>
          <w:p w14:paraId="118ABC82" w14:textId="77777777" w:rsidR="00C12D4D" w:rsidRPr="00581107" w:rsidRDefault="00C12D4D" w:rsidP="001E3420">
            <w:pPr>
              <w:spacing w:line="276" w:lineRule="auto"/>
              <w:jc w:val="center"/>
              <w:rPr>
                <w:sz w:val="20"/>
                <w:szCs w:val="20"/>
              </w:rPr>
            </w:pPr>
            <w:r w:rsidRPr="00581107">
              <w:rPr>
                <w:sz w:val="20"/>
                <w:szCs w:val="20"/>
              </w:rPr>
              <w:t>0.65 – 0.75</w:t>
            </w:r>
          </w:p>
        </w:tc>
        <w:tc>
          <w:tcPr>
            <w:tcW w:w="2977" w:type="dxa"/>
            <w:vAlign w:val="center"/>
          </w:tcPr>
          <w:p w14:paraId="126E8B57" w14:textId="1CAA3F63" w:rsidR="00C12D4D" w:rsidRPr="004B0A79" w:rsidRDefault="004B0A79" w:rsidP="001E3420">
            <w:pPr>
              <w:spacing w:line="276" w:lineRule="auto"/>
              <w:rPr>
                <w:sz w:val="20"/>
                <w:szCs w:val="20"/>
                <w:lang w:val="nl-NL"/>
              </w:rPr>
            </w:pPr>
            <w:proofErr w:type="spellStart"/>
            <w:r w:rsidRPr="00C343F8">
              <w:rPr>
                <w:sz w:val="20"/>
                <w:szCs w:val="20"/>
                <w:lang w:val="nl-NL"/>
              </w:rPr>
              <w:t>Kox</w:t>
            </w:r>
            <w:proofErr w:type="spellEnd"/>
            <w:r w:rsidRPr="00C343F8">
              <w:rPr>
                <w:sz w:val="20"/>
                <w:szCs w:val="20"/>
                <w:lang w:val="nl-NL"/>
              </w:rPr>
              <w:t xml:space="preserve"> (201</w:t>
            </w:r>
            <w:r>
              <w:rPr>
                <w:sz w:val="20"/>
                <w:szCs w:val="20"/>
                <w:lang w:val="nl-NL"/>
              </w:rPr>
              <w:t>6</w:t>
            </w:r>
            <w:r w:rsidRPr="00C343F8">
              <w:rPr>
                <w:sz w:val="20"/>
                <w:szCs w:val="20"/>
                <w:lang w:val="nl-NL"/>
              </w:rPr>
              <w:t>)</w:t>
            </w:r>
            <w:r>
              <w:rPr>
                <w:sz w:val="20"/>
                <w:szCs w:val="20"/>
                <w:lang w:val="nl-NL"/>
              </w:rPr>
              <w:fldChar w:fldCharType="begin" w:fldLock="1"/>
            </w:r>
            <w:r w:rsidR="008A5081">
              <w:rPr>
                <w:sz w:val="20"/>
                <w:szCs w:val="20"/>
                <w:lang w:val="nl-NL"/>
              </w:rPr>
              <w:instrText>ADDIN CSL_CITATION {"citationItems":[{"id":"ITEM-1","itemData":{"author":[{"dropping-particle":"","family":"Kox","given":"S.A.J.","non-dropping-particle":"","parse-names":false,"suffix":""}],"id":"ITEM-1","issued":{"date-parts":[["2016"]]},"page":"203","title":"A Tool for Determining Marine Terminal Dimensions and Costs in a Project's Feasibility Phase.","type":"article-journal"},"uris":["http://www.mendeley.com/documents/?uuid=5d51f26b-6431-4721-8b88-3f04a222e1cf"]}],"mendeley":{"formattedCitation":"&lt;sup&gt;4&lt;/sup&gt;","plainTextFormattedCitation":"4","previouslyFormattedCitation":"&lt;sup&gt;4&lt;/sup&gt;"},"properties":{"noteIndex":0},"schema":"https://github.com/citation-style-language/schema/raw/master/csl-citation.json"}</w:instrText>
            </w:r>
            <w:r>
              <w:rPr>
                <w:sz w:val="20"/>
                <w:szCs w:val="20"/>
                <w:lang w:val="nl-NL"/>
              </w:rPr>
              <w:fldChar w:fldCharType="separate"/>
            </w:r>
            <w:r w:rsidR="008A5081" w:rsidRPr="008A5081">
              <w:rPr>
                <w:noProof/>
                <w:sz w:val="20"/>
                <w:szCs w:val="20"/>
                <w:vertAlign w:val="superscript"/>
                <w:lang w:val="nl-NL"/>
              </w:rPr>
              <w:t>4</w:t>
            </w:r>
            <w:r>
              <w:rPr>
                <w:sz w:val="20"/>
                <w:szCs w:val="20"/>
                <w:lang w:val="nl-NL"/>
              </w:rPr>
              <w:fldChar w:fldCharType="end"/>
            </w:r>
          </w:p>
        </w:tc>
      </w:tr>
      <w:tr w:rsidR="00C12D4D" w:rsidRPr="00581107" w14:paraId="22271482" w14:textId="77777777" w:rsidTr="001E3420">
        <w:tc>
          <w:tcPr>
            <w:tcW w:w="1189" w:type="dxa"/>
            <w:vAlign w:val="center"/>
          </w:tcPr>
          <w:p w14:paraId="10859BEF" w14:textId="77777777" w:rsidR="00C12D4D" w:rsidRPr="00581107" w:rsidRDefault="00C12D4D" w:rsidP="001E3420">
            <w:pPr>
              <w:spacing w:line="276" w:lineRule="auto"/>
              <w:rPr>
                <w:sz w:val="20"/>
                <w:szCs w:val="20"/>
              </w:rPr>
            </w:pPr>
            <w:proofErr w:type="spellStart"/>
            <w:r w:rsidRPr="00581107">
              <w:rPr>
                <w:sz w:val="20"/>
                <w:szCs w:val="20"/>
              </w:rPr>
              <w:t>hs</w:t>
            </w:r>
            <w:proofErr w:type="spellEnd"/>
          </w:p>
        </w:tc>
        <w:tc>
          <w:tcPr>
            <w:tcW w:w="1221" w:type="dxa"/>
            <w:vAlign w:val="center"/>
          </w:tcPr>
          <w:p w14:paraId="70BBCE21" w14:textId="77777777" w:rsidR="00C12D4D" w:rsidRPr="00581107" w:rsidRDefault="00C12D4D" w:rsidP="001E3420">
            <w:pPr>
              <w:spacing w:line="276" w:lineRule="auto"/>
              <w:jc w:val="center"/>
              <w:rPr>
                <w:sz w:val="20"/>
                <w:szCs w:val="20"/>
              </w:rPr>
            </w:pPr>
            <w:r w:rsidRPr="00581107">
              <w:rPr>
                <w:sz w:val="20"/>
                <w:szCs w:val="20"/>
              </w:rPr>
              <w:t>-</w:t>
            </w:r>
          </w:p>
        </w:tc>
        <w:tc>
          <w:tcPr>
            <w:tcW w:w="1657" w:type="dxa"/>
            <w:vAlign w:val="center"/>
          </w:tcPr>
          <w:p w14:paraId="6FDFAB91" w14:textId="77777777" w:rsidR="00C12D4D" w:rsidRPr="00581107" w:rsidRDefault="00C12D4D" w:rsidP="001E3420">
            <w:pPr>
              <w:spacing w:line="276" w:lineRule="auto"/>
              <w:jc w:val="center"/>
              <w:rPr>
                <w:sz w:val="20"/>
                <w:szCs w:val="20"/>
              </w:rPr>
            </w:pPr>
            <w:r w:rsidRPr="00581107">
              <w:rPr>
                <w:sz w:val="20"/>
                <w:szCs w:val="20"/>
              </w:rPr>
              <w:t xml:space="preserve">5 – 10 for </w:t>
            </w:r>
            <w:r>
              <w:rPr>
                <w:sz w:val="20"/>
                <w:szCs w:val="20"/>
              </w:rPr>
              <w:t>silo</w:t>
            </w:r>
          </w:p>
          <w:p w14:paraId="72C5C2F2" w14:textId="77777777" w:rsidR="00C12D4D" w:rsidRPr="00581107" w:rsidRDefault="00C12D4D" w:rsidP="001E3420">
            <w:pPr>
              <w:spacing w:line="276" w:lineRule="auto"/>
              <w:jc w:val="center"/>
              <w:rPr>
                <w:sz w:val="20"/>
                <w:szCs w:val="20"/>
              </w:rPr>
            </w:pPr>
            <w:r>
              <w:rPr>
                <w:sz w:val="20"/>
                <w:szCs w:val="20"/>
              </w:rPr>
              <w:t>10</w:t>
            </w:r>
            <w:r w:rsidRPr="00581107">
              <w:rPr>
                <w:sz w:val="20"/>
                <w:szCs w:val="20"/>
              </w:rPr>
              <w:t xml:space="preserve"> – 2</w:t>
            </w:r>
            <w:r>
              <w:rPr>
                <w:sz w:val="20"/>
                <w:szCs w:val="20"/>
              </w:rPr>
              <w:t>0</w:t>
            </w:r>
            <w:r w:rsidRPr="00581107">
              <w:rPr>
                <w:sz w:val="20"/>
                <w:szCs w:val="20"/>
              </w:rPr>
              <w:t xml:space="preserve"> for </w:t>
            </w:r>
            <w:r>
              <w:rPr>
                <w:sz w:val="20"/>
                <w:szCs w:val="20"/>
              </w:rPr>
              <w:t>open</w:t>
            </w:r>
          </w:p>
        </w:tc>
        <w:tc>
          <w:tcPr>
            <w:tcW w:w="1462" w:type="dxa"/>
            <w:vAlign w:val="center"/>
          </w:tcPr>
          <w:p w14:paraId="27D4C610" w14:textId="77777777" w:rsidR="00C12D4D" w:rsidRPr="00581107" w:rsidRDefault="00C12D4D" w:rsidP="001E3420">
            <w:pPr>
              <w:spacing w:line="276" w:lineRule="auto"/>
              <w:jc w:val="center"/>
              <w:rPr>
                <w:sz w:val="20"/>
                <w:szCs w:val="20"/>
              </w:rPr>
            </w:pPr>
            <w:r w:rsidRPr="00581107">
              <w:rPr>
                <w:sz w:val="20"/>
                <w:szCs w:val="20"/>
              </w:rPr>
              <w:t>-</w:t>
            </w:r>
          </w:p>
        </w:tc>
        <w:tc>
          <w:tcPr>
            <w:tcW w:w="1559" w:type="dxa"/>
            <w:vAlign w:val="center"/>
          </w:tcPr>
          <w:p w14:paraId="28BF08F0" w14:textId="77777777" w:rsidR="00C12D4D" w:rsidRPr="00581107" w:rsidRDefault="00C12D4D" w:rsidP="001E3420">
            <w:pPr>
              <w:spacing w:line="276" w:lineRule="auto"/>
              <w:jc w:val="center"/>
              <w:rPr>
                <w:sz w:val="20"/>
                <w:szCs w:val="20"/>
              </w:rPr>
            </w:pPr>
            <w:r w:rsidRPr="00581107">
              <w:rPr>
                <w:sz w:val="20"/>
                <w:szCs w:val="20"/>
              </w:rPr>
              <w:t>1.5 – 2.5</w:t>
            </w:r>
          </w:p>
        </w:tc>
        <w:tc>
          <w:tcPr>
            <w:tcW w:w="2977" w:type="dxa"/>
            <w:vAlign w:val="center"/>
          </w:tcPr>
          <w:p w14:paraId="78CA43FF" w14:textId="21DF2742" w:rsidR="004B0A79" w:rsidRPr="00C343F8" w:rsidRDefault="004B0A79" w:rsidP="004B0A79">
            <w:pPr>
              <w:spacing w:line="276" w:lineRule="auto"/>
              <w:rPr>
                <w:sz w:val="20"/>
                <w:szCs w:val="20"/>
                <w:lang w:val="nl-NL"/>
              </w:rPr>
            </w:pPr>
            <w:proofErr w:type="spellStart"/>
            <w:r w:rsidRPr="00C343F8">
              <w:rPr>
                <w:sz w:val="20"/>
                <w:szCs w:val="20"/>
                <w:lang w:val="nl-NL"/>
              </w:rPr>
              <w:t>Kox</w:t>
            </w:r>
            <w:proofErr w:type="spellEnd"/>
            <w:r w:rsidRPr="00C343F8">
              <w:rPr>
                <w:sz w:val="20"/>
                <w:szCs w:val="20"/>
                <w:lang w:val="nl-NL"/>
              </w:rPr>
              <w:t xml:space="preserve"> (201</w:t>
            </w:r>
            <w:r>
              <w:rPr>
                <w:sz w:val="20"/>
                <w:szCs w:val="20"/>
                <w:lang w:val="nl-NL"/>
              </w:rPr>
              <w:t>6</w:t>
            </w:r>
            <w:r w:rsidRPr="00C343F8">
              <w:rPr>
                <w:sz w:val="20"/>
                <w:szCs w:val="20"/>
                <w:lang w:val="nl-NL"/>
              </w:rPr>
              <w:t>)</w:t>
            </w:r>
            <w:r>
              <w:rPr>
                <w:sz w:val="20"/>
                <w:szCs w:val="20"/>
                <w:lang w:val="nl-NL"/>
              </w:rPr>
              <w:fldChar w:fldCharType="begin" w:fldLock="1"/>
            </w:r>
            <w:r w:rsidR="008A5081">
              <w:rPr>
                <w:sz w:val="20"/>
                <w:szCs w:val="20"/>
                <w:lang w:val="nl-NL"/>
              </w:rPr>
              <w:instrText>ADDIN CSL_CITATION {"citationItems":[{"id":"ITEM-1","itemData":{"author":[{"dropping-particle":"","family":"Kox","given":"S.A.J.","non-dropping-particle":"","parse-names":false,"suffix":""}],"id":"ITEM-1","issued":{"date-parts":[["2016"]]},"page":"203","title":"A Tool for Determining Marine Terminal Dimensions and Costs in a Project's Feasibility Phase.","type":"article-journal"},"uris":["http://www.mendeley.com/documents/?uuid=5d51f26b-6431-4721-8b88-3f04a222e1cf"]}],"mendeley":{"formattedCitation":"&lt;sup&gt;4&lt;/sup&gt;","plainTextFormattedCitation":"4","previouslyFormattedCitation":"&lt;sup&gt;4&lt;/sup&gt;"},"properties":{"noteIndex":0},"schema":"https://github.com/citation-style-language/schema/raw/master/csl-citation.json"}</w:instrText>
            </w:r>
            <w:r>
              <w:rPr>
                <w:sz w:val="20"/>
                <w:szCs w:val="20"/>
                <w:lang w:val="nl-NL"/>
              </w:rPr>
              <w:fldChar w:fldCharType="separate"/>
            </w:r>
            <w:r w:rsidR="008A5081" w:rsidRPr="008A5081">
              <w:rPr>
                <w:noProof/>
                <w:sz w:val="20"/>
                <w:szCs w:val="20"/>
                <w:vertAlign w:val="superscript"/>
                <w:lang w:val="nl-NL"/>
              </w:rPr>
              <w:t>4</w:t>
            </w:r>
            <w:r>
              <w:rPr>
                <w:sz w:val="20"/>
                <w:szCs w:val="20"/>
                <w:lang w:val="nl-NL"/>
              </w:rPr>
              <w:fldChar w:fldCharType="end"/>
            </w:r>
          </w:p>
          <w:p w14:paraId="38760192" w14:textId="77777777" w:rsidR="00C12D4D" w:rsidRPr="00581107" w:rsidRDefault="00C12D4D" w:rsidP="001E3420">
            <w:pPr>
              <w:spacing w:line="276" w:lineRule="auto"/>
              <w:rPr>
                <w:sz w:val="20"/>
                <w:szCs w:val="20"/>
              </w:rPr>
            </w:pPr>
            <w:proofErr w:type="spellStart"/>
            <w:r w:rsidRPr="00581107">
              <w:rPr>
                <w:sz w:val="20"/>
                <w:szCs w:val="20"/>
              </w:rPr>
              <w:t>Kleinheerenbrink</w:t>
            </w:r>
            <w:proofErr w:type="spellEnd"/>
            <w:r w:rsidRPr="00581107">
              <w:rPr>
                <w:sz w:val="20"/>
                <w:szCs w:val="20"/>
              </w:rPr>
              <w:t xml:space="preserve"> (2012</w:t>
            </w:r>
          </w:p>
        </w:tc>
      </w:tr>
      <w:tr w:rsidR="00C12D4D" w:rsidRPr="00581107" w14:paraId="7F422C52" w14:textId="77777777" w:rsidTr="001E3420">
        <w:tc>
          <w:tcPr>
            <w:tcW w:w="1189" w:type="dxa"/>
            <w:vAlign w:val="center"/>
          </w:tcPr>
          <w:p w14:paraId="504A8A3B" w14:textId="77777777" w:rsidR="00C12D4D" w:rsidRPr="00771D75" w:rsidRDefault="00C12D4D" w:rsidP="001E3420">
            <w:pPr>
              <w:spacing w:line="276" w:lineRule="auto"/>
              <w:rPr>
                <w:rFonts w:eastAsiaTheme="minorEastAsia"/>
                <w:sz w:val="20"/>
                <w:szCs w:val="20"/>
              </w:rPr>
            </w:pPr>
            <m:oMathPara>
              <m:oMathParaPr>
                <m:jc m:val="left"/>
              </m:oMathParaPr>
              <m:oMath>
                <m:r>
                  <m:rPr>
                    <m:sty m:val="p"/>
                  </m:rPr>
                  <w:rPr>
                    <w:rFonts w:ascii="Cambria Math" w:hAnsi="Cambria Math"/>
                    <w:sz w:val="20"/>
                    <w:szCs w:val="20"/>
                  </w:rPr>
                  <m:t>α</m:t>
                </m:r>
              </m:oMath>
            </m:oMathPara>
          </w:p>
        </w:tc>
        <w:tc>
          <w:tcPr>
            <w:tcW w:w="1221" w:type="dxa"/>
            <w:vAlign w:val="center"/>
          </w:tcPr>
          <w:p w14:paraId="56A5CC74" w14:textId="77777777" w:rsidR="00C12D4D" w:rsidRPr="00581107" w:rsidRDefault="00C12D4D" w:rsidP="001E3420">
            <w:pPr>
              <w:spacing w:line="276" w:lineRule="auto"/>
              <w:jc w:val="center"/>
              <w:rPr>
                <w:sz w:val="20"/>
                <w:szCs w:val="20"/>
              </w:rPr>
            </w:pPr>
            <w:r w:rsidRPr="00581107">
              <w:rPr>
                <w:sz w:val="20"/>
                <w:szCs w:val="20"/>
              </w:rPr>
              <w:t>1.3 – 1.9</w:t>
            </w:r>
          </w:p>
        </w:tc>
        <w:tc>
          <w:tcPr>
            <w:tcW w:w="1657" w:type="dxa"/>
            <w:vAlign w:val="center"/>
          </w:tcPr>
          <w:p w14:paraId="31A161DF" w14:textId="77777777" w:rsidR="00C12D4D" w:rsidRPr="00581107" w:rsidRDefault="00C12D4D" w:rsidP="001E3420">
            <w:pPr>
              <w:spacing w:line="276" w:lineRule="auto"/>
              <w:jc w:val="center"/>
              <w:rPr>
                <w:sz w:val="20"/>
                <w:szCs w:val="20"/>
              </w:rPr>
            </w:pPr>
            <w:r w:rsidRPr="00581107">
              <w:rPr>
                <w:sz w:val="20"/>
                <w:szCs w:val="20"/>
              </w:rPr>
              <w:t>1.2 – 2.0</w:t>
            </w:r>
          </w:p>
        </w:tc>
        <w:tc>
          <w:tcPr>
            <w:tcW w:w="1462" w:type="dxa"/>
            <w:vAlign w:val="center"/>
          </w:tcPr>
          <w:p w14:paraId="173478CA" w14:textId="77777777" w:rsidR="00C12D4D" w:rsidRPr="00581107" w:rsidRDefault="00C12D4D" w:rsidP="001E3420">
            <w:pPr>
              <w:spacing w:line="276" w:lineRule="auto"/>
              <w:jc w:val="center"/>
              <w:rPr>
                <w:sz w:val="20"/>
                <w:szCs w:val="20"/>
              </w:rPr>
            </w:pPr>
            <w:r w:rsidRPr="00581107">
              <w:rPr>
                <w:sz w:val="20"/>
                <w:szCs w:val="20"/>
              </w:rPr>
              <w:t>1.3 – 2</w:t>
            </w:r>
          </w:p>
        </w:tc>
        <w:tc>
          <w:tcPr>
            <w:tcW w:w="1559" w:type="dxa"/>
            <w:vAlign w:val="center"/>
          </w:tcPr>
          <w:p w14:paraId="530A8984" w14:textId="77777777" w:rsidR="00C12D4D" w:rsidRPr="00581107" w:rsidRDefault="00C12D4D" w:rsidP="001E3420">
            <w:pPr>
              <w:spacing w:line="276" w:lineRule="auto"/>
              <w:jc w:val="center"/>
              <w:rPr>
                <w:sz w:val="20"/>
                <w:szCs w:val="20"/>
              </w:rPr>
            </w:pPr>
            <w:r w:rsidRPr="00581107">
              <w:rPr>
                <w:sz w:val="20"/>
                <w:szCs w:val="20"/>
              </w:rPr>
              <w:t>2.0 – 2.6</w:t>
            </w:r>
          </w:p>
        </w:tc>
        <w:tc>
          <w:tcPr>
            <w:tcW w:w="2977" w:type="dxa"/>
            <w:vAlign w:val="center"/>
          </w:tcPr>
          <w:p w14:paraId="564A6644" w14:textId="4919EA56" w:rsidR="00C12D4D" w:rsidRPr="00581107" w:rsidRDefault="004B0A79" w:rsidP="001E3420">
            <w:pPr>
              <w:spacing w:line="276" w:lineRule="auto"/>
              <w:rPr>
                <w:sz w:val="20"/>
                <w:szCs w:val="20"/>
              </w:rPr>
            </w:pPr>
            <w:proofErr w:type="spellStart"/>
            <w:r w:rsidRPr="00C343F8">
              <w:rPr>
                <w:sz w:val="20"/>
                <w:szCs w:val="20"/>
                <w:lang w:val="nl-NL"/>
              </w:rPr>
              <w:t>Kox</w:t>
            </w:r>
            <w:proofErr w:type="spellEnd"/>
            <w:r w:rsidRPr="00C343F8">
              <w:rPr>
                <w:sz w:val="20"/>
                <w:szCs w:val="20"/>
                <w:lang w:val="nl-NL"/>
              </w:rPr>
              <w:t xml:space="preserve"> (201</w:t>
            </w:r>
            <w:r>
              <w:rPr>
                <w:sz w:val="20"/>
                <w:szCs w:val="20"/>
                <w:lang w:val="nl-NL"/>
              </w:rPr>
              <w:t>6</w:t>
            </w:r>
            <w:r w:rsidRPr="00C343F8">
              <w:rPr>
                <w:sz w:val="20"/>
                <w:szCs w:val="20"/>
                <w:lang w:val="nl-NL"/>
              </w:rPr>
              <w:t>)</w:t>
            </w:r>
            <w:r>
              <w:rPr>
                <w:sz w:val="20"/>
                <w:szCs w:val="20"/>
                <w:lang w:val="nl-NL"/>
              </w:rPr>
              <w:fldChar w:fldCharType="begin" w:fldLock="1"/>
            </w:r>
            <w:r w:rsidR="008A5081">
              <w:rPr>
                <w:sz w:val="20"/>
                <w:szCs w:val="20"/>
                <w:lang w:val="nl-NL"/>
              </w:rPr>
              <w:instrText>ADDIN CSL_CITATION {"citationItems":[{"id":"ITEM-1","itemData":{"author":[{"dropping-particle":"","family":"Kox","given":"S.A.J.","non-dropping-particle":"","parse-names":false,"suffix":""}],"id":"ITEM-1","issued":{"date-parts":[["2016"]]},"page":"203","title":"A Tool for Determining Marine Terminal Dimensions and Costs in a Project's Feasibility Phase.","type":"article-journal"},"uris":["http://www.mendeley.com/documents/?uuid=5d51f26b-6431-4721-8b88-3f04a222e1cf"]}],"mendeley":{"formattedCitation":"&lt;sup&gt;4&lt;/sup&gt;","plainTextFormattedCitation":"4","previouslyFormattedCitation":"&lt;sup&gt;4&lt;/sup&gt;"},"properties":{"noteIndex":0},"schema":"https://github.com/citation-style-language/schema/raw/master/csl-citation.json"}</w:instrText>
            </w:r>
            <w:r>
              <w:rPr>
                <w:sz w:val="20"/>
                <w:szCs w:val="20"/>
                <w:lang w:val="nl-NL"/>
              </w:rPr>
              <w:fldChar w:fldCharType="separate"/>
            </w:r>
            <w:r w:rsidR="008A5081" w:rsidRPr="008A5081">
              <w:rPr>
                <w:noProof/>
                <w:sz w:val="20"/>
                <w:szCs w:val="20"/>
                <w:vertAlign w:val="superscript"/>
                <w:lang w:val="nl-NL"/>
              </w:rPr>
              <w:t>4</w:t>
            </w:r>
            <w:r>
              <w:rPr>
                <w:sz w:val="20"/>
                <w:szCs w:val="20"/>
                <w:lang w:val="nl-NL"/>
              </w:rPr>
              <w:fldChar w:fldCharType="end"/>
            </w:r>
          </w:p>
        </w:tc>
      </w:tr>
      <w:tr w:rsidR="00C12D4D" w:rsidRPr="00581107" w14:paraId="5940E210" w14:textId="77777777" w:rsidTr="001E3420">
        <w:tc>
          <w:tcPr>
            <w:tcW w:w="1189" w:type="dxa"/>
            <w:vAlign w:val="center"/>
          </w:tcPr>
          <w:p w14:paraId="28AB3C07" w14:textId="77777777" w:rsidR="00C12D4D" w:rsidRPr="00771D75" w:rsidRDefault="00000000" w:rsidP="001E3420">
            <w:pPr>
              <w:spacing w:line="276" w:lineRule="auto"/>
              <w:rPr>
                <w:rFonts w:eastAsiaTheme="minorEastAsia"/>
                <w:sz w:val="20"/>
                <w:szCs w:val="20"/>
              </w:rPr>
            </w:pPr>
            <m:oMathPara>
              <m:oMathParaPr>
                <m:jc m:val="left"/>
              </m:oMathParaPr>
              <m:oMath>
                <m:sSub>
                  <m:sSubPr>
                    <m:ctrlPr>
                      <w:rPr>
                        <w:rFonts w:ascii="Cambria Math" w:hAnsi="Cambria Math"/>
                        <w:i/>
                        <w:sz w:val="20"/>
                        <w:szCs w:val="20"/>
                      </w:rPr>
                    </m:ctrlPr>
                  </m:sSubPr>
                  <m:e>
                    <m:r>
                      <m:rPr>
                        <m:sty m:val="p"/>
                      </m:rPr>
                      <w:rPr>
                        <w:rFonts w:ascii="Cambria Math" w:hAnsi="Cambria Math"/>
                        <w:sz w:val="20"/>
                        <w:szCs w:val="20"/>
                      </w:rPr>
                      <m:t>ρ</m:t>
                    </m:r>
                    <m:ctrlPr>
                      <w:rPr>
                        <w:rFonts w:ascii="Cambria Math" w:hAnsi="Cambria Math"/>
                        <w:sz w:val="20"/>
                        <w:szCs w:val="20"/>
                      </w:rPr>
                    </m:ctrlPr>
                  </m:e>
                  <m:sub>
                    <m:r>
                      <w:rPr>
                        <w:rFonts w:ascii="Cambria Math" w:hAnsi="Cambria Math"/>
                        <w:sz w:val="20"/>
                        <w:szCs w:val="20"/>
                      </w:rPr>
                      <m:t>cargo</m:t>
                    </m:r>
                  </m:sub>
                </m:sSub>
              </m:oMath>
            </m:oMathPara>
          </w:p>
        </w:tc>
        <w:tc>
          <w:tcPr>
            <w:tcW w:w="1221" w:type="dxa"/>
            <w:vAlign w:val="center"/>
          </w:tcPr>
          <w:p w14:paraId="4C2AA44C" w14:textId="77777777" w:rsidR="00C12D4D" w:rsidRPr="00581107" w:rsidRDefault="00C12D4D" w:rsidP="001E3420">
            <w:pPr>
              <w:spacing w:line="276" w:lineRule="auto"/>
              <w:jc w:val="center"/>
              <w:rPr>
                <w:sz w:val="20"/>
                <w:szCs w:val="20"/>
              </w:rPr>
            </w:pPr>
            <w:r w:rsidRPr="00581107">
              <w:rPr>
                <w:sz w:val="20"/>
                <w:szCs w:val="20"/>
              </w:rPr>
              <w:t>-</w:t>
            </w:r>
          </w:p>
        </w:tc>
        <w:tc>
          <w:tcPr>
            <w:tcW w:w="1657" w:type="dxa"/>
            <w:vAlign w:val="center"/>
          </w:tcPr>
          <w:p w14:paraId="1AEDC397" w14:textId="77777777" w:rsidR="00C12D4D" w:rsidRPr="00581107" w:rsidRDefault="00C12D4D" w:rsidP="001E3420">
            <w:pPr>
              <w:spacing w:line="276" w:lineRule="auto"/>
              <w:jc w:val="center"/>
              <w:rPr>
                <w:sz w:val="20"/>
                <w:szCs w:val="20"/>
              </w:rPr>
            </w:pPr>
            <w:r w:rsidRPr="00581107">
              <w:rPr>
                <w:sz w:val="20"/>
                <w:szCs w:val="20"/>
              </w:rPr>
              <w:t xml:space="preserve">0.6 – 0.9 for </w:t>
            </w:r>
            <w:r>
              <w:rPr>
                <w:sz w:val="20"/>
                <w:szCs w:val="20"/>
              </w:rPr>
              <w:t>silo</w:t>
            </w:r>
          </w:p>
          <w:p w14:paraId="2E753260" w14:textId="77777777" w:rsidR="00C12D4D" w:rsidRPr="00581107" w:rsidRDefault="00C12D4D" w:rsidP="001E3420">
            <w:pPr>
              <w:spacing w:line="276" w:lineRule="auto"/>
              <w:jc w:val="center"/>
              <w:rPr>
                <w:sz w:val="20"/>
                <w:szCs w:val="20"/>
              </w:rPr>
            </w:pPr>
            <w:r w:rsidRPr="00581107">
              <w:rPr>
                <w:sz w:val="20"/>
                <w:szCs w:val="20"/>
              </w:rPr>
              <w:t xml:space="preserve">0.7 – 1.5 for </w:t>
            </w:r>
            <w:r>
              <w:rPr>
                <w:sz w:val="20"/>
                <w:szCs w:val="20"/>
              </w:rPr>
              <w:t>open</w:t>
            </w:r>
          </w:p>
        </w:tc>
        <w:tc>
          <w:tcPr>
            <w:tcW w:w="1462" w:type="dxa"/>
            <w:vAlign w:val="center"/>
          </w:tcPr>
          <w:p w14:paraId="611A6164" w14:textId="77777777" w:rsidR="00C12D4D" w:rsidRPr="00581107" w:rsidRDefault="00C12D4D" w:rsidP="001E3420">
            <w:pPr>
              <w:spacing w:line="276" w:lineRule="auto"/>
              <w:jc w:val="center"/>
              <w:rPr>
                <w:sz w:val="20"/>
                <w:szCs w:val="20"/>
              </w:rPr>
            </w:pPr>
            <w:r w:rsidRPr="00581107">
              <w:rPr>
                <w:sz w:val="20"/>
                <w:szCs w:val="20"/>
              </w:rPr>
              <w:t>0.5 – 0.9</w:t>
            </w:r>
          </w:p>
        </w:tc>
        <w:tc>
          <w:tcPr>
            <w:tcW w:w="1559" w:type="dxa"/>
            <w:vAlign w:val="center"/>
          </w:tcPr>
          <w:p w14:paraId="4C173556" w14:textId="77777777" w:rsidR="00C12D4D" w:rsidRPr="00581107" w:rsidRDefault="00C12D4D" w:rsidP="001E3420">
            <w:pPr>
              <w:spacing w:line="276" w:lineRule="auto"/>
              <w:jc w:val="center"/>
              <w:rPr>
                <w:sz w:val="20"/>
                <w:szCs w:val="20"/>
              </w:rPr>
            </w:pPr>
            <w:r w:rsidRPr="00581107">
              <w:rPr>
                <w:sz w:val="20"/>
                <w:szCs w:val="20"/>
              </w:rPr>
              <w:t>0.4 – 0.8</w:t>
            </w:r>
          </w:p>
        </w:tc>
        <w:tc>
          <w:tcPr>
            <w:tcW w:w="2977" w:type="dxa"/>
            <w:vAlign w:val="center"/>
          </w:tcPr>
          <w:p w14:paraId="2E9AF6C8" w14:textId="698DC342" w:rsidR="00C12D4D" w:rsidRPr="00581107" w:rsidRDefault="004B0A79" w:rsidP="001E3420">
            <w:pPr>
              <w:spacing w:line="276" w:lineRule="auto"/>
              <w:rPr>
                <w:sz w:val="20"/>
                <w:szCs w:val="20"/>
              </w:rPr>
            </w:pPr>
            <w:proofErr w:type="spellStart"/>
            <w:r w:rsidRPr="00C343F8">
              <w:rPr>
                <w:sz w:val="20"/>
                <w:szCs w:val="20"/>
                <w:lang w:val="nl-NL"/>
              </w:rPr>
              <w:t>Kox</w:t>
            </w:r>
            <w:proofErr w:type="spellEnd"/>
            <w:r w:rsidRPr="00C343F8">
              <w:rPr>
                <w:sz w:val="20"/>
                <w:szCs w:val="20"/>
                <w:lang w:val="nl-NL"/>
              </w:rPr>
              <w:t xml:space="preserve"> (201</w:t>
            </w:r>
            <w:r>
              <w:rPr>
                <w:sz w:val="20"/>
                <w:szCs w:val="20"/>
                <w:lang w:val="nl-NL"/>
              </w:rPr>
              <w:t>6</w:t>
            </w:r>
            <w:r w:rsidRPr="00C343F8">
              <w:rPr>
                <w:sz w:val="20"/>
                <w:szCs w:val="20"/>
                <w:lang w:val="nl-NL"/>
              </w:rPr>
              <w:t>)</w:t>
            </w:r>
            <w:r>
              <w:rPr>
                <w:sz w:val="20"/>
                <w:szCs w:val="20"/>
                <w:lang w:val="nl-NL"/>
              </w:rPr>
              <w:fldChar w:fldCharType="begin" w:fldLock="1"/>
            </w:r>
            <w:r w:rsidR="008A5081">
              <w:rPr>
                <w:sz w:val="20"/>
                <w:szCs w:val="20"/>
                <w:lang w:val="nl-NL"/>
              </w:rPr>
              <w:instrText>ADDIN CSL_CITATION {"citationItems":[{"id":"ITEM-1","itemData":{"author":[{"dropping-particle":"","family":"Kox","given":"S.A.J.","non-dropping-particle":"","parse-names":false,"suffix":""}],"id":"ITEM-1","issued":{"date-parts":[["2016"]]},"page":"203","title":"A Tool for Determining Marine Terminal Dimensions and Costs in a Project's Feasibility Phase.","type":"article-journal"},"uris":["http://www.mendeley.com/documents/?uuid=5d51f26b-6431-4721-8b88-3f04a222e1cf"]}],"mendeley":{"formattedCitation":"&lt;sup&gt;4&lt;/sup&gt;","plainTextFormattedCitation":"4","previouslyFormattedCitation":"&lt;sup&gt;4&lt;/sup&gt;"},"properties":{"noteIndex":0},"schema":"https://github.com/citation-style-language/schema/raw/master/csl-citation.json"}</w:instrText>
            </w:r>
            <w:r>
              <w:rPr>
                <w:sz w:val="20"/>
                <w:szCs w:val="20"/>
                <w:lang w:val="nl-NL"/>
              </w:rPr>
              <w:fldChar w:fldCharType="separate"/>
            </w:r>
            <w:r w:rsidR="008A5081" w:rsidRPr="008A5081">
              <w:rPr>
                <w:noProof/>
                <w:sz w:val="20"/>
                <w:szCs w:val="20"/>
                <w:vertAlign w:val="superscript"/>
                <w:lang w:val="nl-NL"/>
              </w:rPr>
              <w:t>4</w:t>
            </w:r>
            <w:r>
              <w:rPr>
                <w:sz w:val="20"/>
                <w:szCs w:val="20"/>
                <w:lang w:val="nl-NL"/>
              </w:rPr>
              <w:fldChar w:fldCharType="end"/>
            </w:r>
            <w:proofErr w:type="spellStart"/>
            <w:r w:rsidR="00C12D4D" w:rsidRPr="00581107">
              <w:rPr>
                <w:sz w:val="20"/>
                <w:szCs w:val="20"/>
              </w:rPr>
              <w:t>Ligteringen</w:t>
            </w:r>
            <w:proofErr w:type="spellEnd"/>
            <w:r w:rsidR="00C12D4D" w:rsidRPr="00581107">
              <w:rPr>
                <w:sz w:val="20"/>
                <w:szCs w:val="20"/>
              </w:rPr>
              <w:t xml:space="preserve"> and </w:t>
            </w:r>
            <w:proofErr w:type="spellStart"/>
            <w:r w:rsidR="00C12D4D" w:rsidRPr="00581107">
              <w:rPr>
                <w:sz w:val="20"/>
                <w:szCs w:val="20"/>
              </w:rPr>
              <w:t>Velsink</w:t>
            </w:r>
            <w:proofErr w:type="spellEnd"/>
            <w:r w:rsidR="00C12D4D" w:rsidRPr="00581107">
              <w:rPr>
                <w:sz w:val="20"/>
                <w:szCs w:val="20"/>
              </w:rPr>
              <w:t xml:space="preserve"> (2012)</w:t>
            </w:r>
            <w:r>
              <w:rPr>
                <w:sz w:val="20"/>
                <w:szCs w:val="20"/>
              </w:rPr>
              <w:fldChar w:fldCharType="begin" w:fldLock="1"/>
            </w:r>
            <w:r w:rsidR="00545404">
              <w:rPr>
                <w:sz w:val="20"/>
                <w:szCs w:val="20"/>
              </w:rPr>
              <w:instrText>ADDIN CSL_CITATION {"citationItems":[{"id":"ITEM-1","itemData":{"ISBN":"9789065623041","author":[{"dropping-particle":"","family":"Ligteringen","given":"H.","non-dropping-particle":"","parse-names":false,"suffix":""},{"dropping-particle":"","family":"Velsink","given":"H.","non-dropping-particle":"","parse-names":false,"suffix":""}],"id":"ITEM-1","issued":{"date-parts":[["2012"]]},"publisher":"Delft University Press","publisher-place":"Delft","title":"Ports and Terminals","type":"book"},"uris":["http://www.mendeley.com/documents/?uuid=2e4ffd00-3041-4ce1-a3b5-573fd9f9f93b"]}],"mendeley":{"formattedCitation":"&lt;sup&gt;21&lt;/sup&gt;","plainTextFormattedCitation":"21","previouslyFormattedCitation":"&lt;sup&gt;22&lt;/sup&gt;"},"properties":{"noteIndex":0},"schema":"https://github.com/citation-style-language/schema/raw/master/csl-citation.json"}</w:instrText>
            </w:r>
            <w:r>
              <w:rPr>
                <w:sz w:val="20"/>
                <w:szCs w:val="20"/>
              </w:rPr>
              <w:fldChar w:fldCharType="separate"/>
            </w:r>
            <w:r w:rsidR="00545404" w:rsidRPr="00545404">
              <w:rPr>
                <w:noProof/>
                <w:sz w:val="20"/>
                <w:szCs w:val="20"/>
                <w:vertAlign w:val="superscript"/>
              </w:rPr>
              <w:t>21</w:t>
            </w:r>
            <w:r>
              <w:rPr>
                <w:sz w:val="20"/>
                <w:szCs w:val="20"/>
              </w:rPr>
              <w:fldChar w:fldCharType="end"/>
            </w:r>
          </w:p>
          <w:p w14:paraId="09FA0FE8" w14:textId="77777777" w:rsidR="00C12D4D" w:rsidRPr="00581107" w:rsidRDefault="00C12D4D" w:rsidP="001E3420">
            <w:pPr>
              <w:spacing w:line="276" w:lineRule="auto"/>
              <w:rPr>
                <w:sz w:val="20"/>
                <w:szCs w:val="20"/>
              </w:rPr>
            </w:pPr>
          </w:p>
        </w:tc>
      </w:tr>
      <w:tr w:rsidR="00C12D4D" w:rsidRPr="00581107" w14:paraId="249AF23E" w14:textId="77777777" w:rsidTr="001E3420">
        <w:tc>
          <w:tcPr>
            <w:tcW w:w="1189" w:type="dxa"/>
            <w:vAlign w:val="center"/>
          </w:tcPr>
          <w:p w14:paraId="292D7527" w14:textId="77777777" w:rsidR="00C12D4D" w:rsidRPr="00581107" w:rsidRDefault="00C12D4D" w:rsidP="001E3420">
            <w:pPr>
              <w:spacing w:line="276" w:lineRule="auto"/>
              <w:rPr>
                <w:sz w:val="20"/>
                <w:szCs w:val="20"/>
              </w:rPr>
            </w:pPr>
            <w:proofErr w:type="spellStart"/>
            <w:r w:rsidRPr="00581107">
              <w:rPr>
                <w:sz w:val="20"/>
                <w:szCs w:val="20"/>
              </w:rPr>
              <w:t>f</w:t>
            </w:r>
            <w:r w:rsidRPr="00581107">
              <w:rPr>
                <w:sz w:val="20"/>
                <w:szCs w:val="20"/>
                <w:vertAlign w:val="subscript"/>
              </w:rPr>
              <w:t>area</w:t>
            </w:r>
            <w:proofErr w:type="spellEnd"/>
          </w:p>
        </w:tc>
        <w:tc>
          <w:tcPr>
            <w:tcW w:w="1221" w:type="dxa"/>
            <w:vAlign w:val="center"/>
          </w:tcPr>
          <w:p w14:paraId="4FF41DE0" w14:textId="77777777" w:rsidR="00C12D4D" w:rsidRPr="00581107" w:rsidRDefault="00C12D4D" w:rsidP="001E3420">
            <w:pPr>
              <w:spacing w:line="276" w:lineRule="auto"/>
              <w:jc w:val="center"/>
              <w:rPr>
                <w:sz w:val="20"/>
                <w:szCs w:val="20"/>
              </w:rPr>
            </w:pPr>
            <w:r w:rsidRPr="00581107">
              <w:rPr>
                <w:sz w:val="20"/>
                <w:szCs w:val="20"/>
              </w:rPr>
              <w:t>-</w:t>
            </w:r>
          </w:p>
        </w:tc>
        <w:tc>
          <w:tcPr>
            <w:tcW w:w="1657" w:type="dxa"/>
            <w:vAlign w:val="center"/>
          </w:tcPr>
          <w:p w14:paraId="632B09DE" w14:textId="77777777" w:rsidR="00C12D4D" w:rsidRPr="00581107" w:rsidRDefault="00C12D4D" w:rsidP="001E3420">
            <w:pPr>
              <w:spacing w:line="276" w:lineRule="auto"/>
              <w:jc w:val="center"/>
              <w:rPr>
                <w:sz w:val="20"/>
                <w:szCs w:val="20"/>
              </w:rPr>
            </w:pPr>
            <w:r w:rsidRPr="00581107">
              <w:rPr>
                <w:sz w:val="20"/>
                <w:szCs w:val="20"/>
              </w:rPr>
              <w:t>5 - 15</w:t>
            </w:r>
          </w:p>
        </w:tc>
        <w:tc>
          <w:tcPr>
            <w:tcW w:w="1462" w:type="dxa"/>
            <w:vAlign w:val="center"/>
          </w:tcPr>
          <w:p w14:paraId="05266E48" w14:textId="77777777" w:rsidR="00C12D4D" w:rsidRPr="00581107" w:rsidRDefault="00C12D4D" w:rsidP="001E3420">
            <w:pPr>
              <w:spacing w:line="276" w:lineRule="auto"/>
              <w:jc w:val="center"/>
              <w:rPr>
                <w:sz w:val="20"/>
                <w:szCs w:val="20"/>
              </w:rPr>
            </w:pPr>
            <w:r w:rsidRPr="00581107">
              <w:rPr>
                <w:sz w:val="20"/>
                <w:szCs w:val="20"/>
              </w:rPr>
              <w:t>-</w:t>
            </w:r>
          </w:p>
        </w:tc>
        <w:tc>
          <w:tcPr>
            <w:tcW w:w="1559" w:type="dxa"/>
            <w:vAlign w:val="center"/>
          </w:tcPr>
          <w:p w14:paraId="2E617176" w14:textId="77777777" w:rsidR="00C12D4D" w:rsidRPr="00581107" w:rsidRDefault="00C12D4D" w:rsidP="001E3420">
            <w:pPr>
              <w:spacing w:line="276" w:lineRule="auto"/>
              <w:jc w:val="center"/>
              <w:rPr>
                <w:sz w:val="20"/>
                <w:szCs w:val="20"/>
              </w:rPr>
            </w:pPr>
            <w:r w:rsidRPr="00581107">
              <w:rPr>
                <w:sz w:val="20"/>
                <w:szCs w:val="20"/>
              </w:rPr>
              <w:t>1.3 – 1.7</w:t>
            </w:r>
          </w:p>
        </w:tc>
        <w:tc>
          <w:tcPr>
            <w:tcW w:w="2977" w:type="dxa"/>
            <w:vAlign w:val="center"/>
          </w:tcPr>
          <w:p w14:paraId="6B4A8346" w14:textId="799C99FC" w:rsidR="00C12D4D" w:rsidRPr="00581107" w:rsidRDefault="00C12D4D" w:rsidP="001E3420">
            <w:pPr>
              <w:spacing w:line="276" w:lineRule="auto"/>
              <w:rPr>
                <w:sz w:val="20"/>
                <w:szCs w:val="20"/>
              </w:rPr>
            </w:pPr>
            <w:proofErr w:type="spellStart"/>
            <w:r w:rsidRPr="00581107">
              <w:rPr>
                <w:sz w:val="20"/>
                <w:szCs w:val="20"/>
              </w:rPr>
              <w:t>Ligteringen</w:t>
            </w:r>
            <w:proofErr w:type="spellEnd"/>
            <w:r w:rsidRPr="00581107">
              <w:rPr>
                <w:sz w:val="20"/>
                <w:szCs w:val="20"/>
              </w:rPr>
              <w:t xml:space="preserve"> and </w:t>
            </w:r>
            <w:proofErr w:type="spellStart"/>
            <w:r w:rsidRPr="00581107">
              <w:rPr>
                <w:sz w:val="20"/>
                <w:szCs w:val="20"/>
              </w:rPr>
              <w:t>Velsink</w:t>
            </w:r>
            <w:proofErr w:type="spellEnd"/>
            <w:r w:rsidRPr="00581107">
              <w:rPr>
                <w:sz w:val="20"/>
                <w:szCs w:val="20"/>
              </w:rPr>
              <w:t xml:space="preserve"> (2012)</w:t>
            </w:r>
            <w:r w:rsidR="004B0A79">
              <w:rPr>
                <w:sz w:val="20"/>
                <w:szCs w:val="20"/>
              </w:rPr>
              <w:fldChar w:fldCharType="begin" w:fldLock="1"/>
            </w:r>
            <w:r w:rsidR="00545404">
              <w:rPr>
                <w:sz w:val="20"/>
                <w:szCs w:val="20"/>
              </w:rPr>
              <w:instrText>ADDIN CSL_CITATION {"citationItems":[{"id":"ITEM-1","itemData":{"ISBN":"9789065623041","author":[{"dropping-particle":"","family":"Ligteringen","given":"H.","non-dropping-particle":"","parse-names":false,"suffix":""},{"dropping-particle":"","family":"Velsink","given":"H.","non-dropping-particle":"","parse-names":false,"suffix":""}],"id":"ITEM-1","issued":{"date-parts":[["2012"]]},"publisher":"Delft University Press","publisher-place":"Delft","title":"Ports and Terminals","type":"book"},"uris":["http://www.mendeley.com/documents/?uuid=2e4ffd00-3041-4ce1-a3b5-573fd9f9f93b"]}],"mendeley":{"formattedCitation":"&lt;sup&gt;21&lt;/sup&gt;","plainTextFormattedCitation":"21","previouslyFormattedCitation":"&lt;sup&gt;22&lt;/sup&gt;"},"properties":{"noteIndex":0},"schema":"https://github.com/citation-style-language/schema/raw/master/csl-citation.json"}</w:instrText>
            </w:r>
            <w:r w:rsidR="004B0A79">
              <w:rPr>
                <w:sz w:val="20"/>
                <w:szCs w:val="20"/>
              </w:rPr>
              <w:fldChar w:fldCharType="separate"/>
            </w:r>
            <w:r w:rsidR="00545404" w:rsidRPr="00545404">
              <w:rPr>
                <w:noProof/>
                <w:sz w:val="20"/>
                <w:szCs w:val="20"/>
                <w:vertAlign w:val="superscript"/>
              </w:rPr>
              <w:t>21</w:t>
            </w:r>
            <w:r w:rsidR="004B0A79">
              <w:rPr>
                <w:sz w:val="20"/>
                <w:szCs w:val="20"/>
              </w:rPr>
              <w:fldChar w:fldCharType="end"/>
            </w:r>
          </w:p>
        </w:tc>
      </w:tr>
      <w:tr w:rsidR="00C12D4D" w:rsidRPr="00581107" w14:paraId="63EBD123" w14:textId="77777777" w:rsidTr="001E3420">
        <w:trPr>
          <w:trHeight w:val="99"/>
        </w:trPr>
        <w:tc>
          <w:tcPr>
            <w:tcW w:w="1189" w:type="dxa"/>
            <w:vAlign w:val="center"/>
          </w:tcPr>
          <w:p w14:paraId="674BF7E2" w14:textId="77777777" w:rsidR="00C12D4D" w:rsidRPr="00581107" w:rsidRDefault="00C12D4D" w:rsidP="001E3420">
            <w:pPr>
              <w:spacing w:line="276" w:lineRule="auto"/>
              <w:rPr>
                <w:sz w:val="20"/>
                <w:szCs w:val="20"/>
              </w:rPr>
            </w:pPr>
            <w:proofErr w:type="spellStart"/>
            <w:r w:rsidRPr="00581107">
              <w:rPr>
                <w:sz w:val="20"/>
                <w:szCs w:val="20"/>
              </w:rPr>
              <w:t>f</w:t>
            </w:r>
            <w:r w:rsidRPr="00581107">
              <w:rPr>
                <w:sz w:val="20"/>
                <w:szCs w:val="20"/>
                <w:vertAlign w:val="subscript"/>
              </w:rPr>
              <w:t>bulk</w:t>
            </w:r>
            <w:proofErr w:type="spellEnd"/>
          </w:p>
        </w:tc>
        <w:tc>
          <w:tcPr>
            <w:tcW w:w="1221" w:type="dxa"/>
            <w:vAlign w:val="center"/>
          </w:tcPr>
          <w:p w14:paraId="68717E41" w14:textId="77777777" w:rsidR="00C12D4D" w:rsidRPr="00581107" w:rsidRDefault="00C12D4D" w:rsidP="001E3420">
            <w:pPr>
              <w:spacing w:line="276" w:lineRule="auto"/>
              <w:jc w:val="center"/>
              <w:rPr>
                <w:sz w:val="20"/>
                <w:szCs w:val="20"/>
              </w:rPr>
            </w:pPr>
            <w:r w:rsidRPr="00581107">
              <w:rPr>
                <w:sz w:val="20"/>
                <w:szCs w:val="20"/>
              </w:rPr>
              <w:t>-</w:t>
            </w:r>
          </w:p>
        </w:tc>
        <w:tc>
          <w:tcPr>
            <w:tcW w:w="1657" w:type="dxa"/>
            <w:vAlign w:val="center"/>
          </w:tcPr>
          <w:p w14:paraId="650565B1" w14:textId="77777777" w:rsidR="00C12D4D" w:rsidRPr="00581107" w:rsidRDefault="00C12D4D" w:rsidP="001E3420">
            <w:pPr>
              <w:spacing w:line="276" w:lineRule="auto"/>
              <w:jc w:val="center"/>
              <w:rPr>
                <w:sz w:val="20"/>
                <w:szCs w:val="20"/>
              </w:rPr>
            </w:pPr>
            <w:r w:rsidRPr="00581107">
              <w:rPr>
                <w:sz w:val="20"/>
                <w:szCs w:val="20"/>
              </w:rPr>
              <w:t>-</w:t>
            </w:r>
          </w:p>
        </w:tc>
        <w:tc>
          <w:tcPr>
            <w:tcW w:w="1462" w:type="dxa"/>
            <w:vAlign w:val="center"/>
          </w:tcPr>
          <w:p w14:paraId="1B1B2E97" w14:textId="77777777" w:rsidR="00C12D4D" w:rsidRPr="00581107" w:rsidRDefault="00C12D4D" w:rsidP="001E3420">
            <w:pPr>
              <w:spacing w:line="276" w:lineRule="auto"/>
              <w:jc w:val="center"/>
              <w:rPr>
                <w:sz w:val="20"/>
                <w:szCs w:val="20"/>
              </w:rPr>
            </w:pPr>
            <w:r w:rsidRPr="00581107">
              <w:rPr>
                <w:sz w:val="20"/>
                <w:szCs w:val="20"/>
              </w:rPr>
              <w:t>-</w:t>
            </w:r>
          </w:p>
        </w:tc>
        <w:tc>
          <w:tcPr>
            <w:tcW w:w="1559" w:type="dxa"/>
            <w:vAlign w:val="center"/>
          </w:tcPr>
          <w:p w14:paraId="7CD710EC" w14:textId="77777777" w:rsidR="00C12D4D" w:rsidRPr="00581107" w:rsidRDefault="00C12D4D" w:rsidP="001E3420">
            <w:pPr>
              <w:spacing w:line="276" w:lineRule="auto"/>
              <w:jc w:val="center"/>
              <w:rPr>
                <w:sz w:val="20"/>
                <w:szCs w:val="20"/>
              </w:rPr>
            </w:pPr>
            <w:r w:rsidRPr="00581107">
              <w:rPr>
                <w:sz w:val="20"/>
                <w:szCs w:val="20"/>
              </w:rPr>
              <w:t>1.0 – 1.4</w:t>
            </w:r>
          </w:p>
        </w:tc>
        <w:tc>
          <w:tcPr>
            <w:tcW w:w="2977" w:type="dxa"/>
            <w:vAlign w:val="center"/>
          </w:tcPr>
          <w:p w14:paraId="61B1252B" w14:textId="4A26A520" w:rsidR="00C12D4D" w:rsidRPr="00581107" w:rsidRDefault="00C12D4D" w:rsidP="001E3420">
            <w:pPr>
              <w:spacing w:line="276" w:lineRule="auto"/>
              <w:rPr>
                <w:sz w:val="20"/>
                <w:szCs w:val="20"/>
              </w:rPr>
            </w:pPr>
            <w:proofErr w:type="spellStart"/>
            <w:r w:rsidRPr="00581107">
              <w:rPr>
                <w:sz w:val="20"/>
                <w:szCs w:val="20"/>
              </w:rPr>
              <w:t>Ligteringen</w:t>
            </w:r>
            <w:proofErr w:type="spellEnd"/>
            <w:r w:rsidRPr="00581107">
              <w:rPr>
                <w:sz w:val="20"/>
                <w:szCs w:val="20"/>
              </w:rPr>
              <w:t xml:space="preserve"> and </w:t>
            </w:r>
            <w:proofErr w:type="spellStart"/>
            <w:r w:rsidRPr="00581107">
              <w:rPr>
                <w:sz w:val="20"/>
                <w:szCs w:val="20"/>
              </w:rPr>
              <w:t>Velsink</w:t>
            </w:r>
            <w:proofErr w:type="spellEnd"/>
            <w:r w:rsidRPr="00581107">
              <w:rPr>
                <w:sz w:val="20"/>
                <w:szCs w:val="20"/>
              </w:rPr>
              <w:t xml:space="preserve"> (2012)</w:t>
            </w:r>
            <w:r w:rsidR="004B0A79">
              <w:rPr>
                <w:sz w:val="20"/>
                <w:szCs w:val="20"/>
              </w:rPr>
              <w:fldChar w:fldCharType="begin" w:fldLock="1"/>
            </w:r>
            <w:r w:rsidR="00545404">
              <w:rPr>
                <w:sz w:val="20"/>
                <w:szCs w:val="20"/>
              </w:rPr>
              <w:instrText>ADDIN CSL_CITATION {"citationItems":[{"id":"ITEM-1","itemData":{"ISBN":"9789065623041","author":[{"dropping-particle":"","family":"Ligteringen","given":"H.","non-dropping-particle":"","parse-names":false,"suffix":""},{"dropping-particle":"","family":"Velsink","given":"H.","non-dropping-particle":"","parse-names":false,"suffix":""}],"id":"ITEM-1","issued":{"date-parts":[["2012"]]},"publisher":"Delft University Press","publisher-place":"Delft","title":"Ports and Terminals","type":"book"},"uris":["http://www.mendeley.com/documents/?uuid=2e4ffd00-3041-4ce1-a3b5-573fd9f9f93b"]}],"mendeley":{"formattedCitation":"&lt;sup&gt;21&lt;/sup&gt;","plainTextFormattedCitation":"21","previouslyFormattedCitation":"&lt;sup&gt;22&lt;/sup&gt;"},"properties":{"noteIndex":0},"schema":"https://github.com/citation-style-language/schema/raw/master/csl-citation.json"}</w:instrText>
            </w:r>
            <w:r w:rsidR="004B0A79">
              <w:rPr>
                <w:sz w:val="20"/>
                <w:szCs w:val="20"/>
              </w:rPr>
              <w:fldChar w:fldCharType="separate"/>
            </w:r>
            <w:r w:rsidR="00545404" w:rsidRPr="00545404">
              <w:rPr>
                <w:noProof/>
                <w:sz w:val="20"/>
                <w:szCs w:val="20"/>
                <w:vertAlign w:val="superscript"/>
              </w:rPr>
              <w:t>21</w:t>
            </w:r>
            <w:r w:rsidR="004B0A79">
              <w:rPr>
                <w:sz w:val="20"/>
                <w:szCs w:val="20"/>
              </w:rPr>
              <w:fldChar w:fldCharType="end"/>
            </w:r>
          </w:p>
        </w:tc>
      </w:tr>
      <w:tr w:rsidR="00C12D4D" w:rsidRPr="00581107" w14:paraId="59557BDC" w14:textId="77777777" w:rsidTr="001E3420">
        <w:trPr>
          <w:trHeight w:val="88"/>
        </w:trPr>
        <w:tc>
          <w:tcPr>
            <w:tcW w:w="1189" w:type="dxa"/>
            <w:vAlign w:val="center"/>
          </w:tcPr>
          <w:p w14:paraId="68C328D8" w14:textId="77777777" w:rsidR="00C12D4D" w:rsidRPr="00581107" w:rsidRDefault="00C12D4D" w:rsidP="001E3420">
            <w:pPr>
              <w:spacing w:line="276" w:lineRule="auto"/>
              <w:rPr>
                <w:sz w:val="20"/>
                <w:szCs w:val="20"/>
              </w:rPr>
            </w:pPr>
            <w:proofErr w:type="spellStart"/>
            <w:r w:rsidRPr="00581107">
              <w:rPr>
                <w:sz w:val="20"/>
                <w:szCs w:val="20"/>
              </w:rPr>
              <w:t>V</w:t>
            </w:r>
            <w:r w:rsidRPr="00581107">
              <w:rPr>
                <w:sz w:val="20"/>
                <w:szCs w:val="20"/>
                <w:vertAlign w:val="subscript"/>
              </w:rPr>
              <w:t>area</w:t>
            </w:r>
            <w:proofErr w:type="spellEnd"/>
          </w:p>
        </w:tc>
        <w:tc>
          <w:tcPr>
            <w:tcW w:w="1221" w:type="dxa"/>
            <w:vAlign w:val="center"/>
          </w:tcPr>
          <w:p w14:paraId="2202CD59" w14:textId="77777777" w:rsidR="00C12D4D" w:rsidRPr="00581107" w:rsidRDefault="00C12D4D" w:rsidP="001E3420">
            <w:pPr>
              <w:spacing w:line="276" w:lineRule="auto"/>
              <w:jc w:val="center"/>
              <w:rPr>
                <w:sz w:val="20"/>
                <w:szCs w:val="20"/>
              </w:rPr>
            </w:pPr>
            <w:r w:rsidRPr="00581107">
              <w:rPr>
                <w:sz w:val="20"/>
                <w:szCs w:val="20"/>
              </w:rPr>
              <w:t>-</w:t>
            </w:r>
          </w:p>
        </w:tc>
        <w:tc>
          <w:tcPr>
            <w:tcW w:w="1657" w:type="dxa"/>
            <w:vAlign w:val="center"/>
          </w:tcPr>
          <w:p w14:paraId="608C91DE" w14:textId="77777777" w:rsidR="00C12D4D" w:rsidRPr="00581107" w:rsidRDefault="00C12D4D" w:rsidP="001E3420">
            <w:pPr>
              <w:spacing w:line="276" w:lineRule="auto"/>
              <w:jc w:val="center"/>
              <w:rPr>
                <w:sz w:val="20"/>
                <w:szCs w:val="20"/>
              </w:rPr>
            </w:pPr>
            <w:r w:rsidRPr="00581107">
              <w:rPr>
                <w:sz w:val="20"/>
                <w:szCs w:val="20"/>
              </w:rPr>
              <w:t>-</w:t>
            </w:r>
          </w:p>
        </w:tc>
        <w:tc>
          <w:tcPr>
            <w:tcW w:w="1462" w:type="dxa"/>
            <w:vAlign w:val="center"/>
          </w:tcPr>
          <w:p w14:paraId="0BC4D6E1" w14:textId="77777777" w:rsidR="00C12D4D" w:rsidRPr="00581107" w:rsidRDefault="00C12D4D" w:rsidP="001E3420">
            <w:pPr>
              <w:spacing w:line="276" w:lineRule="auto"/>
              <w:jc w:val="center"/>
              <w:rPr>
                <w:sz w:val="20"/>
                <w:szCs w:val="20"/>
              </w:rPr>
            </w:pPr>
            <w:r w:rsidRPr="00581107">
              <w:rPr>
                <w:sz w:val="20"/>
                <w:szCs w:val="20"/>
              </w:rPr>
              <w:t>20 - 30</w:t>
            </w:r>
          </w:p>
        </w:tc>
        <w:tc>
          <w:tcPr>
            <w:tcW w:w="1559" w:type="dxa"/>
            <w:vAlign w:val="center"/>
          </w:tcPr>
          <w:p w14:paraId="1974386D" w14:textId="77777777" w:rsidR="00C12D4D" w:rsidRPr="00581107" w:rsidRDefault="00C12D4D" w:rsidP="001E3420">
            <w:pPr>
              <w:spacing w:line="276" w:lineRule="auto"/>
              <w:jc w:val="center"/>
              <w:rPr>
                <w:sz w:val="20"/>
                <w:szCs w:val="20"/>
              </w:rPr>
            </w:pPr>
            <w:r w:rsidRPr="00581107">
              <w:rPr>
                <w:sz w:val="20"/>
                <w:szCs w:val="20"/>
              </w:rPr>
              <w:t>-</w:t>
            </w:r>
          </w:p>
        </w:tc>
        <w:tc>
          <w:tcPr>
            <w:tcW w:w="2977" w:type="dxa"/>
            <w:vAlign w:val="center"/>
          </w:tcPr>
          <w:p w14:paraId="1AA57A67" w14:textId="15E1576C" w:rsidR="00C12D4D" w:rsidRPr="00581107" w:rsidRDefault="004B0A79" w:rsidP="001E3420">
            <w:pPr>
              <w:spacing w:line="276" w:lineRule="auto"/>
              <w:rPr>
                <w:sz w:val="20"/>
                <w:szCs w:val="20"/>
              </w:rPr>
            </w:pPr>
            <w:proofErr w:type="spellStart"/>
            <w:r w:rsidRPr="00C343F8">
              <w:rPr>
                <w:sz w:val="20"/>
                <w:szCs w:val="20"/>
                <w:lang w:val="nl-NL"/>
              </w:rPr>
              <w:t>Kox</w:t>
            </w:r>
            <w:proofErr w:type="spellEnd"/>
            <w:r w:rsidRPr="00C343F8">
              <w:rPr>
                <w:sz w:val="20"/>
                <w:szCs w:val="20"/>
                <w:lang w:val="nl-NL"/>
              </w:rPr>
              <w:t xml:space="preserve"> (201</w:t>
            </w:r>
            <w:r>
              <w:rPr>
                <w:sz w:val="20"/>
                <w:szCs w:val="20"/>
                <w:lang w:val="nl-NL"/>
              </w:rPr>
              <w:t>6</w:t>
            </w:r>
            <w:r w:rsidRPr="00C343F8">
              <w:rPr>
                <w:sz w:val="20"/>
                <w:szCs w:val="20"/>
                <w:lang w:val="nl-NL"/>
              </w:rPr>
              <w:t>)</w:t>
            </w:r>
            <w:r>
              <w:rPr>
                <w:sz w:val="20"/>
                <w:szCs w:val="20"/>
                <w:lang w:val="nl-NL"/>
              </w:rPr>
              <w:fldChar w:fldCharType="begin" w:fldLock="1"/>
            </w:r>
            <w:r w:rsidR="008A5081">
              <w:rPr>
                <w:sz w:val="20"/>
                <w:szCs w:val="20"/>
                <w:lang w:val="nl-NL"/>
              </w:rPr>
              <w:instrText>ADDIN CSL_CITATION {"citationItems":[{"id":"ITEM-1","itemData":{"author":[{"dropping-particle":"","family":"Kox","given":"S.A.J.","non-dropping-particle":"","parse-names":false,"suffix":""}],"id":"ITEM-1","issued":{"date-parts":[["2016"]]},"page":"203","title":"A Tool for Determining Marine Terminal Dimensions and Costs in a Project's Feasibility Phase.","type":"article-journal"},"uris":["http://www.mendeley.com/documents/?uuid=5d51f26b-6431-4721-8b88-3f04a222e1cf"]}],"mendeley":{"formattedCitation":"&lt;sup&gt;4&lt;/sup&gt;","plainTextFormattedCitation":"4","previouslyFormattedCitation":"&lt;sup&gt;4&lt;/sup&gt;"},"properties":{"noteIndex":0},"schema":"https://github.com/citation-style-language/schema/raw/master/csl-citation.json"}</w:instrText>
            </w:r>
            <w:r>
              <w:rPr>
                <w:sz w:val="20"/>
                <w:szCs w:val="20"/>
                <w:lang w:val="nl-NL"/>
              </w:rPr>
              <w:fldChar w:fldCharType="separate"/>
            </w:r>
            <w:r w:rsidR="008A5081" w:rsidRPr="008A5081">
              <w:rPr>
                <w:noProof/>
                <w:sz w:val="20"/>
                <w:szCs w:val="20"/>
                <w:vertAlign w:val="superscript"/>
                <w:lang w:val="nl-NL"/>
              </w:rPr>
              <w:t>4</w:t>
            </w:r>
            <w:r>
              <w:rPr>
                <w:sz w:val="20"/>
                <w:szCs w:val="20"/>
                <w:lang w:val="nl-NL"/>
              </w:rPr>
              <w:fldChar w:fldCharType="end"/>
            </w:r>
          </w:p>
        </w:tc>
      </w:tr>
    </w:tbl>
    <w:p w14:paraId="3F7D9AD6" w14:textId="77777777" w:rsidR="00C12D4D" w:rsidRDefault="00C12D4D" w:rsidP="00C12D4D">
      <w:pPr>
        <w:spacing w:line="276" w:lineRule="auto"/>
        <w:jc w:val="both"/>
        <w:rPr>
          <w:b/>
          <w:bCs/>
        </w:rPr>
      </w:pPr>
    </w:p>
    <w:p w14:paraId="50A9DD81" w14:textId="77777777" w:rsidR="00C12D4D" w:rsidRDefault="00C12D4D" w:rsidP="00C12D4D">
      <w:pPr>
        <w:spacing w:line="276" w:lineRule="auto"/>
        <w:jc w:val="both"/>
      </w:pPr>
    </w:p>
    <w:p w14:paraId="60AF1DF8" w14:textId="383D0D24" w:rsidR="00C12D4D" w:rsidRPr="00581107" w:rsidRDefault="00C12D4D" w:rsidP="00CE3C16">
      <w:pPr>
        <w:spacing w:line="276" w:lineRule="auto"/>
      </w:pPr>
      <w:r>
        <w:br w:type="page"/>
      </w:r>
      <w:r w:rsidR="00CE3C16" w:rsidRPr="00CE3C16">
        <w:rPr>
          <w:b/>
          <w:bCs/>
        </w:rPr>
        <w:lastRenderedPageBreak/>
        <w:t xml:space="preserve">Supplementary </w:t>
      </w:r>
      <w:r w:rsidRPr="00CE3C16">
        <w:rPr>
          <w:b/>
          <w:bCs/>
        </w:rPr>
        <w:t xml:space="preserve">Table </w:t>
      </w:r>
      <w:r w:rsidR="00586E5B" w:rsidRPr="00CE3C16">
        <w:rPr>
          <w:b/>
          <w:bCs/>
        </w:rPr>
        <w:t>3</w:t>
      </w:r>
      <w:r w:rsidR="00586E5B">
        <w:rPr>
          <w:b/>
          <w:bCs/>
        </w:rPr>
        <w:t>.</w:t>
      </w:r>
      <w:r w:rsidRPr="00581107">
        <w:t xml:space="preserve"> Parameters used in this study </w:t>
      </w:r>
      <w:r>
        <w:t>to derive the terminal construction costs.</w:t>
      </w:r>
      <w:r w:rsidRPr="00581107">
        <w:t xml:space="preserve"> All parameters are modelled using a uniform distribution function between the lower and upper bound.</w:t>
      </w:r>
    </w:p>
    <w:tbl>
      <w:tblPr>
        <w:tblStyle w:val="TableGrid"/>
        <w:tblW w:w="10065" w:type="dxa"/>
        <w:tblInd w:w="-147" w:type="dxa"/>
        <w:tblLook w:val="04A0" w:firstRow="1" w:lastRow="0" w:firstColumn="1" w:lastColumn="0" w:noHBand="0" w:noVBand="1"/>
      </w:tblPr>
      <w:tblGrid>
        <w:gridCol w:w="1127"/>
        <w:gridCol w:w="1083"/>
        <w:gridCol w:w="1615"/>
        <w:gridCol w:w="1279"/>
        <w:gridCol w:w="1559"/>
        <w:gridCol w:w="1417"/>
        <w:gridCol w:w="1985"/>
      </w:tblGrid>
      <w:tr w:rsidR="00C12D4D" w:rsidRPr="00581107" w14:paraId="0A2EACFD" w14:textId="77777777" w:rsidTr="001E3420">
        <w:trPr>
          <w:trHeight w:val="461"/>
        </w:trPr>
        <w:tc>
          <w:tcPr>
            <w:tcW w:w="1127" w:type="dxa"/>
            <w:vAlign w:val="center"/>
          </w:tcPr>
          <w:p w14:paraId="391DA74F" w14:textId="77777777" w:rsidR="00C12D4D" w:rsidRPr="005036BA" w:rsidRDefault="00C12D4D" w:rsidP="001E3420">
            <w:pPr>
              <w:spacing w:line="276" w:lineRule="auto"/>
              <w:jc w:val="both"/>
              <w:rPr>
                <w:b/>
                <w:bCs/>
                <w:sz w:val="20"/>
                <w:szCs w:val="20"/>
              </w:rPr>
            </w:pPr>
            <w:r w:rsidRPr="005036BA">
              <w:rPr>
                <w:b/>
                <w:bCs/>
                <w:sz w:val="20"/>
                <w:szCs w:val="20"/>
              </w:rPr>
              <w:t>Parameter</w:t>
            </w:r>
          </w:p>
        </w:tc>
        <w:tc>
          <w:tcPr>
            <w:tcW w:w="1083" w:type="dxa"/>
            <w:vAlign w:val="center"/>
          </w:tcPr>
          <w:p w14:paraId="41A850F9" w14:textId="77777777" w:rsidR="00C12D4D" w:rsidRPr="005036BA" w:rsidRDefault="00C12D4D" w:rsidP="001E3420">
            <w:pPr>
              <w:spacing w:line="276" w:lineRule="auto"/>
              <w:jc w:val="center"/>
              <w:rPr>
                <w:b/>
                <w:bCs/>
                <w:sz w:val="20"/>
                <w:szCs w:val="20"/>
              </w:rPr>
            </w:pPr>
            <w:r w:rsidRPr="005036BA">
              <w:rPr>
                <w:b/>
                <w:bCs/>
                <w:sz w:val="20"/>
                <w:szCs w:val="20"/>
              </w:rPr>
              <w:t>Container</w:t>
            </w:r>
          </w:p>
        </w:tc>
        <w:tc>
          <w:tcPr>
            <w:tcW w:w="1615" w:type="dxa"/>
            <w:vAlign w:val="center"/>
          </w:tcPr>
          <w:p w14:paraId="71374109" w14:textId="57B885E9" w:rsidR="00C12D4D" w:rsidRPr="005036BA" w:rsidRDefault="00C12D4D" w:rsidP="001E3420">
            <w:pPr>
              <w:spacing w:line="276" w:lineRule="auto"/>
              <w:jc w:val="center"/>
              <w:rPr>
                <w:b/>
                <w:bCs/>
                <w:sz w:val="20"/>
                <w:szCs w:val="20"/>
              </w:rPr>
            </w:pPr>
            <w:r w:rsidRPr="005036BA">
              <w:rPr>
                <w:b/>
                <w:bCs/>
                <w:sz w:val="20"/>
                <w:szCs w:val="20"/>
              </w:rPr>
              <w:t xml:space="preserve">Dry </w:t>
            </w:r>
            <w:r w:rsidR="00074A38">
              <w:rPr>
                <w:b/>
                <w:bCs/>
                <w:sz w:val="20"/>
                <w:szCs w:val="20"/>
              </w:rPr>
              <w:t>b</w:t>
            </w:r>
            <w:r w:rsidRPr="005036BA">
              <w:rPr>
                <w:b/>
                <w:bCs/>
                <w:sz w:val="20"/>
                <w:szCs w:val="20"/>
              </w:rPr>
              <w:t>ulk</w:t>
            </w:r>
          </w:p>
        </w:tc>
        <w:tc>
          <w:tcPr>
            <w:tcW w:w="1279" w:type="dxa"/>
            <w:vAlign w:val="center"/>
          </w:tcPr>
          <w:p w14:paraId="6FC6FBA4" w14:textId="77777777" w:rsidR="00C12D4D" w:rsidRPr="005036BA" w:rsidRDefault="00C12D4D" w:rsidP="001E3420">
            <w:pPr>
              <w:spacing w:line="276" w:lineRule="auto"/>
              <w:jc w:val="center"/>
              <w:rPr>
                <w:b/>
                <w:bCs/>
                <w:sz w:val="20"/>
                <w:szCs w:val="20"/>
              </w:rPr>
            </w:pPr>
            <w:r w:rsidRPr="005036BA">
              <w:rPr>
                <w:b/>
                <w:bCs/>
                <w:sz w:val="20"/>
                <w:szCs w:val="20"/>
              </w:rPr>
              <w:t>Liquid bulk</w:t>
            </w:r>
          </w:p>
        </w:tc>
        <w:tc>
          <w:tcPr>
            <w:tcW w:w="1559" w:type="dxa"/>
            <w:vAlign w:val="center"/>
          </w:tcPr>
          <w:p w14:paraId="3FB0A8B5" w14:textId="77777777" w:rsidR="00C12D4D" w:rsidRPr="005036BA" w:rsidRDefault="00C12D4D" w:rsidP="001E3420">
            <w:pPr>
              <w:spacing w:line="276" w:lineRule="auto"/>
              <w:jc w:val="center"/>
              <w:rPr>
                <w:b/>
                <w:bCs/>
                <w:sz w:val="20"/>
                <w:szCs w:val="20"/>
              </w:rPr>
            </w:pPr>
            <w:r w:rsidRPr="005036BA">
              <w:rPr>
                <w:b/>
                <w:bCs/>
                <w:sz w:val="20"/>
                <w:szCs w:val="20"/>
              </w:rPr>
              <w:t>General cargo</w:t>
            </w:r>
          </w:p>
        </w:tc>
        <w:tc>
          <w:tcPr>
            <w:tcW w:w="1417" w:type="dxa"/>
            <w:vAlign w:val="center"/>
          </w:tcPr>
          <w:p w14:paraId="7744F168" w14:textId="77777777" w:rsidR="00C12D4D" w:rsidRPr="005036BA" w:rsidRDefault="00C12D4D" w:rsidP="001E3420">
            <w:pPr>
              <w:spacing w:line="276" w:lineRule="auto"/>
              <w:jc w:val="center"/>
              <w:rPr>
                <w:b/>
                <w:bCs/>
                <w:sz w:val="20"/>
                <w:szCs w:val="20"/>
              </w:rPr>
            </w:pPr>
            <w:proofErr w:type="spellStart"/>
            <w:r w:rsidRPr="005036BA">
              <w:rPr>
                <w:b/>
                <w:bCs/>
                <w:sz w:val="20"/>
                <w:szCs w:val="20"/>
              </w:rPr>
              <w:t>RoRo</w:t>
            </w:r>
            <w:proofErr w:type="spellEnd"/>
          </w:p>
        </w:tc>
        <w:tc>
          <w:tcPr>
            <w:tcW w:w="1985" w:type="dxa"/>
            <w:vAlign w:val="center"/>
          </w:tcPr>
          <w:p w14:paraId="2AEE11D4" w14:textId="77777777" w:rsidR="00C12D4D" w:rsidRPr="005036BA" w:rsidRDefault="00C12D4D" w:rsidP="001E3420">
            <w:pPr>
              <w:spacing w:line="276" w:lineRule="auto"/>
              <w:jc w:val="both"/>
              <w:rPr>
                <w:b/>
                <w:bCs/>
                <w:sz w:val="20"/>
                <w:szCs w:val="20"/>
              </w:rPr>
            </w:pPr>
            <w:r w:rsidRPr="005036BA">
              <w:rPr>
                <w:b/>
                <w:bCs/>
                <w:sz w:val="20"/>
                <w:szCs w:val="20"/>
              </w:rPr>
              <w:t>Source</w:t>
            </w:r>
          </w:p>
        </w:tc>
      </w:tr>
      <w:tr w:rsidR="00C12D4D" w:rsidRPr="00581107" w14:paraId="001AEC74" w14:textId="77777777" w:rsidTr="001E3420">
        <w:trPr>
          <w:trHeight w:val="466"/>
        </w:trPr>
        <w:tc>
          <w:tcPr>
            <w:tcW w:w="1127" w:type="dxa"/>
            <w:vAlign w:val="center"/>
          </w:tcPr>
          <w:p w14:paraId="3BAF1783" w14:textId="77777777" w:rsidR="00C12D4D" w:rsidRPr="00350AA5" w:rsidRDefault="00C12D4D" w:rsidP="001E3420">
            <w:pPr>
              <w:spacing w:line="276" w:lineRule="auto"/>
              <w:rPr>
                <w:sz w:val="20"/>
                <w:szCs w:val="20"/>
              </w:rPr>
            </w:pPr>
            <w:proofErr w:type="spellStart"/>
            <w:r>
              <w:rPr>
                <w:sz w:val="20"/>
                <w:szCs w:val="20"/>
              </w:rPr>
              <w:t>H</w:t>
            </w:r>
            <w:r>
              <w:rPr>
                <w:sz w:val="20"/>
                <w:szCs w:val="20"/>
                <w:vertAlign w:val="subscript"/>
              </w:rPr>
              <w:t>ratio</w:t>
            </w:r>
            <w:proofErr w:type="spellEnd"/>
          </w:p>
        </w:tc>
        <w:tc>
          <w:tcPr>
            <w:tcW w:w="1083" w:type="dxa"/>
            <w:vAlign w:val="center"/>
          </w:tcPr>
          <w:p w14:paraId="4725DFDF" w14:textId="77777777" w:rsidR="00C12D4D" w:rsidRDefault="00C12D4D" w:rsidP="001E3420">
            <w:pPr>
              <w:spacing w:line="276" w:lineRule="auto"/>
              <w:jc w:val="center"/>
              <w:rPr>
                <w:sz w:val="20"/>
                <w:szCs w:val="20"/>
              </w:rPr>
            </w:pPr>
            <w:r>
              <w:rPr>
                <w:sz w:val="20"/>
                <w:szCs w:val="20"/>
              </w:rPr>
              <w:t xml:space="preserve">1.8 – 2.2 </w:t>
            </w:r>
          </w:p>
        </w:tc>
        <w:tc>
          <w:tcPr>
            <w:tcW w:w="1615" w:type="dxa"/>
            <w:vAlign w:val="center"/>
          </w:tcPr>
          <w:p w14:paraId="130A3B57" w14:textId="77777777" w:rsidR="00C12D4D" w:rsidRDefault="00C12D4D" w:rsidP="001E3420">
            <w:pPr>
              <w:spacing w:line="276" w:lineRule="auto"/>
              <w:jc w:val="center"/>
              <w:rPr>
                <w:sz w:val="20"/>
                <w:szCs w:val="20"/>
              </w:rPr>
            </w:pPr>
            <w:r>
              <w:rPr>
                <w:sz w:val="20"/>
                <w:szCs w:val="20"/>
              </w:rPr>
              <w:t>1.8 – 2.2</w:t>
            </w:r>
          </w:p>
        </w:tc>
        <w:tc>
          <w:tcPr>
            <w:tcW w:w="1279" w:type="dxa"/>
            <w:vAlign w:val="center"/>
          </w:tcPr>
          <w:p w14:paraId="0A933D78" w14:textId="77777777" w:rsidR="00C12D4D" w:rsidRDefault="00C12D4D" w:rsidP="001E3420">
            <w:pPr>
              <w:spacing w:line="276" w:lineRule="auto"/>
              <w:jc w:val="center"/>
              <w:rPr>
                <w:sz w:val="20"/>
                <w:szCs w:val="20"/>
              </w:rPr>
            </w:pPr>
            <w:r>
              <w:rPr>
                <w:sz w:val="20"/>
                <w:szCs w:val="20"/>
              </w:rPr>
              <w:t>-</w:t>
            </w:r>
          </w:p>
        </w:tc>
        <w:tc>
          <w:tcPr>
            <w:tcW w:w="1559" w:type="dxa"/>
            <w:vAlign w:val="center"/>
          </w:tcPr>
          <w:p w14:paraId="4DA9D54C" w14:textId="77777777" w:rsidR="00C12D4D" w:rsidRDefault="00C12D4D" w:rsidP="001E3420">
            <w:pPr>
              <w:spacing w:line="276" w:lineRule="auto"/>
              <w:jc w:val="center"/>
              <w:rPr>
                <w:sz w:val="20"/>
                <w:szCs w:val="20"/>
              </w:rPr>
            </w:pPr>
            <w:r>
              <w:rPr>
                <w:sz w:val="20"/>
                <w:szCs w:val="20"/>
              </w:rPr>
              <w:t>1.8 – 2.2</w:t>
            </w:r>
          </w:p>
        </w:tc>
        <w:tc>
          <w:tcPr>
            <w:tcW w:w="1417" w:type="dxa"/>
            <w:vAlign w:val="center"/>
          </w:tcPr>
          <w:p w14:paraId="0768A100" w14:textId="77777777" w:rsidR="00C12D4D" w:rsidRDefault="00C12D4D" w:rsidP="001E3420">
            <w:pPr>
              <w:spacing w:line="276" w:lineRule="auto"/>
              <w:jc w:val="center"/>
              <w:rPr>
                <w:sz w:val="20"/>
                <w:szCs w:val="20"/>
                <w:lang w:val="nl-NL"/>
              </w:rPr>
            </w:pPr>
            <w:r>
              <w:rPr>
                <w:sz w:val="20"/>
                <w:szCs w:val="20"/>
                <w:lang w:val="nl-NL"/>
              </w:rPr>
              <w:t>1.8 – 2.2</w:t>
            </w:r>
          </w:p>
        </w:tc>
        <w:tc>
          <w:tcPr>
            <w:tcW w:w="1985" w:type="dxa"/>
            <w:vAlign w:val="center"/>
          </w:tcPr>
          <w:p w14:paraId="53F52F0D" w14:textId="21F549AB" w:rsidR="00C12D4D" w:rsidRDefault="004B0A79" w:rsidP="001E3420">
            <w:pPr>
              <w:spacing w:line="276" w:lineRule="auto"/>
              <w:rPr>
                <w:sz w:val="20"/>
                <w:szCs w:val="20"/>
                <w:lang w:val="nl-NL"/>
              </w:rPr>
            </w:pPr>
            <w:proofErr w:type="spellStart"/>
            <w:r w:rsidRPr="00C343F8">
              <w:rPr>
                <w:sz w:val="20"/>
                <w:szCs w:val="20"/>
                <w:lang w:val="nl-NL"/>
              </w:rPr>
              <w:t>Kox</w:t>
            </w:r>
            <w:proofErr w:type="spellEnd"/>
            <w:r w:rsidRPr="00C343F8">
              <w:rPr>
                <w:sz w:val="20"/>
                <w:szCs w:val="20"/>
                <w:lang w:val="nl-NL"/>
              </w:rPr>
              <w:t xml:space="preserve"> (201</w:t>
            </w:r>
            <w:r>
              <w:rPr>
                <w:sz w:val="20"/>
                <w:szCs w:val="20"/>
                <w:lang w:val="nl-NL"/>
              </w:rPr>
              <w:t>6</w:t>
            </w:r>
            <w:r w:rsidRPr="00C343F8">
              <w:rPr>
                <w:sz w:val="20"/>
                <w:szCs w:val="20"/>
                <w:lang w:val="nl-NL"/>
              </w:rPr>
              <w:t>)</w:t>
            </w:r>
            <w:r>
              <w:rPr>
                <w:sz w:val="20"/>
                <w:szCs w:val="20"/>
                <w:lang w:val="nl-NL"/>
              </w:rPr>
              <w:fldChar w:fldCharType="begin" w:fldLock="1"/>
            </w:r>
            <w:r w:rsidR="008A5081">
              <w:rPr>
                <w:sz w:val="20"/>
                <w:szCs w:val="20"/>
                <w:lang w:val="nl-NL"/>
              </w:rPr>
              <w:instrText>ADDIN CSL_CITATION {"citationItems":[{"id":"ITEM-1","itemData":{"author":[{"dropping-particle":"","family":"Kox","given":"S.A.J.","non-dropping-particle":"","parse-names":false,"suffix":""}],"id":"ITEM-1","issued":{"date-parts":[["2016"]]},"page":"203","title":"A Tool for Determining Marine Terminal Dimensions and Costs in a Project's Feasibility Phase.","type":"article-journal"},"uris":["http://www.mendeley.com/documents/?uuid=5d51f26b-6431-4721-8b88-3f04a222e1cf"]}],"mendeley":{"formattedCitation":"&lt;sup&gt;4&lt;/sup&gt;","plainTextFormattedCitation":"4","previouslyFormattedCitation":"&lt;sup&gt;4&lt;/sup&gt;"},"properties":{"noteIndex":0},"schema":"https://github.com/citation-style-language/schema/raw/master/csl-citation.json"}</w:instrText>
            </w:r>
            <w:r>
              <w:rPr>
                <w:sz w:val="20"/>
                <w:szCs w:val="20"/>
                <w:lang w:val="nl-NL"/>
              </w:rPr>
              <w:fldChar w:fldCharType="separate"/>
            </w:r>
            <w:r w:rsidR="008A5081" w:rsidRPr="008A5081">
              <w:rPr>
                <w:noProof/>
                <w:sz w:val="20"/>
                <w:szCs w:val="20"/>
                <w:vertAlign w:val="superscript"/>
                <w:lang w:val="nl-NL"/>
              </w:rPr>
              <w:t>4</w:t>
            </w:r>
            <w:r>
              <w:rPr>
                <w:sz w:val="20"/>
                <w:szCs w:val="20"/>
                <w:lang w:val="nl-NL"/>
              </w:rPr>
              <w:fldChar w:fldCharType="end"/>
            </w:r>
            <w:r>
              <w:rPr>
                <w:sz w:val="20"/>
                <w:szCs w:val="20"/>
                <w:lang w:val="nl-NL"/>
              </w:rPr>
              <w:t xml:space="preserve">, </w:t>
            </w:r>
            <w:r w:rsidR="00C12D4D">
              <w:rPr>
                <w:sz w:val="20"/>
                <w:szCs w:val="20"/>
                <w:lang w:val="nl-NL"/>
              </w:rPr>
              <w:t xml:space="preserve">expert </w:t>
            </w:r>
            <w:proofErr w:type="spellStart"/>
            <w:r w:rsidR="00C12D4D">
              <w:rPr>
                <w:sz w:val="20"/>
                <w:szCs w:val="20"/>
                <w:lang w:val="nl-NL"/>
              </w:rPr>
              <w:t>judgment</w:t>
            </w:r>
            <w:proofErr w:type="spellEnd"/>
          </w:p>
        </w:tc>
      </w:tr>
      <w:tr w:rsidR="00C12D4D" w:rsidRPr="00581107" w14:paraId="6E687D6A" w14:textId="77777777" w:rsidTr="001E3420">
        <w:trPr>
          <w:trHeight w:val="466"/>
        </w:trPr>
        <w:tc>
          <w:tcPr>
            <w:tcW w:w="1127" w:type="dxa"/>
            <w:vAlign w:val="center"/>
          </w:tcPr>
          <w:p w14:paraId="23EDD2BE" w14:textId="77777777" w:rsidR="00C12D4D" w:rsidRPr="002965F8" w:rsidRDefault="00C12D4D" w:rsidP="001E3420">
            <w:pPr>
              <w:spacing w:line="276" w:lineRule="auto"/>
              <w:rPr>
                <w:sz w:val="20"/>
                <w:szCs w:val="20"/>
                <w:vertAlign w:val="subscript"/>
              </w:rPr>
            </w:pPr>
            <w:proofErr w:type="spellStart"/>
            <w:r>
              <w:rPr>
                <w:sz w:val="20"/>
                <w:szCs w:val="20"/>
              </w:rPr>
              <w:t>C</w:t>
            </w:r>
            <w:r>
              <w:rPr>
                <w:sz w:val="20"/>
                <w:szCs w:val="20"/>
                <w:vertAlign w:val="subscript"/>
              </w:rPr>
              <w:t>dredge</w:t>
            </w:r>
            <w:proofErr w:type="spellEnd"/>
          </w:p>
        </w:tc>
        <w:tc>
          <w:tcPr>
            <w:tcW w:w="1083" w:type="dxa"/>
            <w:vAlign w:val="center"/>
          </w:tcPr>
          <w:p w14:paraId="75BA8A21" w14:textId="77777777" w:rsidR="00C12D4D" w:rsidRDefault="00C12D4D" w:rsidP="001E3420">
            <w:pPr>
              <w:spacing w:line="276" w:lineRule="auto"/>
              <w:jc w:val="center"/>
              <w:rPr>
                <w:sz w:val="20"/>
                <w:szCs w:val="20"/>
              </w:rPr>
            </w:pPr>
            <w:r>
              <w:rPr>
                <w:sz w:val="20"/>
                <w:szCs w:val="20"/>
              </w:rPr>
              <w:t>10 - 25</w:t>
            </w:r>
          </w:p>
        </w:tc>
        <w:tc>
          <w:tcPr>
            <w:tcW w:w="1615" w:type="dxa"/>
            <w:vAlign w:val="center"/>
          </w:tcPr>
          <w:p w14:paraId="10520AAE" w14:textId="77777777" w:rsidR="00C12D4D" w:rsidRDefault="00C12D4D" w:rsidP="001E3420">
            <w:pPr>
              <w:spacing w:line="276" w:lineRule="auto"/>
              <w:jc w:val="center"/>
              <w:rPr>
                <w:sz w:val="20"/>
                <w:szCs w:val="20"/>
              </w:rPr>
            </w:pPr>
            <w:r>
              <w:rPr>
                <w:sz w:val="20"/>
                <w:szCs w:val="20"/>
              </w:rPr>
              <w:t>10 - 25</w:t>
            </w:r>
          </w:p>
        </w:tc>
        <w:tc>
          <w:tcPr>
            <w:tcW w:w="1279" w:type="dxa"/>
            <w:vAlign w:val="center"/>
          </w:tcPr>
          <w:p w14:paraId="36705DE6" w14:textId="77777777" w:rsidR="00C12D4D" w:rsidRDefault="00C12D4D" w:rsidP="001E3420">
            <w:pPr>
              <w:spacing w:line="276" w:lineRule="auto"/>
              <w:jc w:val="center"/>
              <w:rPr>
                <w:sz w:val="20"/>
                <w:szCs w:val="20"/>
              </w:rPr>
            </w:pPr>
            <w:r>
              <w:rPr>
                <w:sz w:val="20"/>
                <w:szCs w:val="20"/>
              </w:rPr>
              <w:t>-</w:t>
            </w:r>
          </w:p>
        </w:tc>
        <w:tc>
          <w:tcPr>
            <w:tcW w:w="1559" w:type="dxa"/>
            <w:vAlign w:val="center"/>
          </w:tcPr>
          <w:p w14:paraId="0FCF0C3C" w14:textId="77777777" w:rsidR="00C12D4D" w:rsidRDefault="00C12D4D" w:rsidP="001E3420">
            <w:pPr>
              <w:spacing w:line="276" w:lineRule="auto"/>
              <w:jc w:val="center"/>
              <w:rPr>
                <w:sz w:val="20"/>
                <w:szCs w:val="20"/>
              </w:rPr>
            </w:pPr>
            <w:r>
              <w:rPr>
                <w:sz w:val="20"/>
                <w:szCs w:val="20"/>
              </w:rPr>
              <w:t>10 - 25</w:t>
            </w:r>
          </w:p>
        </w:tc>
        <w:tc>
          <w:tcPr>
            <w:tcW w:w="1417" w:type="dxa"/>
            <w:vAlign w:val="center"/>
          </w:tcPr>
          <w:p w14:paraId="15151ECF" w14:textId="77777777" w:rsidR="00C12D4D" w:rsidRDefault="00C12D4D" w:rsidP="001E3420">
            <w:pPr>
              <w:spacing w:line="276" w:lineRule="auto"/>
              <w:jc w:val="center"/>
              <w:rPr>
                <w:sz w:val="20"/>
                <w:szCs w:val="20"/>
                <w:lang w:val="nl-NL"/>
              </w:rPr>
            </w:pPr>
            <w:r>
              <w:rPr>
                <w:sz w:val="20"/>
                <w:szCs w:val="20"/>
              </w:rPr>
              <w:t>10 - 25</w:t>
            </w:r>
          </w:p>
        </w:tc>
        <w:tc>
          <w:tcPr>
            <w:tcW w:w="1985" w:type="dxa"/>
            <w:vAlign w:val="center"/>
          </w:tcPr>
          <w:p w14:paraId="664BA9D6" w14:textId="2974E295" w:rsidR="00C12D4D" w:rsidRPr="00C343F8" w:rsidRDefault="004B0A79" w:rsidP="001E3420">
            <w:pPr>
              <w:spacing w:line="276" w:lineRule="auto"/>
              <w:rPr>
                <w:sz w:val="20"/>
                <w:szCs w:val="20"/>
                <w:lang w:val="nl-NL"/>
              </w:rPr>
            </w:pPr>
            <w:r>
              <w:rPr>
                <w:sz w:val="20"/>
                <w:szCs w:val="20"/>
                <w:lang w:val="nl-NL"/>
              </w:rPr>
              <w:t xml:space="preserve">Becker </w:t>
            </w:r>
            <w:r w:rsidR="00C12D4D">
              <w:rPr>
                <w:sz w:val="20"/>
                <w:szCs w:val="20"/>
                <w:lang w:val="nl-NL"/>
              </w:rPr>
              <w:t>et al. (201</w:t>
            </w:r>
            <w:r>
              <w:rPr>
                <w:sz w:val="20"/>
                <w:szCs w:val="20"/>
                <w:lang w:val="nl-NL"/>
              </w:rPr>
              <w:t>7</w:t>
            </w:r>
            <w:r w:rsidR="00C12D4D">
              <w:rPr>
                <w:sz w:val="20"/>
                <w:szCs w:val="20"/>
                <w:lang w:val="nl-NL"/>
              </w:rPr>
              <w:t>)</w:t>
            </w:r>
            <w:r>
              <w:rPr>
                <w:sz w:val="20"/>
                <w:szCs w:val="20"/>
                <w:lang w:val="nl-NL"/>
              </w:rPr>
              <w:fldChar w:fldCharType="begin" w:fldLock="1"/>
            </w:r>
            <w:r w:rsidR="008A5081">
              <w:rPr>
                <w:sz w:val="20"/>
                <w:szCs w:val="20"/>
                <w:lang w:val="nl-NL"/>
              </w:rPr>
              <w:instrText>ADDIN CSL_CITATION {"citationItems":[{"id":"ITEM-1","itemData":{"DOI":"10.3390/jmse5030044","ISSN":"2077-1312","abstract":"Climate changes projected for 2100 and beyond could result in a worldwide race for adaptation resources on a scale never seen before. This paper describes a model for estimating the cost and materials of elevating coastal seaport infrastructure in the United States to prevent damage from sea level rise associated with climate change. This study pilots the use of a generic port model (GenPort) as a basis from which to estimate regional materials and monetary demands, resulting in projections that would be infeasible to calculate on an individual port-by-port basis. We estimate the combined cost of adding two meters of additional fill material to elevate the working surface and then reconstructing the generic port. We use the resulting unit area cost to develop an estimate to elevate and retrofit 100 major United States commercial coastal ports. A total of $57 billion to $78 billion (2012 US dollars) and 704 million cubic meters of fill would be required to elevate the 100 ports by two meters and to reconstruct associated infrastructure. This estimation method and the results serve as a thought exercise to provoke considerations of the cumulative monetary and material demands of widespread adaptations of seaport infrastructure. The model can be adapted for use in multiple infrastructure sectors and coastal managers can use the outlined considerations as a basis for individual port adaptation strategy assessments. Keywords: seaports; resilience; climate adaptation; estimating; el","author":[{"dropping-particle":"","family":"Becker","given":"Austin","non-dropping-particle":"","parse-names":false,"suffix":""},{"dropping-particle":"","family":"Hippe","given":"Ariel","non-dropping-particle":"","parse-names":false,"suffix":""},{"dropping-particle":"","family":"Mclean","given":"Elizabeth","non-dropping-particle":"","parse-names":false,"suffix":""}],"container-title":"Journal of Marine Science and Engineering","id":"ITEM-1","issue":"3","issued":{"date-parts":[["2017"]]},"page":"44","title":"Cost and Materials Required to Retrofit US Seaports in Response to Sea Level Rise: A Thought Exercise for Climate Response","type":"article-journal","volume":"5"},"uris":["http://www.mendeley.com/documents/?uuid=74249fcd-ea04-477c-b66c-a4d7379bdd79"]}],"mendeley":{"formattedCitation":"&lt;sup&gt;7&lt;/sup&gt;","plainTextFormattedCitation":"7","previouslyFormattedCitation":"&lt;sup&gt;7&lt;/sup&gt;"},"properties":{"noteIndex":0},"schema":"https://github.com/citation-style-language/schema/raw/master/csl-citation.json"}</w:instrText>
            </w:r>
            <w:r>
              <w:rPr>
                <w:sz w:val="20"/>
                <w:szCs w:val="20"/>
                <w:lang w:val="nl-NL"/>
              </w:rPr>
              <w:fldChar w:fldCharType="separate"/>
            </w:r>
            <w:r w:rsidR="008A5081" w:rsidRPr="008A5081">
              <w:rPr>
                <w:noProof/>
                <w:sz w:val="20"/>
                <w:szCs w:val="20"/>
                <w:vertAlign w:val="superscript"/>
                <w:lang w:val="nl-NL"/>
              </w:rPr>
              <w:t>7</w:t>
            </w:r>
            <w:r>
              <w:rPr>
                <w:sz w:val="20"/>
                <w:szCs w:val="20"/>
                <w:lang w:val="nl-NL"/>
              </w:rPr>
              <w:fldChar w:fldCharType="end"/>
            </w:r>
          </w:p>
          <w:p w14:paraId="7FBF713F" w14:textId="77777777" w:rsidR="00C12D4D" w:rsidRDefault="00C12D4D" w:rsidP="001E3420">
            <w:pPr>
              <w:spacing w:line="276" w:lineRule="auto"/>
              <w:rPr>
                <w:sz w:val="20"/>
                <w:szCs w:val="20"/>
                <w:lang w:val="nl-NL"/>
              </w:rPr>
            </w:pPr>
          </w:p>
        </w:tc>
      </w:tr>
      <w:tr w:rsidR="00C12D4D" w:rsidRPr="00581107" w14:paraId="5D147EDC" w14:textId="77777777" w:rsidTr="001E3420">
        <w:trPr>
          <w:trHeight w:val="466"/>
        </w:trPr>
        <w:tc>
          <w:tcPr>
            <w:tcW w:w="1127" w:type="dxa"/>
            <w:vAlign w:val="center"/>
          </w:tcPr>
          <w:p w14:paraId="39A02B58" w14:textId="77777777" w:rsidR="00C12D4D" w:rsidRPr="00313C47" w:rsidRDefault="00C12D4D" w:rsidP="001E3420">
            <w:pPr>
              <w:spacing w:line="276" w:lineRule="auto"/>
              <w:rPr>
                <w:sz w:val="20"/>
                <w:szCs w:val="20"/>
                <w:vertAlign w:val="subscript"/>
              </w:rPr>
            </w:pPr>
            <w:proofErr w:type="spellStart"/>
            <w:r>
              <w:rPr>
                <w:sz w:val="20"/>
                <w:szCs w:val="20"/>
              </w:rPr>
              <w:t>F</w:t>
            </w:r>
            <w:r>
              <w:rPr>
                <w:sz w:val="20"/>
                <w:szCs w:val="20"/>
                <w:vertAlign w:val="subscript"/>
              </w:rPr>
              <w:t>dredge</w:t>
            </w:r>
            <w:proofErr w:type="spellEnd"/>
          </w:p>
        </w:tc>
        <w:tc>
          <w:tcPr>
            <w:tcW w:w="1083" w:type="dxa"/>
            <w:vAlign w:val="center"/>
          </w:tcPr>
          <w:p w14:paraId="50AB8EBB" w14:textId="77777777" w:rsidR="00C12D4D" w:rsidRDefault="00C12D4D" w:rsidP="001E3420">
            <w:pPr>
              <w:spacing w:line="276" w:lineRule="auto"/>
              <w:jc w:val="center"/>
              <w:rPr>
                <w:sz w:val="20"/>
                <w:szCs w:val="20"/>
              </w:rPr>
            </w:pPr>
            <w:r>
              <w:rPr>
                <w:sz w:val="20"/>
                <w:szCs w:val="20"/>
              </w:rPr>
              <w:t>0.5 - 1</w:t>
            </w:r>
          </w:p>
        </w:tc>
        <w:tc>
          <w:tcPr>
            <w:tcW w:w="1615" w:type="dxa"/>
            <w:vAlign w:val="center"/>
          </w:tcPr>
          <w:p w14:paraId="608F8BE0" w14:textId="77777777" w:rsidR="00C12D4D" w:rsidRDefault="00C12D4D" w:rsidP="001E3420">
            <w:pPr>
              <w:spacing w:line="276" w:lineRule="auto"/>
              <w:jc w:val="center"/>
              <w:rPr>
                <w:sz w:val="20"/>
                <w:szCs w:val="20"/>
              </w:rPr>
            </w:pPr>
            <w:r>
              <w:rPr>
                <w:sz w:val="20"/>
                <w:szCs w:val="20"/>
              </w:rPr>
              <w:t>0.5 - 1</w:t>
            </w:r>
          </w:p>
        </w:tc>
        <w:tc>
          <w:tcPr>
            <w:tcW w:w="1279" w:type="dxa"/>
            <w:vAlign w:val="center"/>
          </w:tcPr>
          <w:p w14:paraId="7DF5F872" w14:textId="77777777" w:rsidR="00C12D4D" w:rsidRDefault="00C12D4D" w:rsidP="001E3420">
            <w:pPr>
              <w:spacing w:line="276" w:lineRule="auto"/>
              <w:jc w:val="center"/>
              <w:rPr>
                <w:sz w:val="20"/>
                <w:szCs w:val="20"/>
              </w:rPr>
            </w:pPr>
            <w:r>
              <w:rPr>
                <w:sz w:val="20"/>
                <w:szCs w:val="20"/>
              </w:rPr>
              <w:t>-</w:t>
            </w:r>
          </w:p>
        </w:tc>
        <w:tc>
          <w:tcPr>
            <w:tcW w:w="1559" w:type="dxa"/>
            <w:vAlign w:val="center"/>
          </w:tcPr>
          <w:p w14:paraId="60493914" w14:textId="77777777" w:rsidR="00C12D4D" w:rsidRDefault="00C12D4D" w:rsidP="001E3420">
            <w:pPr>
              <w:spacing w:line="276" w:lineRule="auto"/>
              <w:jc w:val="center"/>
              <w:rPr>
                <w:sz w:val="20"/>
                <w:szCs w:val="20"/>
              </w:rPr>
            </w:pPr>
            <w:r>
              <w:rPr>
                <w:sz w:val="20"/>
                <w:szCs w:val="20"/>
              </w:rPr>
              <w:t>0.5 - 1</w:t>
            </w:r>
          </w:p>
        </w:tc>
        <w:tc>
          <w:tcPr>
            <w:tcW w:w="1417" w:type="dxa"/>
            <w:vAlign w:val="center"/>
          </w:tcPr>
          <w:p w14:paraId="741FA448" w14:textId="77777777" w:rsidR="00C12D4D" w:rsidRDefault="00C12D4D" w:rsidP="001E3420">
            <w:pPr>
              <w:spacing w:line="276" w:lineRule="auto"/>
              <w:jc w:val="center"/>
              <w:rPr>
                <w:sz w:val="20"/>
                <w:szCs w:val="20"/>
              </w:rPr>
            </w:pPr>
            <w:r>
              <w:rPr>
                <w:sz w:val="20"/>
                <w:szCs w:val="20"/>
              </w:rPr>
              <w:t>0.5 - 1</w:t>
            </w:r>
          </w:p>
        </w:tc>
        <w:tc>
          <w:tcPr>
            <w:tcW w:w="1985" w:type="dxa"/>
            <w:vAlign w:val="center"/>
          </w:tcPr>
          <w:p w14:paraId="7CEE4D32" w14:textId="77777777" w:rsidR="00C12D4D" w:rsidRDefault="00C12D4D" w:rsidP="001E3420">
            <w:pPr>
              <w:spacing w:line="276" w:lineRule="auto"/>
              <w:rPr>
                <w:sz w:val="20"/>
                <w:szCs w:val="20"/>
                <w:lang w:val="nl-NL"/>
              </w:rPr>
            </w:pPr>
            <w:r>
              <w:rPr>
                <w:sz w:val="20"/>
                <w:szCs w:val="20"/>
                <w:lang w:val="nl-NL"/>
              </w:rPr>
              <w:t xml:space="preserve">Expert </w:t>
            </w:r>
            <w:proofErr w:type="spellStart"/>
            <w:r>
              <w:rPr>
                <w:sz w:val="20"/>
                <w:szCs w:val="20"/>
                <w:lang w:val="nl-NL"/>
              </w:rPr>
              <w:t>judgment</w:t>
            </w:r>
            <w:proofErr w:type="spellEnd"/>
          </w:p>
        </w:tc>
      </w:tr>
      <w:tr w:rsidR="00C12D4D" w:rsidRPr="00581107" w14:paraId="364EF621" w14:textId="77777777" w:rsidTr="001E3420">
        <w:trPr>
          <w:trHeight w:val="466"/>
        </w:trPr>
        <w:tc>
          <w:tcPr>
            <w:tcW w:w="1127" w:type="dxa"/>
            <w:vAlign w:val="center"/>
          </w:tcPr>
          <w:p w14:paraId="765395F6" w14:textId="77777777" w:rsidR="00C12D4D" w:rsidRPr="00C60ED9" w:rsidRDefault="00C12D4D" w:rsidP="001E3420">
            <w:pPr>
              <w:spacing w:line="276" w:lineRule="auto"/>
              <w:rPr>
                <w:sz w:val="20"/>
                <w:szCs w:val="20"/>
              </w:rPr>
            </w:pPr>
            <w:proofErr w:type="spellStart"/>
            <w:r>
              <w:rPr>
                <w:sz w:val="20"/>
                <w:szCs w:val="20"/>
              </w:rPr>
              <w:t>C</w:t>
            </w:r>
            <w:r>
              <w:rPr>
                <w:sz w:val="20"/>
                <w:szCs w:val="20"/>
                <w:vertAlign w:val="subscript"/>
              </w:rPr>
              <w:t>yard</w:t>
            </w:r>
            <w:proofErr w:type="spellEnd"/>
          </w:p>
        </w:tc>
        <w:tc>
          <w:tcPr>
            <w:tcW w:w="1083" w:type="dxa"/>
            <w:vAlign w:val="center"/>
          </w:tcPr>
          <w:p w14:paraId="7FACE89D" w14:textId="77777777" w:rsidR="00C12D4D" w:rsidRPr="00581107" w:rsidRDefault="00C12D4D" w:rsidP="001E3420">
            <w:pPr>
              <w:spacing w:line="276" w:lineRule="auto"/>
              <w:jc w:val="center"/>
              <w:rPr>
                <w:sz w:val="20"/>
                <w:szCs w:val="20"/>
              </w:rPr>
            </w:pPr>
            <w:r>
              <w:rPr>
                <w:sz w:val="20"/>
                <w:szCs w:val="20"/>
              </w:rPr>
              <w:t>105 - 155</w:t>
            </w:r>
          </w:p>
        </w:tc>
        <w:tc>
          <w:tcPr>
            <w:tcW w:w="1615" w:type="dxa"/>
            <w:vAlign w:val="center"/>
          </w:tcPr>
          <w:p w14:paraId="2764BEC1" w14:textId="77777777" w:rsidR="00C12D4D" w:rsidRPr="00581107" w:rsidRDefault="00C12D4D" w:rsidP="001E3420">
            <w:pPr>
              <w:spacing w:line="276" w:lineRule="auto"/>
              <w:jc w:val="center"/>
              <w:rPr>
                <w:sz w:val="20"/>
                <w:szCs w:val="20"/>
              </w:rPr>
            </w:pPr>
            <w:r>
              <w:rPr>
                <w:sz w:val="20"/>
                <w:szCs w:val="20"/>
              </w:rPr>
              <w:t>-</w:t>
            </w:r>
          </w:p>
        </w:tc>
        <w:tc>
          <w:tcPr>
            <w:tcW w:w="1279" w:type="dxa"/>
            <w:vAlign w:val="center"/>
          </w:tcPr>
          <w:p w14:paraId="5EF6C55B" w14:textId="77777777" w:rsidR="00C12D4D" w:rsidRPr="00581107" w:rsidRDefault="00C12D4D" w:rsidP="001E3420">
            <w:pPr>
              <w:spacing w:line="276" w:lineRule="auto"/>
              <w:jc w:val="center"/>
              <w:rPr>
                <w:sz w:val="20"/>
                <w:szCs w:val="20"/>
              </w:rPr>
            </w:pPr>
            <w:r>
              <w:rPr>
                <w:sz w:val="20"/>
                <w:szCs w:val="20"/>
              </w:rPr>
              <w:t>-</w:t>
            </w:r>
          </w:p>
        </w:tc>
        <w:tc>
          <w:tcPr>
            <w:tcW w:w="1559" w:type="dxa"/>
            <w:vAlign w:val="center"/>
          </w:tcPr>
          <w:p w14:paraId="3BFE2CB2" w14:textId="77777777" w:rsidR="00C12D4D" w:rsidRPr="00581107" w:rsidRDefault="00C12D4D" w:rsidP="001E3420">
            <w:pPr>
              <w:spacing w:line="276" w:lineRule="auto"/>
              <w:jc w:val="center"/>
              <w:rPr>
                <w:sz w:val="20"/>
                <w:szCs w:val="20"/>
              </w:rPr>
            </w:pPr>
            <w:r>
              <w:rPr>
                <w:sz w:val="20"/>
                <w:szCs w:val="20"/>
              </w:rPr>
              <w:t>-</w:t>
            </w:r>
          </w:p>
        </w:tc>
        <w:tc>
          <w:tcPr>
            <w:tcW w:w="1417" w:type="dxa"/>
            <w:vAlign w:val="center"/>
          </w:tcPr>
          <w:p w14:paraId="21056D13" w14:textId="77777777" w:rsidR="00C12D4D" w:rsidRPr="00C343F8" w:rsidRDefault="00C12D4D" w:rsidP="001E3420">
            <w:pPr>
              <w:spacing w:line="276" w:lineRule="auto"/>
              <w:jc w:val="center"/>
              <w:rPr>
                <w:sz w:val="20"/>
                <w:szCs w:val="20"/>
                <w:lang w:val="nl-NL"/>
              </w:rPr>
            </w:pPr>
            <w:r>
              <w:rPr>
                <w:sz w:val="20"/>
                <w:szCs w:val="20"/>
                <w:lang w:val="nl-NL"/>
              </w:rPr>
              <w:t>-</w:t>
            </w:r>
          </w:p>
        </w:tc>
        <w:tc>
          <w:tcPr>
            <w:tcW w:w="1985" w:type="dxa"/>
            <w:vAlign w:val="center"/>
          </w:tcPr>
          <w:p w14:paraId="01EE2094" w14:textId="27CC0FEB" w:rsidR="004B0A79" w:rsidRPr="00C343F8" w:rsidRDefault="004B0A79" w:rsidP="004B0A79">
            <w:pPr>
              <w:spacing w:line="276" w:lineRule="auto"/>
              <w:rPr>
                <w:sz w:val="20"/>
                <w:szCs w:val="20"/>
                <w:lang w:val="nl-NL"/>
              </w:rPr>
            </w:pPr>
            <w:r>
              <w:rPr>
                <w:sz w:val="20"/>
                <w:szCs w:val="20"/>
                <w:lang w:val="nl-NL"/>
              </w:rPr>
              <w:t>Becker et al. (2017)</w:t>
            </w:r>
            <w:r>
              <w:rPr>
                <w:sz w:val="20"/>
                <w:szCs w:val="20"/>
                <w:lang w:val="nl-NL"/>
              </w:rPr>
              <w:fldChar w:fldCharType="begin" w:fldLock="1"/>
            </w:r>
            <w:r w:rsidR="008A5081">
              <w:rPr>
                <w:sz w:val="20"/>
                <w:szCs w:val="20"/>
                <w:lang w:val="nl-NL"/>
              </w:rPr>
              <w:instrText>ADDIN CSL_CITATION {"citationItems":[{"id":"ITEM-1","itemData":{"DOI":"10.3390/jmse5030044","ISSN":"2077-1312","abstract":"Climate changes projected for 2100 and beyond could result in a worldwide race for adaptation resources on a scale never seen before. This paper describes a model for estimating the cost and materials of elevating coastal seaport infrastructure in the United States to prevent damage from sea level rise associated with climate change. This study pilots the use of a generic port model (GenPort) as a basis from which to estimate regional materials and monetary demands, resulting in projections that would be infeasible to calculate on an individual port-by-port basis. We estimate the combined cost of adding two meters of additional fill material to elevate the working surface and then reconstructing the generic port. We use the resulting unit area cost to develop an estimate to elevate and retrofit 100 major United States commercial coastal ports. A total of $57 billion to $78 billion (2012 US dollars) and 704 million cubic meters of fill would be required to elevate the 100 ports by two meters and to reconstruct associated infrastructure. This estimation method and the results serve as a thought exercise to provoke considerations of the cumulative monetary and material demands of widespread adaptations of seaport infrastructure. The model can be adapted for use in multiple infrastructure sectors and coastal managers can use the outlined considerations as a basis for individual port adaptation strategy assessments. Keywords: seaports; resilience; climate adaptation; estimating; el","author":[{"dropping-particle":"","family":"Becker","given":"Austin","non-dropping-particle":"","parse-names":false,"suffix":""},{"dropping-particle":"","family":"Hippe","given":"Ariel","non-dropping-particle":"","parse-names":false,"suffix":""},{"dropping-particle":"","family":"Mclean","given":"Elizabeth","non-dropping-particle":"","parse-names":false,"suffix":""}],"container-title":"Journal of Marine Science and Engineering","id":"ITEM-1","issue":"3","issued":{"date-parts":[["2017"]]},"page":"44","title":"Cost and Materials Required to Retrofit US Seaports in Response to Sea Level Rise: A Thought Exercise for Climate Response","type":"article-journal","volume":"5"},"uris":["http://www.mendeley.com/documents/?uuid=74249fcd-ea04-477c-b66c-a4d7379bdd79"]}],"mendeley":{"formattedCitation":"&lt;sup&gt;7&lt;/sup&gt;","plainTextFormattedCitation":"7","previouslyFormattedCitation":"&lt;sup&gt;7&lt;/sup&gt;"},"properties":{"noteIndex":0},"schema":"https://github.com/citation-style-language/schema/raw/master/csl-citation.json"}</w:instrText>
            </w:r>
            <w:r>
              <w:rPr>
                <w:sz w:val="20"/>
                <w:szCs w:val="20"/>
                <w:lang w:val="nl-NL"/>
              </w:rPr>
              <w:fldChar w:fldCharType="separate"/>
            </w:r>
            <w:r w:rsidR="008A5081" w:rsidRPr="008A5081">
              <w:rPr>
                <w:noProof/>
                <w:sz w:val="20"/>
                <w:szCs w:val="20"/>
                <w:vertAlign w:val="superscript"/>
                <w:lang w:val="nl-NL"/>
              </w:rPr>
              <w:t>7</w:t>
            </w:r>
            <w:r>
              <w:rPr>
                <w:sz w:val="20"/>
                <w:szCs w:val="20"/>
                <w:lang w:val="nl-NL"/>
              </w:rPr>
              <w:fldChar w:fldCharType="end"/>
            </w:r>
          </w:p>
          <w:p w14:paraId="0515F46F" w14:textId="77777777" w:rsidR="00C12D4D" w:rsidRPr="00581107" w:rsidRDefault="00C12D4D" w:rsidP="001E3420">
            <w:pPr>
              <w:spacing w:line="276" w:lineRule="auto"/>
              <w:rPr>
                <w:sz w:val="20"/>
                <w:szCs w:val="20"/>
              </w:rPr>
            </w:pPr>
          </w:p>
        </w:tc>
      </w:tr>
      <w:tr w:rsidR="00C12D4D" w:rsidRPr="00581107" w14:paraId="40907AAA" w14:textId="77777777" w:rsidTr="001E3420">
        <w:trPr>
          <w:trHeight w:val="242"/>
        </w:trPr>
        <w:tc>
          <w:tcPr>
            <w:tcW w:w="1127" w:type="dxa"/>
            <w:vAlign w:val="center"/>
          </w:tcPr>
          <w:p w14:paraId="0E45257C" w14:textId="77777777" w:rsidR="00C12D4D" w:rsidRPr="00581107" w:rsidRDefault="00C12D4D" w:rsidP="001E3420">
            <w:pPr>
              <w:spacing w:line="276" w:lineRule="auto"/>
              <w:rPr>
                <w:sz w:val="20"/>
                <w:szCs w:val="20"/>
              </w:rPr>
            </w:pPr>
            <w:proofErr w:type="spellStart"/>
            <w:r>
              <w:rPr>
                <w:sz w:val="20"/>
                <w:szCs w:val="20"/>
              </w:rPr>
              <w:t>C</w:t>
            </w:r>
            <w:r w:rsidRPr="00C60ED9">
              <w:rPr>
                <w:sz w:val="20"/>
                <w:szCs w:val="20"/>
                <w:vertAlign w:val="subscript"/>
              </w:rPr>
              <w:t>crane</w:t>
            </w:r>
            <w:proofErr w:type="spellEnd"/>
          </w:p>
        </w:tc>
        <w:tc>
          <w:tcPr>
            <w:tcW w:w="1083" w:type="dxa"/>
            <w:vAlign w:val="center"/>
          </w:tcPr>
          <w:p w14:paraId="0DBBC331" w14:textId="77777777" w:rsidR="00C12D4D" w:rsidRPr="00581107" w:rsidRDefault="00C12D4D" w:rsidP="001E3420">
            <w:pPr>
              <w:spacing w:line="276" w:lineRule="auto"/>
              <w:jc w:val="center"/>
              <w:rPr>
                <w:sz w:val="20"/>
                <w:szCs w:val="20"/>
              </w:rPr>
            </w:pPr>
            <w:r>
              <w:rPr>
                <w:sz w:val="20"/>
                <w:szCs w:val="20"/>
              </w:rPr>
              <w:t xml:space="preserve">7 - </w:t>
            </w:r>
            <w:r w:rsidRPr="00581107">
              <w:rPr>
                <w:sz w:val="20"/>
                <w:szCs w:val="20"/>
              </w:rPr>
              <w:t>1</w:t>
            </w:r>
            <w:r>
              <w:rPr>
                <w:sz w:val="20"/>
                <w:szCs w:val="20"/>
              </w:rPr>
              <w:t>1</w:t>
            </w:r>
          </w:p>
        </w:tc>
        <w:tc>
          <w:tcPr>
            <w:tcW w:w="1615" w:type="dxa"/>
            <w:vAlign w:val="center"/>
          </w:tcPr>
          <w:p w14:paraId="773BEAAA" w14:textId="77777777" w:rsidR="00C12D4D" w:rsidRPr="00581107" w:rsidRDefault="00C12D4D" w:rsidP="001E3420">
            <w:pPr>
              <w:spacing w:line="276" w:lineRule="auto"/>
              <w:jc w:val="center"/>
              <w:rPr>
                <w:sz w:val="20"/>
                <w:szCs w:val="20"/>
              </w:rPr>
            </w:pPr>
            <w:r w:rsidRPr="00581107">
              <w:rPr>
                <w:sz w:val="20"/>
                <w:szCs w:val="20"/>
              </w:rPr>
              <w:t>-</w:t>
            </w:r>
          </w:p>
        </w:tc>
        <w:tc>
          <w:tcPr>
            <w:tcW w:w="1279" w:type="dxa"/>
            <w:vAlign w:val="center"/>
          </w:tcPr>
          <w:p w14:paraId="50A680FB" w14:textId="77777777" w:rsidR="00C12D4D" w:rsidRPr="00581107" w:rsidRDefault="00C12D4D" w:rsidP="001E3420">
            <w:pPr>
              <w:spacing w:line="276" w:lineRule="auto"/>
              <w:jc w:val="center"/>
              <w:rPr>
                <w:sz w:val="20"/>
                <w:szCs w:val="20"/>
              </w:rPr>
            </w:pPr>
            <w:r w:rsidRPr="00581107">
              <w:rPr>
                <w:sz w:val="20"/>
                <w:szCs w:val="20"/>
              </w:rPr>
              <w:t>-</w:t>
            </w:r>
          </w:p>
        </w:tc>
        <w:tc>
          <w:tcPr>
            <w:tcW w:w="1559" w:type="dxa"/>
            <w:vAlign w:val="center"/>
          </w:tcPr>
          <w:p w14:paraId="1EAEF587" w14:textId="77777777" w:rsidR="00C12D4D" w:rsidRPr="00581107" w:rsidRDefault="00C12D4D" w:rsidP="001E3420">
            <w:pPr>
              <w:spacing w:line="276" w:lineRule="auto"/>
              <w:jc w:val="center"/>
              <w:rPr>
                <w:sz w:val="20"/>
                <w:szCs w:val="20"/>
              </w:rPr>
            </w:pPr>
            <w:r w:rsidRPr="00581107">
              <w:rPr>
                <w:sz w:val="20"/>
                <w:szCs w:val="20"/>
              </w:rPr>
              <w:t>-</w:t>
            </w:r>
          </w:p>
        </w:tc>
        <w:tc>
          <w:tcPr>
            <w:tcW w:w="1417" w:type="dxa"/>
            <w:vAlign w:val="center"/>
          </w:tcPr>
          <w:p w14:paraId="390DF570" w14:textId="77777777" w:rsidR="00C12D4D" w:rsidRPr="00581107" w:rsidRDefault="00C12D4D" w:rsidP="001E3420">
            <w:pPr>
              <w:spacing w:line="276" w:lineRule="auto"/>
              <w:jc w:val="center"/>
              <w:rPr>
                <w:sz w:val="20"/>
                <w:szCs w:val="20"/>
              </w:rPr>
            </w:pPr>
            <w:r>
              <w:rPr>
                <w:sz w:val="20"/>
                <w:szCs w:val="20"/>
              </w:rPr>
              <w:t>-</w:t>
            </w:r>
          </w:p>
        </w:tc>
        <w:tc>
          <w:tcPr>
            <w:tcW w:w="1985" w:type="dxa"/>
            <w:vAlign w:val="center"/>
          </w:tcPr>
          <w:p w14:paraId="678DA8C5" w14:textId="294FE9F2" w:rsidR="00C12D4D" w:rsidRPr="00581107" w:rsidRDefault="004B0A79" w:rsidP="001E3420">
            <w:pPr>
              <w:spacing w:line="276" w:lineRule="auto"/>
              <w:rPr>
                <w:sz w:val="20"/>
                <w:szCs w:val="20"/>
              </w:rPr>
            </w:pPr>
            <w:proofErr w:type="spellStart"/>
            <w:r w:rsidRPr="00C343F8">
              <w:rPr>
                <w:sz w:val="20"/>
                <w:szCs w:val="20"/>
                <w:lang w:val="nl-NL"/>
              </w:rPr>
              <w:t>Kox</w:t>
            </w:r>
            <w:proofErr w:type="spellEnd"/>
            <w:r w:rsidRPr="00C343F8">
              <w:rPr>
                <w:sz w:val="20"/>
                <w:szCs w:val="20"/>
                <w:lang w:val="nl-NL"/>
              </w:rPr>
              <w:t xml:space="preserve"> (201</w:t>
            </w:r>
            <w:r>
              <w:rPr>
                <w:sz w:val="20"/>
                <w:szCs w:val="20"/>
                <w:lang w:val="nl-NL"/>
              </w:rPr>
              <w:t>6</w:t>
            </w:r>
            <w:r w:rsidRPr="00C343F8">
              <w:rPr>
                <w:sz w:val="20"/>
                <w:szCs w:val="20"/>
                <w:lang w:val="nl-NL"/>
              </w:rPr>
              <w:t>)</w:t>
            </w:r>
            <w:r>
              <w:rPr>
                <w:sz w:val="20"/>
                <w:szCs w:val="20"/>
                <w:lang w:val="nl-NL"/>
              </w:rPr>
              <w:fldChar w:fldCharType="begin" w:fldLock="1"/>
            </w:r>
            <w:r w:rsidR="008A5081">
              <w:rPr>
                <w:sz w:val="20"/>
                <w:szCs w:val="20"/>
                <w:lang w:val="nl-NL"/>
              </w:rPr>
              <w:instrText>ADDIN CSL_CITATION {"citationItems":[{"id":"ITEM-1","itemData":{"author":[{"dropping-particle":"","family":"Kox","given":"S.A.J.","non-dropping-particle":"","parse-names":false,"suffix":""}],"id":"ITEM-1","issued":{"date-parts":[["2016"]]},"page":"203","title":"A Tool for Determining Marine Terminal Dimensions and Costs in a Project's Feasibility Phase.","type":"article-journal"},"uris":["http://www.mendeley.com/documents/?uuid=5d51f26b-6431-4721-8b88-3f04a222e1cf"]}],"mendeley":{"formattedCitation":"&lt;sup&gt;4&lt;/sup&gt;","plainTextFormattedCitation":"4","previouslyFormattedCitation":"&lt;sup&gt;4&lt;/sup&gt;"},"properties":{"noteIndex":0},"schema":"https://github.com/citation-style-language/schema/raw/master/csl-citation.json"}</w:instrText>
            </w:r>
            <w:r>
              <w:rPr>
                <w:sz w:val="20"/>
                <w:szCs w:val="20"/>
                <w:lang w:val="nl-NL"/>
              </w:rPr>
              <w:fldChar w:fldCharType="separate"/>
            </w:r>
            <w:r w:rsidR="008A5081" w:rsidRPr="008A5081">
              <w:rPr>
                <w:noProof/>
                <w:sz w:val="20"/>
                <w:szCs w:val="20"/>
                <w:vertAlign w:val="superscript"/>
                <w:lang w:val="nl-NL"/>
              </w:rPr>
              <w:t>4</w:t>
            </w:r>
            <w:r>
              <w:rPr>
                <w:sz w:val="20"/>
                <w:szCs w:val="20"/>
                <w:lang w:val="nl-NL"/>
              </w:rPr>
              <w:fldChar w:fldCharType="end"/>
            </w:r>
          </w:p>
        </w:tc>
      </w:tr>
      <w:tr w:rsidR="00C12D4D" w:rsidRPr="00581107" w14:paraId="26D89C32" w14:textId="77777777" w:rsidTr="001E3420">
        <w:trPr>
          <w:trHeight w:val="461"/>
        </w:trPr>
        <w:tc>
          <w:tcPr>
            <w:tcW w:w="1127" w:type="dxa"/>
            <w:vAlign w:val="center"/>
          </w:tcPr>
          <w:p w14:paraId="01BE9138" w14:textId="77777777" w:rsidR="00C12D4D" w:rsidRPr="00581107" w:rsidRDefault="00C12D4D" w:rsidP="001E3420">
            <w:pPr>
              <w:spacing w:line="276" w:lineRule="auto"/>
              <w:rPr>
                <w:sz w:val="20"/>
                <w:szCs w:val="20"/>
              </w:rPr>
            </w:pPr>
            <w:proofErr w:type="spellStart"/>
            <w:r>
              <w:rPr>
                <w:sz w:val="20"/>
                <w:szCs w:val="20"/>
              </w:rPr>
              <w:t>n</w:t>
            </w:r>
            <w:r w:rsidRPr="00C60ED9">
              <w:rPr>
                <w:sz w:val="20"/>
                <w:szCs w:val="20"/>
                <w:vertAlign w:val="subscript"/>
              </w:rPr>
              <w:t>crane</w:t>
            </w:r>
            <w:proofErr w:type="spellEnd"/>
          </w:p>
        </w:tc>
        <w:tc>
          <w:tcPr>
            <w:tcW w:w="1083" w:type="dxa"/>
            <w:vAlign w:val="center"/>
          </w:tcPr>
          <w:p w14:paraId="06D5D36F" w14:textId="77777777" w:rsidR="00C12D4D" w:rsidRPr="00581107" w:rsidRDefault="00C12D4D" w:rsidP="001E3420">
            <w:pPr>
              <w:spacing w:line="276" w:lineRule="auto"/>
              <w:jc w:val="center"/>
              <w:rPr>
                <w:sz w:val="20"/>
                <w:szCs w:val="20"/>
              </w:rPr>
            </w:pPr>
            <w:r>
              <w:rPr>
                <w:sz w:val="20"/>
                <w:szCs w:val="20"/>
              </w:rPr>
              <w:t>80 – 120</w:t>
            </w:r>
          </w:p>
        </w:tc>
        <w:tc>
          <w:tcPr>
            <w:tcW w:w="1615" w:type="dxa"/>
            <w:vAlign w:val="center"/>
          </w:tcPr>
          <w:p w14:paraId="541D04BE" w14:textId="77777777" w:rsidR="00C12D4D" w:rsidRPr="00581107" w:rsidRDefault="00C12D4D" w:rsidP="001E3420">
            <w:pPr>
              <w:spacing w:line="276" w:lineRule="auto"/>
              <w:jc w:val="center"/>
              <w:rPr>
                <w:sz w:val="20"/>
                <w:szCs w:val="20"/>
              </w:rPr>
            </w:pPr>
            <w:r w:rsidRPr="00581107">
              <w:rPr>
                <w:sz w:val="20"/>
                <w:szCs w:val="20"/>
              </w:rPr>
              <w:t>-</w:t>
            </w:r>
          </w:p>
        </w:tc>
        <w:tc>
          <w:tcPr>
            <w:tcW w:w="1279" w:type="dxa"/>
            <w:vAlign w:val="center"/>
          </w:tcPr>
          <w:p w14:paraId="784BDF6D" w14:textId="77777777" w:rsidR="00C12D4D" w:rsidRPr="00581107" w:rsidRDefault="00C12D4D" w:rsidP="001E3420">
            <w:pPr>
              <w:spacing w:line="276" w:lineRule="auto"/>
              <w:jc w:val="center"/>
              <w:rPr>
                <w:sz w:val="20"/>
                <w:szCs w:val="20"/>
              </w:rPr>
            </w:pPr>
            <w:r w:rsidRPr="00581107">
              <w:rPr>
                <w:sz w:val="20"/>
                <w:szCs w:val="20"/>
              </w:rPr>
              <w:t>-</w:t>
            </w:r>
          </w:p>
        </w:tc>
        <w:tc>
          <w:tcPr>
            <w:tcW w:w="1559" w:type="dxa"/>
            <w:vAlign w:val="center"/>
          </w:tcPr>
          <w:p w14:paraId="11C75788" w14:textId="77777777" w:rsidR="00C12D4D" w:rsidRPr="00581107" w:rsidRDefault="00C12D4D" w:rsidP="001E3420">
            <w:pPr>
              <w:spacing w:line="276" w:lineRule="auto"/>
              <w:jc w:val="center"/>
              <w:rPr>
                <w:sz w:val="20"/>
                <w:szCs w:val="20"/>
              </w:rPr>
            </w:pPr>
            <w:r w:rsidRPr="00581107">
              <w:rPr>
                <w:sz w:val="20"/>
                <w:szCs w:val="20"/>
              </w:rPr>
              <w:t>-</w:t>
            </w:r>
          </w:p>
        </w:tc>
        <w:tc>
          <w:tcPr>
            <w:tcW w:w="1417" w:type="dxa"/>
            <w:vAlign w:val="center"/>
          </w:tcPr>
          <w:p w14:paraId="2775A47F" w14:textId="77777777" w:rsidR="00C12D4D" w:rsidRPr="00581107" w:rsidRDefault="00C12D4D" w:rsidP="001E3420">
            <w:pPr>
              <w:spacing w:line="276" w:lineRule="auto"/>
              <w:jc w:val="center"/>
              <w:rPr>
                <w:sz w:val="20"/>
                <w:szCs w:val="20"/>
              </w:rPr>
            </w:pPr>
            <w:r>
              <w:rPr>
                <w:sz w:val="20"/>
                <w:szCs w:val="20"/>
              </w:rPr>
              <w:t>-</w:t>
            </w:r>
          </w:p>
        </w:tc>
        <w:tc>
          <w:tcPr>
            <w:tcW w:w="1985" w:type="dxa"/>
            <w:vAlign w:val="center"/>
          </w:tcPr>
          <w:p w14:paraId="6734566E" w14:textId="6DFF1E33" w:rsidR="00C12D4D" w:rsidRPr="00581107" w:rsidRDefault="004B0A79" w:rsidP="001E3420">
            <w:pPr>
              <w:spacing w:line="276" w:lineRule="auto"/>
              <w:rPr>
                <w:sz w:val="20"/>
                <w:szCs w:val="20"/>
              </w:rPr>
            </w:pPr>
            <w:r>
              <w:rPr>
                <w:sz w:val="20"/>
                <w:szCs w:val="20"/>
              </w:rPr>
              <w:t>Own analysis b</w:t>
            </w:r>
            <w:r w:rsidR="00C12D4D">
              <w:rPr>
                <w:sz w:val="20"/>
                <w:szCs w:val="20"/>
              </w:rPr>
              <w:t>ased on data in Wiese et al. (20</w:t>
            </w:r>
            <w:r>
              <w:rPr>
                <w:sz w:val="20"/>
                <w:szCs w:val="20"/>
              </w:rPr>
              <w:t>09</w:t>
            </w:r>
            <w:r w:rsidR="00C12D4D">
              <w:rPr>
                <w:sz w:val="20"/>
                <w:szCs w:val="20"/>
              </w:rPr>
              <w:t>)</w:t>
            </w:r>
            <w:r>
              <w:rPr>
                <w:sz w:val="20"/>
                <w:szCs w:val="20"/>
              </w:rPr>
              <w:fldChar w:fldCharType="begin" w:fldLock="1"/>
            </w:r>
            <w:r w:rsidR="008A5081">
              <w:rPr>
                <w:sz w:val="20"/>
                <w:szCs w:val="20"/>
              </w:rPr>
              <w:instrText>ADDIN CSL_CITATION {"citationItems":[{"id":"ITEM-1","itemData":{"author":[{"dropping-particle":"","family":"Wiese","given":"Jörg","non-dropping-particle":"","parse-names":false,"suffix":""},{"dropping-particle":"","family":"Kliewer","given":"Natalia","non-dropping-particle":"","parse-names":false,"suffix":""},{"dropping-particle":"","family":"Suhl","given":"Leena","non-dropping-particle":"","parse-names":false,"suffix":""},{"dropping-particle":"","family":"Str","given":"Warburger","non-dropping-particle":"","parse-names":false,"suffix":""}],"container-title":"Operations Research","id":"ITEM-1","issue":"March","issued":{"date-parts":[["2009"]]},"title":"A Survey of Container Terminal Characteristics and Equipment Types","type":"article-journal"},"uris":["http://www.mendeley.com/documents/?uuid=f49d85e7-a99f-484c-acdc-d8507ddcdeb1"]}],"mendeley":{"formattedCitation":"&lt;sup&gt;2&lt;/sup&gt;","plainTextFormattedCitation":"2","previouslyFormattedCitation":"&lt;sup&gt;2&lt;/sup&gt;"},"properties":{"noteIndex":0},"schema":"https://github.com/citation-style-language/schema/raw/master/csl-citation.json"}</w:instrText>
            </w:r>
            <w:r>
              <w:rPr>
                <w:sz w:val="20"/>
                <w:szCs w:val="20"/>
              </w:rPr>
              <w:fldChar w:fldCharType="separate"/>
            </w:r>
            <w:r w:rsidR="008A5081" w:rsidRPr="008A5081">
              <w:rPr>
                <w:noProof/>
                <w:sz w:val="20"/>
                <w:szCs w:val="20"/>
                <w:vertAlign w:val="superscript"/>
              </w:rPr>
              <w:t>2</w:t>
            </w:r>
            <w:r>
              <w:rPr>
                <w:sz w:val="20"/>
                <w:szCs w:val="20"/>
              </w:rPr>
              <w:fldChar w:fldCharType="end"/>
            </w:r>
          </w:p>
          <w:p w14:paraId="5DE49FF0" w14:textId="77777777" w:rsidR="00C12D4D" w:rsidRPr="00581107" w:rsidRDefault="00C12D4D" w:rsidP="001E3420">
            <w:pPr>
              <w:spacing w:line="276" w:lineRule="auto"/>
              <w:rPr>
                <w:sz w:val="20"/>
                <w:szCs w:val="20"/>
              </w:rPr>
            </w:pPr>
          </w:p>
        </w:tc>
      </w:tr>
      <w:tr w:rsidR="00C12D4D" w:rsidRPr="00581107" w14:paraId="76322430" w14:textId="77777777" w:rsidTr="001E3420">
        <w:trPr>
          <w:trHeight w:val="461"/>
        </w:trPr>
        <w:tc>
          <w:tcPr>
            <w:tcW w:w="1127" w:type="dxa"/>
            <w:vAlign w:val="center"/>
          </w:tcPr>
          <w:p w14:paraId="5EECF41E" w14:textId="77777777" w:rsidR="00C12D4D" w:rsidRPr="00C60ED9" w:rsidRDefault="00C12D4D" w:rsidP="001E3420">
            <w:pPr>
              <w:spacing w:line="276" w:lineRule="auto"/>
              <w:rPr>
                <w:sz w:val="20"/>
                <w:szCs w:val="20"/>
                <w:vertAlign w:val="subscript"/>
              </w:rPr>
            </w:pPr>
            <w:proofErr w:type="spellStart"/>
            <w:r>
              <w:rPr>
                <w:sz w:val="20"/>
                <w:szCs w:val="20"/>
              </w:rPr>
              <w:t>C</w:t>
            </w:r>
            <w:r>
              <w:rPr>
                <w:sz w:val="20"/>
                <w:szCs w:val="20"/>
                <w:vertAlign w:val="subscript"/>
              </w:rPr>
              <w:t>yard,eq</w:t>
            </w:r>
            <w:proofErr w:type="spellEnd"/>
          </w:p>
        </w:tc>
        <w:tc>
          <w:tcPr>
            <w:tcW w:w="1083" w:type="dxa"/>
            <w:vAlign w:val="center"/>
          </w:tcPr>
          <w:p w14:paraId="435E0774" w14:textId="77777777" w:rsidR="00C12D4D" w:rsidRPr="00581107" w:rsidRDefault="00C12D4D" w:rsidP="001E3420">
            <w:pPr>
              <w:spacing w:line="276" w:lineRule="auto"/>
              <w:jc w:val="center"/>
              <w:rPr>
                <w:sz w:val="20"/>
                <w:szCs w:val="20"/>
              </w:rPr>
            </w:pPr>
            <w:r>
              <w:rPr>
                <w:sz w:val="20"/>
                <w:szCs w:val="20"/>
              </w:rPr>
              <w:t>1 - 2</w:t>
            </w:r>
          </w:p>
        </w:tc>
        <w:tc>
          <w:tcPr>
            <w:tcW w:w="1615" w:type="dxa"/>
            <w:vAlign w:val="center"/>
          </w:tcPr>
          <w:p w14:paraId="0950BDD8" w14:textId="77777777" w:rsidR="00C12D4D" w:rsidRPr="00581107" w:rsidRDefault="00C12D4D" w:rsidP="001E3420">
            <w:pPr>
              <w:spacing w:line="276" w:lineRule="auto"/>
              <w:jc w:val="center"/>
              <w:rPr>
                <w:sz w:val="20"/>
                <w:szCs w:val="20"/>
              </w:rPr>
            </w:pPr>
            <w:r w:rsidRPr="00581107">
              <w:rPr>
                <w:sz w:val="20"/>
                <w:szCs w:val="20"/>
              </w:rPr>
              <w:t>-</w:t>
            </w:r>
          </w:p>
        </w:tc>
        <w:tc>
          <w:tcPr>
            <w:tcW w:w="1279" w:type="dxa"/>
            <w:vAlign w:val="center"/>
          </w:tcPr>
          <w:p w14:paraId="798FACA1" w14:textId="77777777" w:rsidR="00C12D4D" w:rsidRPr="00581107" w:rsidRDefault="00C12D4D" w:rsidP="001E3420">
            <w:pPr>
              <w:spacing w:line="276" w:lineRule="auto"/>
              <w:jc w:val="center"/>
              <w:rPr>
                <w:sz w:val="20"/>
                <w:szCs w:val="20"/>
              </w:rPr>
            </w:pPr>
            <w:r w:rsidRPr="00581107">
              <w:rPr>
                <w:sz w:val="20"/>
                <w:szCs w:val="20"/>
              </w:rPr>
              <w:t>-</w:t>
            </w:r>
          </w:p>
        </w:tc>
        <w:tc>
          <w:tcPr>
            <w:tcW w:w="1559" w:type="dxa"/>
            <w:vAlign w:val="center"/>
          </w:tcPr>
          <w:p w14:paraId="17DEA04A" w14:textId="77777777" w:rsidR="00C12D4D" w:rsidRPr="00581107" w:rsidRDefault="00C12D4D" w:rsidP="001E3420">
            <w:pPr>
              <w:spacing w:line="276" w:lineRule="auto"/>
              <w:jc w:val="center"/>
              <w:rPr>
                <w:sz w:val="20"/>
                <w:szCs w:val="20"/>
              </w:rPr>
            </w:pPr>
            <w:r w:rsidRPr="00581107">
              <w:rPr>
                <w:sz w:val="20"/>
                <w:szCs w:val="20"/>
              </w:rPr>
              <w:t>-</w:t>
            </w:r>
          </w:p>
        </w:tc>
        <w:tc>
          <w:tcPr>
            <w:tcW w:w="1417" w:type="dxa"/>
            <w:vAlign w:val="center"/>
          </w:tcPr>
          <w:p w14:paraId="52B7FDD7" w14:textId="77777777" w:rsidR="00C12D4D" w:rsidRPr="00581107" w:rsidRDefault="00C12D4D" w:rsidP="001E3420">
            <w:pPr>
              <w:spacing w:line="276" w:lineRule="auto"/>
              <w:jc w:val="center"/>
              <w:rPr>
                <w:sz w:val="20"/>
                <w:szCs w:val="20"/>
              </w:rPr>
            </w:pPr>
            <w:r>
              <w:rPr>
                <w:sz w:val="20"/>
                <w:szCs w:val="20"/>
              </w:rPr>
              <w:t>-</w:t>
            </w:r>
          </w:p>
        </w:tc>
        <w:tc>
          <w:tcPr>
            <w:tcW w:w="1985" w:type="dxa"/>
            <w:vAlign w:val="center"/>
          </w:tcPr>
          <w:p w14:paraId="366906AE" w14:textId="2E62839B" w:rsidR="00C12D4D" w:rsidRPr="00581107" w:rsidRDefault="004B0A79" w:rsidP="001E3420">
            <w:pPr>
              <w:spacing w:line="276" w:lineRule="auto"/>
              <w:rPr>
                <w:sz w:val="20"/>
                <w:szCs w:val="20"/>
              </w:rPr>
            </w:pPr>
            <w:proofErr w:type="spellStart"/>
            <w:r w:rsidRPr="00C343F8">
              <w:rPr>
                <w:sz w:val="20"/>
                <w:szCs w:val="20"/>
                <w:lang w:val="nl-NL"/>
              </w:rPr>
              <w:t>Kox</w:t>
            </w:r>
            <w:proofErr w:type="spellEnd"/>
            <w:r w:rsidRPr="00C343F8">
              <w:rPr>
                <w:sz w:val="20"/>
                <w:szCs w:val="20"/>
                <w:lang w:val="nl-NL"/>
              </w:rPr>
              <w:t xml:space="preserve"> (201</w:t>
            </w:r>
            <w:r>
              <w:rPr>
                <w:sz w:val="20"/>
                <w:szCs w:val="20"/>
                <w:lang w:val="nl-NL"/>
              </w:rPr>
              <w:t>6</w:t>
            </w:r>
            <w:r w:rsidRPr="00C343F8">
              <w:rPr>
                <w:sz w:val="20"/>
                <w:szCs w:val="20"/>
                <w:lang w:val="nl-NL"/>
              </w:rPr>
              <w:t>)</w:t>
            </w:r>
            <w:r>
              <w:rPr>
                <w:sz w:val="20"/>
                <w:szCs w:val="20"/>
                <w:lang w:val="nl-NL"/>
              </w:rPr>
              <w:fldChar w:fldCharType="begin" w:fldLock="1"/>
            </w:r>
            <w:r w:rsidR="008A5081">
              <w:rPr>
                <w:sz w:val="20"/>
                <w:szCs w:val="20"/>
                <w:lang w:val="nl-NL"/>
              </w:rPr>
              <w:instrText>ADDIN CSL_CITATION {"citationItems":[{"id":"ITEM-1","itemData":{"author":[{"dropping-particle":"","family":"Kox","given":"S.A.J.","non-dropping-particle":"","parse-names":false,"suffix":""}],"id":"ITEM-1","issued":{"date-parts":[["2016"]]},"page":"203","title":"A Tool for Determining Marine Terminal Dimensions and Costs in a Project's Feasibility Phase.","type":"article-journal"},"uris":["http://www.mendeley.com/documents/?uuid=5d51f26b-6431-4721-8b88-3f04a222e1cf"]}],"mendeley":{"formattedCitation":"&lt;sup&gt;4&lt;/sup&gt;","plainTextFormattedCitation":"4","previouslyFormattedCitation":"&lt;sup&gt;4&lt;/sup&gt;"},"properties":{"noteIndex":0},"schema":"https://github.com/citation-style-language/schema/raw/master/csl-citation.json"}</w:instrText>
            </w:r>
            <w:r>
              <w:rPr>
                <w:sz w:val="20"/>
                <w:szCs w:val="20"/>
                <w:lang w:val="nl-NL"/>
              </w:rPr>
              <w:fldChar w:fldCharType="separate"/>
            </w:r>
            <w:r w:rsidR="008A5081" w:rsidRPr="008A5081">
              <w:rPr>
                <w:noProof/>
                <w:sz w:val="20"/>
                <w:szCs w:val="20"/>
                <w:vertAlign w:val="superscript"/>
                <w:lang w:val="nl-NL"/>
              </w:rPr>
              <w:t>4</w:t>
            </w:r>
            <w:r>
              <w:rPr>
                <w:sz w:val="20"/>
                <w:szCs w:val="20"/>
                <w:lang w:val="nl-NL"/>
              </w:rPr>
              <w:fldChar w:fldCharType="end"/>
            </w:r>
          </w:p>
        </w:tc>
      </w:tr>
      <w:tr w:rsidR="00C12D4D" w:rsidRPr="00581107" w14:paraId="699185D7" w14:textId="77777777" w:rsidTr="001E3420">
        <w:trPr>
          <w:trHeight w:val="242"/>
        </w:trPr>
        <w:tc>
          <w:tcPr>
            <w:tcW w:w="1127" w:type="dxa"/>
            <w:vAlign w:val="center"/>
          </w:tcPr>
          <w:p w14:paraId="7CA3439D" w14:textId="77777777" w:rsidR="00C12D4D" w:rsidRPr="00C60ED9" w:rsidRDefault="00C12D4D" w:rsidP="001E3420">
            <w:pPr>
              <w:spacing w:line="276" w:lineRule="auto"/>
              <w:rPr>
                <w:sz w:val="20"/>
                <w:szCs w:val="20"/>
                <w:vertAlign w:val="subscript"/>
              </w:rPr>
            </w:pPr>
            <w:proofErr w:type="spellStart"/>
            <w:r>
              <w:rPr>
                <w:sz w:val="20"/>
                <w:szCs w:val="20"/>
              </w:rPr>
              <w:t>n</w:t>
            </w:r>
            <w:r w:rsidRPr="00C60ED9">
              <w:rPr>
                <w:sz w:val="20"/>
                <w:szCs w:val="20"/>
                <w:vertAlign w:val="subscript"/>
              </w:rPr>
              <w:t>yard,eq</w:t>
            </w:r>
            <w:proofErr w:type="spellEnd"/>
          </w:p>
        </w:tc>
        <w:tc>
          <w:tcPr>
            <w:tcW w:w="1083" w:type="dxa"/>
            <w:vAlign w:val="center"/>
          </w:tcPr>
          <w:p w14:paraId="1E65D9BF" w14:textId="77777777" w:rsidR="00C12D4D" w:rsidRPr="00581107" w:rsidRDefault="00C12D4D" w:rsidP="001E3420">
            <w:pPr>
              <w:spacing w:line="276" w:lineRule="auto"/>
              <w:jc w:val="center"/>
              <w:rPr>
                <w:sz w:val="20"/>
                <w:szCs w:val="20"/>
              </w:rPr>
            </w:pPr>
            <w:r>
              <w:rPr>
                <w:sz w:val="20"/>
                <w:szCs w:val="20"/>
              </w:rPr>
              <w:t>40 - 60</w:t>
            </w:r>
          </w:p>
        </w:tc>
        <w:tc>
          <w:tcPr>
            <w:tcW w:w="1615" w:type="dxa"/>
            <w:vAlign w:val="center"/>
          </w:tcPr>
          <w:p w14:paraId="445F23AB" w14:textId="77777777" w:rsidR="00C12D4D" w:rsidRPr="00581107" w:rsidRDefault="00C12D4D" w:rsidP="001E3420">
            <w:pPr>
              <w:spacing w:line="276" w:lineRule="auto"/>
              <w:jc w:val="center"/>
              <w:rPr>
                <w:sz w:val="20"/>
                <w:szCs w:val="20"/>
              </w:rPr>
            </w:pPr>
            <w:r>
              <w:rPr>
                <w:sz w:val="20"/>
                <w:szCs w:val="20"/>
              </w:rPr>
              <w:t>-</w:t>
            </w:r>
          </w:p>
        </w:tc>
        <w:tc>
          <w:tcPr>
            <w:tcW w:w="1279" w:type="dxa"/>
            <w:vAlign w:val="center"/>
          </w:tcPr>
          <w:p w14:paraId="10E82234" w14:textId="77777777" w:rsidR="00C12D4D" w:rsidRPr="00581107" w:rsidRDefault="00C12D4D" w:rsidP="001E3420">
            <w:pPr>
              <w:spacing w:line="276" w:lineRule="auto"/>
              <w:jc w:val="center"/>
              <w:rPr>
                <w:sz w:val="20"/>
                <w:szCs w:val="20"/>
              </w:rPr>
            </w:pPr>
            <w:r>
              <w:rPr>
                <w:sz w:val="20"/>
                <w:szCs w:val="20"/>
              </w:rPr>
              <w:t>-</w:t>
            </w:r>
          </w:p>
        </w:tc>
        <w:tc>
          <w:tcPr>
            <w:tcW w:w="1559" w:type="dxa"/>
            <w:vAlign w:val="center"/>
          </w:tcPr>
          <w:p w14:paraId="3474D884" w14:textId="77777777" w:rsidR="00C12D4D" w:rsidRPr="00581107" w:rsidRDefault="00C12D4D" w:rsidP="001E3420">
            <w:pPr>
              <w:spacing w:line="276" w:lineRule="auto"/>
              <w:jc w:val="center"/>
              <w:rPr>
                <w:sz w:val="20"/>
                <w:szCs w:val="20"/>
              </w:rPr>
            </w:pPr>
            <w:r>
              <w:rPr>
                <w:sz w:val="20"/>
                <w:szCs w:val="20"/>
              </w:rPr>
              <w:t>-</w:t>
            </w:r>
          </w:p>
        </w:tc>
        <w:tc>
          <w:tcPr>
            <w:tcW w:w="1417" w:type="dxa"/>
            <w:vAlign w:val="center"/>
          </w:tcPr>
          <w:p w14:paraId="01A31F91" w14:textId="77777777" w:rsidR="00C12D4D" w:rsidRPr="00581107" w:rsidRDefault="00C12D4D" w:rsidP="001E3420">
            <w:pPr>
              <w:spacing w:line="276" w:lineRule="auto"/>
              <w:jc w:val="center"/>
              <w:rPr>
                <w:sz w:val="20"/>
                <w:szCs w:val="20"/>
              </w:rPr>
            </w:pPr>
            <w:r>
              <w:rPr>
                <w:sz w:val="20"/>
                <w:szCs w:val="20"/>
              </w:rPr>
              <w:t>-</w:t>
            </w:r>
          </w:p>
        </w:tc>
        <w:tc>
          <w:tcPr>
            <w:tcW w:w="1985" w:type="dxa"/>
            <w:vAlign w:val="center"/>
          </w:tcPr>
          <w:p w14:paraId="69FEA875" w14:textId="4193F893" w:rsidR="00C12D4D" w:rsidRPr="00581107" w:rsidRDefault="004B0A79" w:rsidP="001E3420">
            <w:pPr>
              <w:spacing w:line="276" w:lineRule="auto"/>
              <w:rPr>
                <w:sz w:val="20"/>
                <w:szCs w:val="20"/>
              </w:rPr>
            </w:pPr>
            <w:r>
              <w:rPr>
                <w:sz w:val="20"/>
                <w:szCs w:val="20"/>
              </w:rPr>
              <w:t>Own analysis based on data in Wiese et al. (2009)</w:t>
            </w:r>
            <w:r>
              <w:rPr>
                <w:sz w:val="20"/>
                <w:szCs w:val="20"/>
              </w:rPr>
              <w:fldChar w:fldCharType="begin" w:fldLock="1"/>
            </w:r>
            <w:r w:rsidR="008A5081">
              <w:rPr>
                <w:sz w:val="20"/>
                <w:szCs w:val="20"/>
              </w:rPr>
              <w:instrText>ADDIN CSL_CITATION {"citationItems":[{"id":"ITEM-1","itemData":{"author":[{"dropping-particle":"","family":"Wiese","given":"Jörg","non-dropping-particle":"","parse-names":false,"suffix":""},{"dropping-particle":"","family":"Kliewer","given":"Natalia","non-dropping-particle":"","parse-names":false,"suffix":""},{"dropping-particle":"","family":"Suhl","given":"Leena","non-dropping-particle":"","parse-names":false,"suffix":""},{"dropping-particle":"","family":"Str","given":"Warburger","non-dropping-particle":"","parse-names":false,"suffix":""}],"container-title":"Operations Research","id":"ITEM-1","issue":"March","issued":{"date-parts":[["2009"]]},"title":"A Survey of Container Terminal Characteristics and Equipment Types","type":"article-journal"},"uris":["http://www.mendeley.com/documents/?uuid=f49d85e7-a99f-484c-acdc-d8507ddcdeb1"]}],"mendeley":{"formattedCitation":"&lt;sup&gt;2&lt;/sup&gt;","plainTextFormattedCitation":"2","previouslyFormattedCitation":"&lt;sup&gt;2&lt;/sup&gt;"},"properties":{"noteIndex":0},"schema":"https://github.com/citation-style-language/schema/raw/master/csl-citation.json"}</w:instrText>
            </w:r>
            <w:r>
              <w:rPr>
                <w:sz w:val="20"/>
                <w:szCs w:val="20"/>
              </w:rPr>
              <w:fldChar w:fldCharType="separate"/>
            </w:r>
            <w:r w:rsidR="008A5081" w:rsidRPr="008A5081">
              <w:rPr>
                <w:noProof/>
                <w:sz w:val="20"/>
                <w:szCs w:val="20"/>
                <w:vertAlign w:val="superscript"/>
              </w:rPr>
              <w:t>2</w:t>
            </w:r>
            <w:r>
              <w:rPr>
                <w:sz w:val="20"/>
                <w:szCs w:val="20"/>
              </w:rPr>
              <w:fldChar w:fldCharType="end"/>
            </w:r>
          </w:p>
        </w:tc>
      </w:tr>
      <w:tr w:rsidR="00C12D4D" w:rsidRPr="00581107" w14:paraId="71CF271A" w14:textId="77777777" w:rsidTr="001E3420">
        <w:trPr>
          <w:trHeight w:val="461"/>
        </w:trPr>
        <w:tc>
          <w:tcPr>
            <w:tcW w:w="1127" w:type="dxa"/>
            <w:vAlign w:val="center"/>
          </w:tcPr>
          <w:p w14:paraId="0EC87FA5" w14:textId="77777777" w:rsidR="00C12D4D" w:rsidRPr="00C60ED9" w:rsidRDefault="00C12D4D" w:rsidP="001E3420">
            <w:pPr>
              <w:spacing w:line="276" w:lineRule="auto"/>
              <w:rPr>
                <w:sz w:val="20"/>
                <w:szCs w:val="20"/>
              </w:rPr>
            </w:pPr>
            <w:r>
              <w:rPr>
                <w:sz w:val="20"/>
                <w:szCs w:val="20"/>
              </w:rPr>
              <w:t>R</w:t>
            </w:r>
            <w:r>
              <w:rPr>
                <w:sz w:val="20"/>
                <w:szCs w:val="20"/>
                <w:vertAlign w:val="subscript"/>
              </w:rPr>
              <w:t>a</w:t>
            </w:r>
          </w:p>
        </w:tc>
        <w:tc>
          <w:tcPr>
            <w:tcW w:w="1083" w:type="dxa"/>
            <w:vAlign w:val="center"/>
          </w:tcPr>
          <w:p w14:paraId="3CD59E0E" w14:textId="77777777" w:rsidR="00C12D4D" w:rsidRPr="00581107" w:rsidRDefault="00C12D4D" w:rsidP="001E3420">
            <w:pPr>
              <w:spacing w:line="276" w:lineRule="auto"/>
              <w:jc w:val="center"/>
              <w:rPr>
                <w:sz w:val="20"/>
                <w:szCs w:val="20"/>
              </w:rPr>
            </w:pPr>
            <w:r w:rsidRPr="00581107">
              <w:rPr>
                <w:sz w:val="20"/>
                <w:szCs w:val="20"/>
              </w:rPr>
              <w:t>-</w:t>
            </w:r>
          </w:p>
        </w:tc>
        <w:tc>
          <w:tcPr>
            <w:tcW w:w="1615" w:type="dxa"/>
            <w:vAlign w:val="center"/>
          </w:tcPr>
          <w:p w14:paraId="6A1D5301" w14:textId="77777777" w:rsidR="00C12D4D" w:rsidRPr="00581107" w:rsidRDefault="00C12D4D" w:rsidP="001E3420">
            <w:pPr>
              <w:spacing w:line="276" w:lineRule="auto"/>
              <w:jc w:val="center"/>
              <w:rPr>
                <w:sz w:val="20"/>
                <w:szCs w:val="20"/>
              </w:rPr>
            </w:pPr>
            <w:r>
              <w:rPr>
                <w:sz w:val="20"/>
                <w:szCs w:val="20"/>
              </w:rPr>
              <w:t>-</w:t>
            </w:r>
          </w:p>
        </w:tc>
        <w:tc>
          <w:tcPr>
            <w:tcW w:w="1279" w:type="dxa"/>
            <w:vAlign w:val="center"/>
          </w:tcPr>
          <w:p w14:paraId="020637FE" w14:textId="77777777" w:rsidR="00C12D4D" w:rsidRPr="00581107" w:rsidRDefault="00C12D4D" w:rsidP="001E3420">
            <w:pPr>
              <w:spacing w:line="276" w:lineRule="auto"/>
              <w:jc w:val="center"/>
              <w:rPr>
                <w:sz w:val="20"/>
                <w:szCs w:val="20"/>
              </w:rPr>
            </w:pPr>
            <w:r w:rsidRPr="00581107">
              <w:rPr>
                <w:sz w:val="20"/>
                <w:szCs w:val="20"/>
              </w:rPr>
              <w:t>-</w:t>
            </w:r>
          </w:p>
        </w:tc>
        <w:tc>
          <w:tcPr>
            <w:tcW w:w="1559" w:type="dxa"/>
            <w:vAlign w:val="center"/>
          </w:tcPr>
          <w:p w14:paraId="439EAA98" w14:textId="77777777" w:rsidR="00C12D4D" w:rsidRPr="00581107" w:rsidRDefault="00C12D4D" w:rsidP="001E3420">
            <w:pPr>
              <w:spacing w:line="276" w:lineRule="auto"/>
              <w:jc w:val="center"/>
              <w:rPr>
                <w:sz w:val="20"/>
                <w:szCs w:val="20"/>
              </w:rPr>
            </w:pPr>
            <w:r>
              <w:rPr>
                <w:sz w:val="20"/>
                <w:szCs w:val="20"/>
              </w:rPr>
              <w:t>0.001 – 0.005</w:t>
            </w:r>
          </w:p>
        </w:tc>
        <w:tc>
          <w:tcPr>
            <w:tcW w:w="1417" w:type="dxa"/>
            <w:vAlign w:val="center"/>
          </w:tcPr>
          <w:p w14:paraId="39036037" w14:textId="77777777" w:rsidR="00C12D4D" w:rsidRPr="00581107" w:rsidRDefault="00C12D4D" w:rsidP="001E3420">
            <w:pPr>
              <w:spacing w:line="276" w:lineRule="auto"/>
              <w:jc w:val="center"/>
              <w:rPr>
                <w:sz w:val="20"/>
                <w:szCs w:val="20"/>
              </w:rPr>
            </w:pPr>
            <w:r>
              <w:rPr>
                <w:sz w:val="20"/>
                <w:szCs w:val="20"/>
              </w:rPr>
              <w:t>0.001 – 0.005</w:t>
            </w:r>
          </w:p>
        </w:tc>
        <w:tc>
          <w:tcPr>
            <w:tcW w:w="1985" w:type="dxa"/>
            <w:vAlign w:val="center"/>
          </w:tcPr>
          <w:p w14:paraId="518EE40A" w14:textId="16EFC761" w:rsidR="00C12D4D" w:rsidRPr="00581107" w:rsidRDefault="00C12D4D" w:rsidP="001E3420">
            <w:pPr>
              <w:spacing w:line="276" w:lineRule="auto"/>
              <w:rPr>
                <w:sz w:val="20"/>
                <w:szCs w:val="20"/>
              </w:rPr>
            </w:pPr>
            <w:r>
              <w:rPr>
                <w:sz w:val="20"/>
                <w:szCs w:val="20"/>
              </w:rPr>
              <w:t>Hamburg Port Authority (2017)</w:t>
            </w:r>
            <w:r w:rsidR="004B0A79">
              <w:rPr>
                <w:sz w:val="20"/>
                <w:szCs w:val="20"/>
              </w:rPr>
              <w:fldChar w:fldCharType="begin" w:fldLock="1"/>
            </w:r>
            <w:r w:rsidR="008A5081">
              <w:rPr>
                <w:sz w:val="20"/>
                <w:szCs w:val="20"/>
              </w:rPr>
              <w:instrText>ADDIN CSL_CITATION {"citationItems":[{"id":"ITEM-1","itemData":{"author":[{"dropping-particle":"","family":"Hamburg Port Authority","given":"","non-dropping-particle":"","parse-names":false,"suffix":""}],"id":"ITEM-1","issued":{"date-parts":[["2017"]]},"publisher-place":"Hamburg","title":"Optimized Modern Multi-Purpose Terminals","type":"report"},"uris":["http://www.mendeley.com/documents/?uuid=e7a0cb89-72ad-430b-8870-20d4fec9e897"]}],"mendeley":{"formattedCitation":"&lt;sup&gt;8&lt;/sup&gt;","plainTextFormattedCitation":"8","previouslyFormattedCitation":"&lt;sup&gt;8&lt;/sup&gt;"},"properties":{"noteIndex":0},"schema":"https://github.com/citation-style-language/schema/raw/master/csl-citation.json"}</w:instrText>
            </w:r>
            <w:r w:rsidR="004B0A79">
              <w:rPr>
                <w:sz w:val="20"/>
                <w:szCs w:val="20"/>
              </w:rPr>
              <w:fldChar w:fldCharType="separate"/>
            </w:r>
            <w:r w:rsidR="008A5081" w:rsidRPr="008A5081">
              <w:rPr>
                <w:noProof/>
                <w:sz w:val="20"/>
                <w:szCs w:val="20"/>
                <w:vertAlign w:val="superscript"/>
              </w:rPr>
              <w:t>8</w:t>
            </w:r>
            <w:r w:rsidR="004B0A79">
              <w:rPr>
                <w:sz w:val="20"/>
                <w:szCs w:val="20"/>
              </w:rPr>
              <w:fldChar w:fldCharType="end"/>
            </w:r>
          </w:p>
        </w:tc>
      </w:tr>
      <w:tr w:rsidR="00C12D4D" w:rsidRPr="00581107" w14:paraId="2D53F8CE" w14:textId="77777777" w:rsidTr="001E3420">
        <w:trPr>
          <w:trHeight w:val="242"/>
        </w:trPr>
        <w:tc>
          <w:tcPr>
            <w:tcW w:w="1127" w:type="dxa"/>
            <w:vAlign w:val="center"/>
          </w:tcPr>
          <w:p w14:paraId="331BF79F" w14:textId="77777777" w:rsidR="00C12D4D" w:rsidRPr="008450F4" w:rsidRDefault="00C12D4D" w:rsidP="001E3420">
            <w:pPr>
              <w:spacing w:line="276" w:lineRule="auto"/>
              <w:rPr>
                <w:rFonts w:eastAsiaTheme="minorEastAsia"/>
                <w:sz w:val="20"/>
                <w:szCs w:val="20"/>
              </w:rPr>
            </w:pPr>
            <w:r>
              <w:rPr>
                <w:rFonts w:eastAsiaTheme="minorEastAsia"/>
                <w:sz w:val="20"/>
                <w:szCs w:val="20"/>
              </w:rPr>
              <w:t>S</w:t>
            </w:r>
            <w:r>
              <w:rPr>
                <w:rFonts w:eastAsiaTheme="minorEastAsia"/>
                <w:sz w:val="20"/>
                <w:szCs w:val="20"/>
                <w:vertAlign w:val="subscript"/>
              </w:rPr>
              <w:t>c</w:t>
            </w:r>
          </w:p>
        </w:tc>
        <w:tc>
          <w:tcPr>
            <w:tcW w:w="1083" w:type="dxa"/>
            <w:vAlign w:val="center"/>
          </w:tcPr>
          <w:p w14:paraId="52F76D3F" w14:textId="77777777" w:rsidR="00C12D4D" w:rsidRDefault="00C12D4D" w:rsidP="001E3420">
            <w:pPr>
              <w:spacing w:line="276" w:lineRule="auto"/>
              <w:jc w:val="center"/>
              <w:rPr>
                <w:sz w:val="20"/>
                <w:szCs w:val="20"/>
              </w:rPr>
            </w:pPr>
          </w:p>
        </w:tc>
        <w:tc>
          <w:tcPr>
            <w:tcW w:w="1615" w:type="dxa"/>
            <w:vAlign w:val="center"/>
          </w:tcPr>
          <w:p w14:paraId="7926E599" w14:textId="77777777" w:rsidR="00C12D4D" w:rsidRPr="00581107" w:rsidRDefault="00C12D4D" w:rsidP="001E3420">
            <w:pPr>
              <w:spacing w:line="276" w:lineRule="auto"/>
              <w:jc w:val="center"/>
              <w:rPr>
                <w:sz w:val="20"/>
                <w:szCs w:val="20"/>
              </w:rPr>
            </w:pPr>
          </w:p>
        </w:tc>
        <w:tc>
          <w:tcPr>
            <w:tcW w:w="1279" w:type="dxa"/>
            <w:vAlign w:val="center"/>
          </w:tcPr>
          <w:p w14:paraId="64430502" w14:textId="77777777" w:rsidR="00C12D4D" w:rsidRDefault="00C12D4D" w:rsidP="001E3420">
            <w:pPr>
              <w:spacing w:line="276" w:lineRule="auto"/>
              <w:jc w:val="center"/>
              <w:rPr>
                <w:sz w:val="20"/>
                <w:szCs w:val="20"/>
              </w:rPr>
            </w:pPr>
            <w:r>
              <w:rPr>
                <w:sz w:val="20"/>
                <w:szCs w:val="20"/>
              </w:rPr>
              <w:t>350 - 700</w:t>
            </w:r>
          </w:p>
        </w:tc>
        <w:tc>
          <w:tcPr>
            <w:tcW w:w="1559" w:type="dxa"/>
            <w:vAlign w:val="center"/>
          </w:tcPr>
          <w:p w14:paraId="7A240340" w14:textId="77777777" w:rsidR="00C12D4D" w:rsidRPr="00581107" w:rsidRDefault="00C12D4D" w:rsidP="001E3420">
            <w:pPr>
              <w:spacing w:line="276" w:lineRule="auto"/>
              <w:jc w:val="center"/>
              <w:rPr>
                <w:sz w:val="20"/>
                <w:szCs w:val="20"/>
              </w:rPr>
            </w:pPr>
          </w:p>
        </w:tc>
        <w:tc>
          <w:tcPr>
            <w:tcW w:w="1417" w:type="dxa"/>
            <w:vAlign w:val="center"/>
          </w:tcPr>
          <w:p w14:paraId="529DB32C" w14:textId="77777777" w:rsidR="00C12D4D" w:rsidRPr="00581107" w:rsidRDefault="00C12D4D" w:rsidP="001E3420">
            <w:pPr>
              <w:spacing w:line="276" w:lineRule="auto"/>
              <w:jc w:val="center"/>
              <w:rPr>
                <w:sz w:val="20"/>
                <w:szCs w:val="20"/>
              </w:rPr>
            </w:pPr>
          </w:p>
        </w:tc>
        <w:tc>
          <w:tcPr>
            <w:tcW w:w="1985" w:type="dxa"/>
            <w:vAlign w:val="center"/>
          </w:tcPr>
          <w:p w14:paraId="06EF81D2" w14:textId="2EE1A66A" w:rsidR="00C12D4D" w:rsidRPr="00581107" w:rsidRDefault="004B0A79" w:rsidP="001E3420">
            <w:pPr>
              <w:spacing w:line="276" w:lineRule="auto"/>
              <w:rPr>
                <w:sz w:val="20"/>
                <w:szCs w:val="20"/>
              </w:rPr>
            </w:pPr>
            <w:proofErr w:type="spellStart"/>
            <w:r w:rsidRPr="00C343F8">
              <w:rPr>
                <w:sz w:val="20"/>
                <w:szCs w:val="20"/>
                <w:lang w:val="nl-NL"/>
              </w:rPr>
              <w:t>Kox</w:t>
            </w:r>
            <w:proofErr w:type="spellEnd"/>
            <w:r w:rsidRPr="00C343F8">
              <w:rPr>
                <w:sz w:val="20"/>
                <w:szCs w:val="20"/>
                <w:lang w:val="nl-NL"/>
              </w:rPr>
              <w:t xml:space="preserve"> (201</w:t>
            </w:r>
            <w:r>
              <w:rPr>
                <w:sz w:val="20"/>
                <w:szCs w:val="20"/>
                <w:lang w:val="nl-NL"/>
              </w:rPr>
              <w:t>6</w:t>
            </w:r>
            <w:r w:rsidRPr="00C343F8">
              <w:rPr>
                <w:sz w:val="20"/>
                <w:szCs w:val="20"/>
                <w:lang w:val="nl-NL"/>
              </w:rPr>
              <w:t>)</w:t>
            </w:r>
            <w:r>
              <w:rPr>
                <w:sz w:val="20"/>
                <w:szCs w:val="20"/>
                <w:lang w:val="nl-NL"/>
              </w:rPr>
              <w:fldChar w:fldCharType="begin" w:fldLock="1"/>
            </w:r>
            <w:r w:rsidR="008A5081">
              <w:rPr>
                <w:sz w:val="20"/>
                <w:szCs w:val="20"/>
                <w:lang w:val="nl-NL"/>
              </w:rPr>
              <w:instrText>ADDIN CSL_CITATION {"citationItems":[{"id":"ITEM-1","itemData":{"author":[{"dropping-particle":"","family":"Kox","given":"S.A.J.","non-dropping-particle":"","parse-names":false,"suffix":""}],"id":"ITEM-1","issued":{"date-parts":[["2016"]]},"page":"203","title":"A Tool for Determining Marine Terminal Dimensions and Costs in a Project's Feasibility Phase.","type":"article-journal"},"uris":["http://www.mendeley.com/documents/?uuid=5d51f26b-6431-4721-8b88-3f04a222e1cf"]}],"mendeley":{"formattedCitation":"&lt;sup&gt;4&lt;/sup&gt;","plainTextFormattedCitation":"4","previouslyFormattedCitation":"&lt;sup&gt;4&lt;/sup&gt;"},"properties":{"noteIndex":0},"schema":"https://github.com/citation-style-language/schema/raw/master/csl-citation.json"}</w:instrText>
            </w:r>
            <w:r>
              <w:rPr>
                <w:sz w:val="20"/>
                <w:szCs w:val="20"/>
                <w:lang w:val="nl-NL"/>
              </w:rPr>
              <w:fldChar w:fldCharType="separate"/>
            </w:r>
            <w:r w:rsidR="008A5081" w:rsidRPr="008A5081">
              <w:rPr>
                <w:noProof/>
                <w:sz w:val="20"/>
                <w:szCs w:val="20"/>
                <w:vertAlign w:val="superscript"/>
                <w:lang w:val="nl-NL"/>
              </w:rPr>
              <w:t>4</w:t>
            </w:r>
            <w:r>
              <w:rPr>
                <w:sz w:val="20"/>
                <w:szCs w:val="20"/>
                <w:lang w:val="nl-NL"/>
              </w:rPr>
              <w:fldChar w:fldCharType="end"/>
            </w:r>
          </w:p>
        </w:tc>
      </w:tr>
      <w:tr w:rsidR="00C12D4D" w:rsidRPr="00581107" w14:paraId="5A2274C0" w14:textId="77777777" w:rsidTr="001E3420">
        <w:trPr>
          <w:trHeight w:val="242"/>
        </w:trPr>
        <w:tc>
          <w:tcPr>
            <w:tcW w:w="1127" w:type="dxa"/>
            <w:vAlign w:val="center"/>
          </w:tcPr>
          <w:p w14:paraId="097CD46D" w14:textId="77777777" w:rsidR="00C12D4D" w:rsidRPr="00C60ED9" w:rsidRDefault="00C12D4D" w:rsidP="001E3420">
            <w:pPr>
              <w:spacing w:line="276" w:lineRule="auto"/>
              <w:rPr>
                <w:rFonts w:eastAsiaTheme="minorEastAsia"/>
                <w:sz w:val="20"/>
                <w:szCs w:val="20"/>
                <w:vertAlign w:val="subscript"/>
              </w:rPr>
            </w:pPr>
            <w:proofErr w:type="spellStart"/>
            <w:r>
              <w:rPr>
                <w:rFonts w:eastAsiaTheme="minorEastAsia"/>
                <w:sz w:val="20"/>
                <w:szCs w:val="20"/>
              </w:rPr>
              <w:t>C</w:t>
            </w:r>
            <w:r>
              <w:rPr>
                <w:rFonts w:eastAsiaTheme="minorEastAsia"/>
                <w:sz w:val="20"/>
                <w:szCs w:val="20"/>
                <w:vertAlign w:val="subscript"/>
              </w:rPr>
              <w:t>pav</w:t>
            </w:r>
            <w:proofErr w:type="spellEnd"/>
          </w:p>
        </w:tc>
        <w:tc>
          <w:tcPr>
            <w:tcW w:w="1083" w:type="dxa"/>
            <w:vAlign w:val="center"/>
          </w:tcPr>
          <w:p w14:paraId="14EE080E" w14:textId="77777777" w:rsidR="00C12D4D" w:rsidRPr="00581107" w:rsidRDefault="00C12D4D" w:rsidP="001E3420">
            <w:pPr>
              <w:spacing w:line="276" w:lineRule="auto"/>
              <w:jc w:val="center"/>
              <w:rPr>
                <w:sz w:val="20"/>
                <w:szCs w:val="20"/>
              </w:rPr>
            </w:pPr>
            <w:r>
              <w:rPr>
                <w:sz w:val="20"/>
                <w:szCs w:val="20"/>
              </w:rPr>
              <w:t>-</w:t>
            </w:r>
          </w:p>
        </w:tc>
        <w:tc>
          <w:tcPr>
            <w:tcW w:w="1615" w:type="dxa"/>
            <w:vAlign w:val="center"/>
          </w:tcPr>
          <w:p w14:paraId="0AB7CC3E" w14:textId="77777777" w:rsidR="00C12D4D" w:rsidRPr="00581107" w:rsidRDefault="00C12D4D" w:rsidP="001E3420">
            <w:pPr>
              <w:spacing w:line="276" w:lineRule="auto"/>
              <w:jc w:val="center"/>
              <w:rPr>
                <w:sz w:val="20"/>
                <w:szCs w:val="20"/>
              </w:rPr>
            </w:pPr>
            <w:r>
              <w:rPr>
                <w:sz w:val="20"/>
                <w:szCs w:val="20"/>
              </w:rPr>
              <w:t>150 - 250</w:t>
            </w:r>
          </w:p>
        </w:tc>
        <w:tc>
          <w:tcPr>
            <w:tcW w:w="1279" w:type="dxa"/>
            <w:vAlign w:val="center"/>
          </w:tcPr>
          <w:p w14:paraId="4823211E" w14:textId="77777777" w:rsidR="00C12D4D" w:rsidRPr="00581107" w:rsidRDefault="00C12D4D" w:rsidP="001E3420">
            <w:pPr>
              <w:spacing w:line="276" w:lineRule="auto"/>
              <w:jc w:val="center"/>
              <w:rPr>
                <w:sz w:val="20"/>
                <w:szCs w:val="20"/>
              </w:rPr>
            </w:pPr>
            <w:r>
              <w:rPr>
                <w:sz w:val="20"/>
                <w:szCs w:val="20"/>
              </w:rPr>
              <w:t>-</w:t>
            </w:r>
          </w:p>
        </w:tc>
        <w:tc>
          <w:tcPr>
            <w:tcW w:w="1559" w:type="dxa"/>
            <w:vAlign w:val="center"/>
          </w:tcPr>
          <w:p w14:paraId="06BA5764" w14:textId="77777777" w:rsidR="00C12D4D" w:rsidRPr="00581107" w:rsidRDefault="00C12D4D" w:rsidP="001E3420">
            <w:pPr>
              <w:spacing w:line="276" w:lineRule="auto"/>
              <w:jc w:val="center"/>
              <w:rPr>
                <w:sz w:val="20"/>
                <w:szCs w:val="20"/>
              </w:rPr>
            </w:pPr>
            <w:r>
              <w:rPr>
                <w:sz w:val="20"/>
                <w:szCs w:val="20"/>
              </w:rPr>
              <w:t>150 - 250</w:t>
            </w:r>
          </w:p>
        </w:tc>
        <w:tc>
          <w:tcPr>
            <w:tcW w:w="1417" w:type="dxa"/>
            <w:vAlign w:val="center"/>
          </w:tcPr>
          <w:p w14:paraId="35B7427D" w14:textId="77777777" w:rsidR="00C12D4D" w:rsidRPr="00581107" w:rsidRDefault="00C12D4D" w:rsidP="001E3420">
            <w:pPr>
              <w:spacing w:line="276" w:lineRule="auto"/>
              <w:jc w:val="center"/>
              <w:rPr>
                <w:sz w:val="20"/>
                <w:szCs w:val="20"/>
              </w:rPr>
            </w:pPr>
            <w:r>
              <w:rPr>
                <w:sz w:val="20"/>
                <w:szCs w:val="20"/>
              </w:rPr>
              <w:t>150 - 250</w:t>
            </w:r>
          </w:p>
        </w:tc>
        <w:tc>
          <w:tcPr>
            <w:tcW w:w="1985" w:type="dxa"/>
            <w:vAlign w:val="center"/>
          </w:tcPr>
          <w:p w14:paraId="527E80DD" w14:textId="5022C394" w:rsidR="00C12D4D" w:rsidRPr="00581107" w:rsidRDefault="00C12D4D" w:rsidP="001E3420">
            <w:pPr>
              <w:spacing w:line="276" w:lineRule="auto"/>
              <w:rPr>
                <w:sz w:val="20"/>
                <w:szCs w:val="20"/>
              </w:rPr>
            </w:pPr>
            <w:r>
              <w:rPr>
                <w:sz w:val="20"/>
                <w:szCs w:val="20"/>
              </w:rPr>
              <w:t>Hamburg Port Authority (2017)</w:t>
            </w:r>
            <w:r w:rsidR="004B0A79">
              <w:rPr>
                <w:sz w:val="20"/>
                <w:szCs w:val="20"/>
              </w:rPr>
              <w:t xml:space="preserve"> </w:t>
            </w:r>
            <w:r w:rsidR="004B0A79">
              <w:rPr>
                <w:sz w:val="20"/>
                <w:szCs w:val="20"/>
              </w:rPr>
              <w:fldChar w:fldCharType="begin" w:fldLock="1"/>
            </w:r>
            <w:r w:rsidR="008A5081">
              <w:rPr>
                <w:sz w:val="20"/>
                <w:szCs w:val="20"/>
              </w:rPr>
              <w:instrText>ADDIN CSL_CITATION {"citationItems":[{"id":"ITEM-1","itemData":{"author":[{"dropping-particle":"","family":"Hamburg Port Authority","given":"","non-dropping-particle":"","parse-names":false,"suffix":""}],"id":"ITEM-1","issued":{"date-parts":[["2017"]]},"publisher-place":"Hamburg","title":"Optimized Modern Multi-Purpose Terminals","type":"report"},"uris":["http://www.mendeley.com/documents/?uuid=e7a0cb89-72ad-430b-8870-20d4fec9e897"]}],"mendeley":{"formattedCitation":"&lt;sup&gt;8&lt;/sup&gt;","plainTextFormattedCitation":"8","previouslyFormattedCitation":"&lt;sup&gt;8&lt;/sup&gt;"},"properties":{"noteIndex":0},"schema":"https://github.com/citation-style-language/schema/raw/master/csl-citation.json"}</w:instrText>
            </w:r>
            <w:r w:rsidR="004B0A79">
              <w:rPr>
                <w:sz w:val="20"/>
                <w:szCs w:val="20"/>
              </w:rPr>
              <w:fldChar w:fldCharType="separate"/>
            </w:r>
            <w:r w:rsidR="008A5081" w:rsidRPr="008A5081">
              <w:rPr>
                <w:noProof/>
                <w:sz w:val="20"/>
                <w:szCs w:val="20"/>
                <w:vertAlign w:val="superscript"/>
              </w:rPr>
              <w:t>8</w:t>
            </w:r>
            <w:r w:rsidR="004B0A79">
              <w:rPr>
                <w:sz w:val="20"/>
                <w:szCs w:val="20"/>
              </w:rPr>
              <w:fldChar w:fldCharType="end"/>
            </w:r>
          </w:p>
        </w:tc>
      </w:tr>
      <w:tr w:rsidR="00C12D4D" w:rsidRPr="00581107" w14:paraId="06127D1D" w14:textId="77777777" w:rsidTr="001E3420">
        <w:trPr>
          <w:trHeight w:val="704"/>
        </w:trPr>
        <w:tc>
          <w:tcPr>
            <w:tcW w:w="1127" w:type="dxa"/>
            <w:vAlign w:val="center"/>
          </w:tcPr>
          <w:p w14:paraId="76E5DB1D" w14:textId="77777777" w:rsidR="00C12D4D" w:rsidRPr="00C60ED9" w:rsidRDefault="00C12D4D" w:rsidP="001E3420">
            <w:pPr>
              <w:spacing w:line="276" w:lineRule="auto"/>
              <w:rPr>
                <w:rFonts w:eastAsiaTheme="minorEastAsia"/>
                <w:sz w:val="20"/>
                <w:szCs w:val="20"/>
                <w:vertAlign w:val="subscript"/>
              </w:rPr>
            </w:pPr>
            <w:proofErr w:type="spellStart"/>
            <w:r>
              <w:rPr>
                <w:rFonts w:eastAsiaTheme="minorEastAsia"/>
                <w:sz w:val="20"/>
                <w:szCs w:val="20"/>
              </w:rPr>
              <w:t>C</w:t>
            </w:r>
            <w:r>
              <w:rPr>
                <w:rFonts w:eastAsiaTheme="minorEastAsia"/>
                <w:sz w:val="20"/>
                <w:szCs w:val="20"/>
                <w:vertAlign w:val="subscript"/>
              </w:rPr>
              <w:t>silo</w:t>
            </w:r>
            <w:proofErr w:type="spellEnd"/>
          </w:p>
        </w:tc>
        <w:tc>
          <w:tcPr>
            <w:tcW w:w="1083" w:type="dxa"/>
            <w:vAlign w:val="center"/>
          </w:tcPr>
          <w:p w14:paraId="6B13E0EB" w14:textId="77777777" w:rsidR="00C12D4D" w:rsidRPr="00581107" w:rsidRDefault="00C12D4D" w:rsidP="001E3420">
            <w:pPr>
              <w:spacing w:line="276" w:lineRule="auto"/>
              <w:jc w:val="center"/>
              <w:rPr>
                <w:sz w:val="20"/>
                <w:szCs w:val="20"/>
              </w:rPr>
            </w:pPr>
            <w:r w:rsidRPr="00581107">
              <w:rPr>
                <w:sz w:val="20"/>
                <w:szCs w:val="20"/>
              </w:rPr>
              <w:t>-</w:t>
            </w:r>
          </w:p>
        </w:tc>
        <w:tc>
          <w:tcPr>
            <w:tcW w:w="1615" w:type="dxa"/>
            <w:vAlign w:val="center"/>
          </w:tcPr>
          <w:p w14:paraId="74A87B19" w14:textId="77777777" w:rsidR="00C12D4D" w:rsidRPr="00581107" w:rsidRDefault="00C12D4D" w:rsidP="001E3420">
            <w:pPr>
              <w:spacing w:line="276" w:lineRule="auto"/>
              <w:jc w:val="center"/>
              <w:rPr>
                <w:sz w:val="20"/>
                <w:szCs w:val="20"/>
              </w:rPr>
            </w:pPr>
            <w:r>
              <w:rPr>
                <w:sz w:val="20"/>
                <w:szCs w:val="20"/>
              </w:rPr>
              <w:t>-</w:t>
            </w:r>
          </w:p>
        </w:tc>
        <w:tc>
          <w:tcPr>
            <w:tcW w:w="1279" w:type="dxa"/>
            <w:vAlign w:val="center"/>
          </w:tcPr>
          <w:p w14:paraId="7E87654A" w14:textId="6858DA9C" w:rsidR="00C12D4D" w:rsidRPr="00581107" w:rsidRDefault="00C12D4D" w:rsidP="001E3420">
            <w:pPr>
              <w:spacing w:line="276" w:lineRule="auto"/>
              <w:jc w:val="center"/>
              <w:rPr>
                <w:sz w:val="20"/>
                <w:szCs w:val="20"/>
              </w:rPr>
            </w:pPr>
            <w:r>
              <w:rPr>
                <w:sz w:val="20"/>
                <w:szCs w:val="20"/>
              </w:rPr>
              <w:t>1</w:t>
            </w:r>
            <w:r w:rsidR="004B0A79">
              <w:rPr>
                <w:sz w:val="20"/>
                <w:szCs w:val="20"/>
              </w:rPr>
              <w:t>5</w:t>
            </w:r>
            <w:r>
              <w:rPr>
                <w:sz w:val="20"/>
                <w:szCs w:val="20"/>
              </w:rPr>
              <w:t xml:space="preserve"> - 2</w:t>
            </w:r>
            <w:r w:rsidR="004B0A79">
              <w:rPr>
                <w:sz w:val="20"/>
                <w:szCs w:val="20"/>
              </w:rPr>
              <w:t>5</w:t>
            </w:r>
          </w:p>
        </w:tc>
        <w:tc>
          <w:tcPr>
            <w:tcW w:w="1559" w:type="dxa"/>
            <w:vAlign w:val="center"/>
          </w:tcPr>
          <w:p w14:paraId="2B45C7C9" w14:textId="77777777" w:rsidR="00C12D4D" w:rsidRPr="00581107" w:rsidRDefault="00C12D4D" w:rsidP="001E3420">
            <w:pPr>
              <w:spacing w:line="276" w:lineRule="auto"/>
              <w:jc w:val="center"/>
              <w:rPr>
                <w:sz w:val="20"/>
                <w:szCs w:val="20"/>
              </w:rPr>
            </w:pPr>
            <w:r>
              <w:rPr>
                <w:sz w:val="20"/>
                <w:szCs w:val="20"/>
              </w:rPr>
              <w:t>-</w:t>
            </w:r>
          </w:p>
        </w:tc>
        <w:tc>
          <w:tcPr>
            <w:tcW w:w="1417" w:type="dxa"/>
            <w:vAlign w:val="center"/>
          </w:tcPr>
          <w:p w14:paraId="2F0E4642" w14:textId="77777777" w:rsidR="00C12D4D" w:rsidRPr="00581107" w:rsidRDefault="00C12D4D" w:rsidP="001E3420">
            <w:pPr>
              <w:spacing w:line="276" w:lineRule="auto"/>
              <w:jc w:val="center"/>
              <w:rPr>
                <w:sz w:val="20"/>
                <w:szCs w:val="20"/>
              </w:rPr>
            </w:pPr>
            <w:r>
              <w:rPr>
                <w:sz w:val="20"/>
                <w:szCs w:val="20"/>
              </w:rPr>
              <w:t>-</w:t>
            </w:r>
          </w:p>
        </w:tc>
        <w:tc>
          <w:tcPr>
            <w:tcW w:w="1985" w:type="dxa"/>
            <w:vAlign w:val="center"/>
          </w:tcPr>
          <w:p w14:paraId="51AA1C74" w14:textId="1A445975" w:rsidR="00C12D4D" w:rsidRPr="00581107" w:rsidRDefault="00C12D4D" w:rsidP="001E3420">
            <w:pPr>
              <w:spacing w:line="276" w:lineRule="auto"/>
              <w:rPr>
                <w:sz w:val="20"/>
                <w:szCs w:val="20"/>
              </w:rPr>
            </w:pPr>
            <w:r>
              <w:rPr>
                <w:sz w:val="20"/>
                <w:szCs w:val="20"/>
              </w:rPr>
              <w:t xml:space="preserve">Own analysis of several grain terminals </w:t>
            </w:r>
            <w:r w:rsidR="004B0A79">
              <w:rPr>
                <w:sz w:val="20"/>
                <w:szCs w:val="20"/>
              </w:rPr>
              <w:t>(see Supplementary Note 2)</w:t>
            </w:r>
          </w:p>
        </w:tc>
      </w:tr>
      <w:tr w:rsidR="00C12D4D" w:rsidRPr="00581107" w14:paraId="70A137AB" w14:textId="77777777" w:rsidTr="001E3420">
        <w:trPr>
          <w:trHeight w:val="923"/>
        </w:trPr>
        <w:tc>
          <w:tcPr>
            <w:tcW w:w="1127" w:type="dxa"/>
            <w:vAlign w:val="center"/>
          </w:tcPr>
          <w:p w14:paraId="0E567564" w14:textId="77777777" w:rsidR="00C12D4D" w:rsidRPr="00581107" w:rsidRDefault="00C12D4D" w:rsidP="001E3420">
            <w:pPr>
              <w:spacing w:line="276" w:lineRule="auto"/>
              <w:rPr>
                <w:sz w:val="20"/>
                <w:szCs w:val="20"/>
              </w:rPr>
            </w:pPr>
            <w:r>
              <w:rPr>
                <w:sz w:val="20"/>
                <w:szCs w:val="20"/>
              </w:rPr>
              <w:t>QLF</w:t>
            </w:r>
          </w:p>
        </w:tc>
        <w:tc>
          <w:tcPr>
            <w:tcW w:w="1083" w:type="dxa"/>
            <w:vAlign w:val="center"/>
          </w:tcPr>
          <w:p w14:paraId="25E2251E" w14:textId="77777777" w:rsidR="00C12D4D" w:rsidRPr="00581107" w:rsidRDefault="00C12D4D" w:rsidP="001E3420">
            <w:pPr>
              <w:spacing w:line="276" w:lineRule="auto"/>
              <w:jc w:val="center"/>
              <w:rPr>
                <w:sz w:val="20"/>
                <w:szCs w:val="20"/>
              </w:rPr>
            </w:pPr>
            <w:r w:rsidRPr="00581107">
              <w:rPr>
                <w:sz w:val="20"/>
                <w:szCs w:val="20"/>
              </w:rPr>
              <w:t>-</w:t>
            </w:r>
          </w:p>
        </w:tc>
        <w:tc>
          <w:tcPr>
            <w:tcW w:w="1615" w:type="dxa"/>
            <w:vAlign w:val="center"/>
          </w:tcPr>
          <w:p w14:paraId="6FB6B4AE" w14:textId="77777777" w:rsidR="00C12D4D" w:rsidRDefault="00C12D4D" w:rsidP="001E3420">
            <w:pPr>
              <w:spacing w:line="276" w:lineRule="auto"/>
              <w:jc w:val="center"/>
              <w:rPr>
                <w:sz w:val="20"/>
                <w:szCs w:val="20"/>
              </w:rPr>
            </w:pPr>
            <w:r>
              <w:rPr>
                <w:sz w:val="20"/>
                <w:szCs w:val="20"/>
              </w:rPr>
              <w:t>10,000 – 30,000 for import</w:t>
            </w:r>
          </w:p>
          <w:p w14:paraId="4F3E6DAC" w14:textId="77777777" w:rsidR="00C12D4D" w:rsidRPr="00581107" w:rsidRDefault="00C12D4D" w:rsidP="001E3420">
            <w:pPr>
              <w:spacing w:line="276" w:lineRule="auto"/>
              <w:jc w:val="center"/>
              <w:rPr>
                <w:sz w:val="20"/>
                <w:szCs w:val="20"/>
              </w:rPr>
            </w:pPr>
            <w:r>
              <w:rPr>
                <w:sz w:val="20"/>
                <w:szCs w:val="20"/>
              </w:rPr>
              <w:t>25,000 – 75,000 for export</w:t>
            </w:r>
          </w:p>
        </w:tc>
        <w:tc>
          <w:tcPr>
            <w:tcW w:w="1279" w:type="dxa"/>
            <w:vAlign w:val="center"/>
          </w:tcPr>
          <w:p w14:paraId="29024012" w14:textId="77777777" w:rsidR="00C12D4D" w:rsidRPr="00581107" w:rsidRDefault="00C12D4D" w:rsidP="001E3420">
            <w:pPr>
              <w:spacing w:line="276" w:lineRule="auto"/>
              <w:jc w:val="center"/>
              <w:rPr>
                <w:sz w:val="20"/>
                <w:szCs w:val="20"/>
              </w:rPr>
            </w:pPr>
            <w:r w:rsidRPr="00581107">
              <w:rPr>
                <w:sz w:val="20"/>
                <w:szCs w:val="20"/>
              </w:rPr>
              <w:t>-</w:t>
            </w:r>
          </w:p>
        </w:tc>
        <w:tc>
          <w:tcPr>
            <w:tcW w:w="1559" w:type="dxa"/>
            <w:vAlign w:val="center"/>
          </w:tcPr>
          <w:p w14:paraId="5660AB2F" w14:textId="77777777" w:rsidR="00C12D4D" w:rsidRPr="00581107" w:rsidRDefault="00C12D4D" w:rsidP="001E3420">
            <w:pPr>
              <w:spacing w:line="276" w:lineRule="auto"/>
              <w:jc w:val="center"/>
              <w:rPr>
                <w:sz w:val="20"/>
                <w:szCs w:val="20"/>
              </w:rPr>
            </w:pPr>
            <w:r w:rsidRPr="00581107">
              <w:rPr>
                <w:sz w:val="20"/>
                <w:szCs w:val="20"/>
              </w:rPr>
              <w:t>1.3 – 1.7</w:t>
            </w:r>
          </w:p>
        </w:tc>
        <w:tc>
          <w:tcPr>
            <w:tcW w:w="1417" w:type="dxa"/>
            <w:vAlign w:val="center"/>
          </w:tcPr>
          <w:p w14:paraId="55941033" w14:textId="77777777" w:rsidR="00C12D4D" w:rsidRPr="00581107" w:rsidRDefault="00C12D4D" w:rsidP="001E3420">
            <w:pPr>
              <w:spacing w:line="276" w:lineRule="auto"/>
              <w:jc w:val="center"/>
              <w:rPr>
                <w:sz w:val="20"/>
                <w:szCs w:val="20"/>
              </w:rPr>
            </w:pPr>
            <w:r>
              <w:rPr>
                <w:sz w:val="20"/>
                <w:szCs w:val="20"/>
              </w:rPr>
              <w:t>-</w:t>
            </w:r>
          </w:p>
        </w:tc>
        <w:tc>
          <w:tcPr>
            <w:tcW w:w="1985" w:type="dxa"/>
            <w:vAlign w:val="center"/>
          </w:tcPr>
          <w:p w14:paraId="2C3E6479" w14:textId="167E2CAB" w:rsidR="00C12D4D" w:rsidRPr="00581107" w:rsidRDefault="00C12D4D" w:rsidP="001E3420">
            <w:pPr>
              <w:spacing w:line="276" w:lineRule="auto"/>
              <w:rPr>
                <w:sz w:val="20"/>
                <w:szCs w:val="20"/>
              </w:rPr>
            </w:pPr>
            <w:r>
              <w:rPr>
                <w:sz w:val="20"/>
                <w:szCs w:val="20"/>
              </w:rPr>
              <w:t xml:space="preserve">Van </w:t>
            </w:r>
            <w:proofErr w:type="spellStart"/>
            <w:r>
              <w:rPr>
                <w:sz w:val="20"/>
                <w:szCs w:val="20"/>
              </w:rPr>
              <w:t>Vianen</w:t>
            </w:r>
            <w:proofErr w:type="spellEnd"/>
            <w:r>
              <w:rPr>
                <w:sz w:val="20"/>
                <w:szCs w:val="20"/>
              </w:rPr>
              <w:t xml:space="preserve"> (2015)</w:t>
            </w:r>
            <w:r w:rsidR="004B0A79">
              <w:rPr>
                <w:sz w:val="20"/>
                <w:szCs w:val="20"/>
              </w:rPr>
              <w:fldChar w:fldCharType="begin" w:fldLock="1"/>
            </w:r>
            <w:r w:rsidR="008A5081">
              <w:rPr>
                <w:sz w:val="20"/>
                <w:szCs w:val="20"/>
              </w:rPr>
              <w:instrText>ADDIN CSL_CITATION {"citationItems":[{"id":"ITEM-1","itemData":{"ISBN":"9789055841820","author":[{"dropping-particle":"","family":"Vianen","given":"Teus","non-dropping-particle":"van","parse-names":false,"suffix":""}],"id":"ITEM-1","issued":{"date-parts":[["2015"]]},"number-of-pages":"261","title":"Simulation-integrated Design of Dry Bulk Terminals","type":"book"},"uris":["http://www.mendeley.com/documents/?uuid=616d84ae-1e59-4408-b4bd-e21cd523d103"]}],"mendeley":{"formattedCitation":"&lt;sup&gt;10&lt;/sup&gt;","plainTextFormattedCitation":"10","previouslyFormattedCitation":"&lt;sup&gt;10&lt;/sup&gt;"},"properties":{"noteIndex":0},"schema":"https://github.com/citation-style-language/schema/raw/master/csl-citation.json"}</w:instrText>
            </w:r>
            <w:r w:rsidR="004B0A79">
              <w:rPr>
                <w:sz w:val="20"/>
                <w:szCs w:val="20"/>
              </w:rPr>
              <w:fldChar w:fldCharType="separate"/>
            </w:r>
            <w:r w:rsidR="008A5081" w:rsidRPr="008A5081">
              <w:rPr>
                <w:noProof/>
                <w:sz w:val="20"/>
                <w:szCs w:val="20"/>
                <w:vertAlign w:val="superscript"/>
              </w:rPr>
              <w:t>10</w:t>
            </w:r>
            <w:r w:rsidR="004B0A79">
              <w:rPr>
                <w:sz w:val="20"/>
                <w:szCs w:val="20"/>
              </w:rPr>
              <w:fldChar w:fldCharType="end"/>
            </w:r>
          </w:p>
        </w:tc>
      </w:tr>
      <w:tr w:rsidR="00C12D4D" w:rsidRPr="00581107" w14:paraId="744B4BCD" w14:textId="77777777" w:rsidTr="001E3420">
        <w:trPr>
          <w:trHeight w:val="242"/>
        </w:trPr>
        <w:tc>
          <w:tcPr>
            <w:tcW w:w="1127" w:type="dxa"/>
            <w:vAlign w:val="center"/>
          </w:tcPr>
          <w:p w14:paraId="73E1806C" w14:textId="77777777" w:rsidR="00C12D4D" w:rsidRPr="00C60ED9" w:rsidRDefault="00C12D4D" w:rsidP="001E3420">
            <w:pPr>
              <w:spacing w:line="276" w:lineRule="auto"/>
              <w:rPr>
                <w:sz w:val="20"/>
                <w:szCs w:val="20"/>
              </w:rPr>
            </w:pPr>
            <w:r>
              <w:rPr>
                <w:sz w:val="20"/>
                <w:szCs w:val="20"/>
              </w:rPr>
              <w:t>M</w:t>
            </w:r>
            <w:r>
              <w:rPr>
                <w:sz w:val="20"/>
                <w:szCs w:val="20"/>
                <w:vertAlign w:val="subscript"/>
              </w:rPr>
              <w:t>c</w:t>
            </w:r>
          </w:p>
        </w:tc>
        <w:tc>
          <w:tcPr>
            <w:tcW w:w="1083" w:type="dxa"/>
            <w:vAlign w:val="center"/>
          </w:tcPr>
          <w:p w14:paraId="2D089F41" w14:textId="77777777" w:rsidR="00C12D4D" w:rsidRPr="00581107" w:rsidRDefault="00C12D4D" w:rsidP="001E3420">
            <w:pPr>
              <w:spacing w:line="276" w:lineRule="auto"/>
              <w:jc w:val="center"/>
              <w:rPr>
                <w:sz w:val="20"/>
                <w:szCs w:val="20"/>
              </w:rPr>
            </w:pPr>
            <w:r w:rsidRPr="00581107">
              <w:rPr>
                <w:sz w:val="20"/>
                <w:szCs w:val="20"/>
              </w:rPr>
              <w:t>-</w:t>
            </w:r>
          </w:p>
        </w:tc>
        <w:tc>
          <w:tcPr>
            <w:tcW w:w="1615" w:type="dxa"/>
            <w:vAlign w:val="center"/>
          </w:tcPr>
          <w:p w14:paraId="3ED2495E" w14:textId="77777777" w:rsidR="00C12D4D" w:rsidRPr="00581107" w:rsidRDefault="00C12D4D" w:rsidP="001E3420">
            <w:pPr>
              <w:spacing w:line="276" w:lineRule="auto"/>
              <w:jc w:val="center"/>
              <w:rPr>
                <w:sz w:val="20"/>
                <w:szCs w:val="20"/>
              </w:rPr>
            </w:pPr>
            <w:r>
              <w:rPr>
                <w:sz w:val="20"/>
                <w:szCs w:val="20"/>
              </w:rPr>
              <w:t>7000 - 9000</w:t>
            </w:r>
          </w:p>
        </w:tc>
        <w:tc>
          <w:tcPr>
            <w:tcW w:w="1279" w:type="dxa"/>
            <w:vAlign w:val="center"/>
          </w:tcPr>
          <w:p w14:paraId="2455834D" w14:textId="77777777" w:rsidR="00C12D4D" w:rsidRPr="00581107" w:rsidRDefault="00C12D4D" w:rsidP="001E3420">
            <w:pPr>
              <w:spacing w:line="276" w:lineRule="auto"/>
              <w:jc w:val="center"/>
              <w:rPr>
                <w:sz w:val="20"/>
                <w:szCs w:val="20"/>
              </w:rPr>
            </w:pPr>
            <w:r w:rsidRPr="00581107">
              <w:rPr>
                <w:sz w:val="20"/>
                <w:szCs w:val="20"/>
              </w:rPr>
              <w:t>-</w:t>
            </w:r>
          </w:p>
        </w:tc>
        <w:tc>
          <w:tcPr>
            <w:tcW w:w="1559" w:type="dxa"/>
            <w:vAlign w:val="center"/>
          </w:tcPr>
          <w:p w14:paraId="7F9AE6E1" w14:textId="77777777" w:rsidR="00C12D4D" w:rsidRPr="00581107" w:rsidRDefault="00C12D4D" w:rsidP="001E3420">
            <w:pPr>
              <w:spacing w:line="276" w:lineRule="auto"/>
              <w:jc w:val="center"/>
              <w:rPr>
                <w:sz w:val="20"/>
                <w:szCs w:val="20"/>
              </w:rPr>
            </w:pPr>
            <w:r w:rsidRPr="00581107">
              <w:rPr>
                <w:sz w:val="20"/>
                <w:szCs w:val="20"/>
              </w:rPr>
              <w:t>1.0 – 1.4</w:t>
            </w:r>
          </w:p>
        </w:tc>
        <w:tc>
          <w:tcPr>
            <w:tcW w:w="1417" w:type="dxa"/>
            <w:vAlign w:val="center"/>
          </w:tcPr>
          <w:p w14:paraId="749831A2" w14:textId="77777777" w:rsidR="00C12D4D" w:rsidRPr="00581107" w:rsidRDefault="00C12D4D" w:rsidP="001E3420">
            <w:pPr>
              <w:spacing w:line="276" w:lineRule="auto"/>
              <w:jc w:val="center"/>
              <w:rPr>
                <w:sz w:val="20"/>
                <w:szCs w:val="20"/>
              </w:rPr>
            </w:pPr>
            <w:r>
              <w:rPr>
                <w:sz w:val="20"/>
                <w:szCs w:val="20"/>
              </w:rPr>
              <w:t>-</w:t>
            </w:r>
          </w:p>
        </w:tc>
        <w:tc>
          <w:tcPr>
            <w:tcW w:w="1985" w:type="dxa"/>
            <w:vAlign w:val="center"/>
          </w:tcPr>
          <w:p w14:paraId="0DB50346" w14:textId="5CBA0A6F" w:rsidR="00C12D4D" w:rsidRPr="00581107" w:rsidRDefault="00C12D4D" w:rsidP="001E3420">
            <w:pPr>
              <w:spacing w:line="276" w:lineRule="auto"/>
              <w:jc w:val="both"/>
              <w:rPr>
                <w:sz w:val="20"/>
                <w:szCs w:val="20"/>
              </w:rPr>
            </w:pPr>
            <w:r>
              <w:rPr>
                <w:sz w:val="20"/>
                <w:szCs w:val="20"/>
              </w:rPr>
              <w:t xml:space="preserve">Van </w:t>
            </w:r>
            <w:proofErr w:type="spellStart"/>
            <w:r>
              <w:rPr>
                <w:sz w:val="20"/>
                <w:szCs w:val="20"/>
              </w:rPr>
              <w:t>Vianen</w:t>
            </w:r>
            <w:proofErr w:type="spellEnd"/>
            <w:r>
              <w:rPr>
                <w:sz w:val="20"/>
                <w:szCs w:val="20"/>
              </w:rPr>
              <w:t xml:space="preserve"> (2015)</w:t>
            </w:r>
            <w:r w:rsidR="004B0A79">
              <w:rPr>
                <w:sz w:val="20"/>
                <w:szCs w:val="20"/>
              </w:rPr>
              <w:fldChar w:fldCharType="begin" w:fldLock="1"/>
            </w:r>
            <w:r w:rsidR="008A5081">
              <w:rPr>
                <w:sz w:val="20"/>
                <w:szCs w:val="20"/>
              </w:rPr>
              <w:instrText>ADDIN CSL_CITATION {"citationItems":[{"id":"ITEM-1","itemData":{"ISBN":"9789055841820","author":[{"dropping-particle":"","family":"Vianen","given":"Teus","non-dropping-particle":"van","parse-names":false,"suffix":""}],"id":"ITEM-1","issued":{"date-parts":[["2015"]]},"number-of-pages":"261","title":"Simulation-integrated Design of Dry Bulk Terminals","type":"book"},"uris":["http://www.mendeley.com/documents/?uuid=616d84ae-1e59-4408-b4bd-e21cd523d103"]}],"mendeley":{"formattedCitation":"&lt;sup&gt;10&lt;/sup&gt;","plainTextFormattedCitation":"10","previouslyFormattedCitation":"&lt;sup&gt;10&lt;/sup&gt;"},"properties":{"noteIndex":0},"schema":"https://github.com/citation-style-language/schema/raw/master/csl-citation.json"}</w:instrText>
            </w:r>
            <w:r w:rsidR="004B0A79">
              <w:rPr>
                <w:sz w:val="20"/>
                <w:szCs w:val="20"/>
              </w:rPr>
              <w:fldChar w:fldCharType="separate"/>
            </w:r>
            <w:r w:rsidR="008A5081" w:rsidRPr="008A5081">
              <w:rPr>
                <w:noProof/>
                <w:sz w:val="20"/>
                <w:szCs w:val="20"/>
                <w:vertAlign w:val="superscript"/>
              </w:rPr>
              <w:t>10</w:t>
            </w:r>
            <w:r w:rsidR="004B0A79">
              <w:rPr>
                <w:sz w:val="20"/>
                <w:szCs w:val="20"/>
              </w:rPr>
              <w:fldChar w:fldCharType="end"/>
            </w:r>
          </w:p>
        </w:tc>
      </w:tr>
      <w:tr w:rsidR="00C12D4D" w:rsidRPr="00581107" w14:paraId="3554D344" w14:textId="77777777" w:rsidTr="001E3420">
        <w:trPr>
          <w:trHeight w:val="699"/>
        </w:trPr>
        <w:tc>
          <w:tcPr>
            <w:tcW w:w="1127" w:type="dxa"/>
            <w:vAlign w:val="center"/>
          </w:tcPr>
          <w:p w14:paraId="07A7DA3B" w14:textId="77777777" w:rsidR="00C12D4D" w:rsidRPr="00C60ED9" w:rsidRDefault="00C12D4D" w:rsidP="001E3420">
            <w:pPr>
              <w:spacing w:line="276" w:lineRule="auto"/>
              <w:rPr>
                <w:sz w:val="20"/>
                <w:szCs w:val="20"/>
              </w:rPr>
            </w:pPr>
            <w:proofErr w:type="spellStart"/>
            <w:r>
              <w:rPr>
                <w:sz w:val="20"/>
                <w:szCs w:val="20"/>
              </w:rPr>
              <w:t>I</w:t>
            </w:r>
            <w:r>
              <w:rPr>
                <w:sz w:val="20"/>
                <w:szCs w:val="20"/>
                <w:vertAlign w:val="subscript"/>
              </w:rPr>
              <w:t>eq</w:t>
            </w:r>
            <w:proofErr w:type="spellEnd"/>
          </w:p>
        </w:tc>
        <w:tc>
          <w:tcPr>
            <w:tcW w:w="1083" w:type="dxa"/>
            <w:vAlign w:val="center"/>
          </w:tcPr>
          <w:p w14:paraId="4D6BCC7E" w14:textId="77777777" w:rsidR="00C12D4D" w:rsidRPr="00581107" w:rsidRDefault="00C12D4D" w:rsidP="001E3420">
            <w:pPr>
              <w:spacing w:line="276" w:lineRule="auto"/>
              <w:jc w:val="center"/>
              <w:rPr>
                <w:sz w:val="20"/>
                <w:szCs w:val="20"/>
              </w:rPr>
            </w:pPr>
            <w:r w:rsidRPr="00581107">
              <w:rPr>
                <w:sz w:val="20"/>
                <w:szCs w:val="20"/>
              </w:rPr>
              <w:t>-</w:t>
            </w:r>
          </w:p>
        </w:tc>
        <w:tc>
          <w:tcPr>
            <w:tcW w:w="1615" w:type="dxa"/>
            <w:vAlign w:val="center"/>
          </w:tcPr>
          <w:p w14:paraId="3B90ED6B" w14:textId="77777777" w:rsidR="00C12D4D" w:rsidRPr="005036BA" w:rsidRDefault="00C12D4D" w:rsidP="001E3420">
            <w:pPr>
              <w:spacing w:line="276" w:lineRule="auto"/>
              <w:jc w:val="center"/>
              <w:rPr>
                <w:sz w:val="20"/>
                <w:szCs w:val="20"/>
              </w:rPr>
            </w:pPr>
            <w:r w:rsidRPr="005036BA">
              <w:rPr>
                <w:sz w:val="20"/>
                <w:szCs w:val="20"/>
              </w:rPr>
              <w:t>14.5 - 26.5 for import</w:t>
            </w:r>
          </w:p>
          <w:p w14:paraId="41F0EE13" w14:textId="77777777" w:rsidR="00C12D4D" w:rsidRPr="00581107" w:rsidRDefault="00C12D4D" w:rsidP="001E3420">
            <w:pPr>
              <w:spacing w:line="276" w:lineRule="auto"/>
              <w:jc w:val="center"/>
              <w:rPr>
                <w:sz w:val="20"/>
                <w:szCs w:val="20"/>
              </w:rPr>
            </w:pPr>
            <w:r w:rsidRPr="005036BA">
              <w:rPr>
                <w:sz w:val="20"/>
                <w:szCs w:val="20"/>
              </w:rPr>
              <w:t>7.6 – 13 for export</w:t>
            </w:r>
          </w:p>
        </w:tc>
        <w:tc>
          <w:tcPr>
            <w:tcW w:w="1279" w:type="dxa"/>
            <w:vAlign w:val="center"/>
          </w:tcPr>
          <w:p w14:paraId="52EA1E53" w14:textId="77777777" w:rsidR="00C12D4D" w:rsidRPr="00581107" w:rsidRDefault="00C12D4D" w:rsidP="001E3420">
            <w:pPr>
              <w:spacing w:line="276" w:lineRule="auto"/>
              <w:jc w:val="center"/>
              <w:rPr>
                <w:sz w:val="20"/>
                <w:szCs w:val="20"/>
              </w:rPr>
            </w:pPr>
            <w:r>
              <w:rPr>
                <w:sz w:val="20"/>
                <w:szCs w:val="20"/>
              </w:rPr>
              <w:t>-</w:t>
            </w:r>
          </w:p>
        </w:tc>
        <w:tc>
          <w:tcPr>
            <w:tcW w:w="1559" w:type="dxa"/>
            <w:vAlign w:val="center"/>
          </w:tcPr>
          <w:p w14:paraId="7A9A44AB" w14:textId="77777777" w:rsidR="00C12D4D" w:rsidRPr="00581107" w:rsidRDefault="00C12D4D" w:rsidP="001E3420">
            <w:pPr>
              <w:spacing w:line="276" w:lineRule="auto"/>
              <w:jc w:val="center"/>
              <w:rPr>
                <w:sz w:val="20"/>
                <w:szCs w:val="20"/>
              </w:rPr>
            </w:pPr>
            <w:r w:rsidRPr="00581107">
              <w:rPr>
                <w:sz w:val="20"/>
                <w:szCs w:val="20"/>
              </w:rPr>
              <w:t>-</w:t>
            </w:r>
          </w:p>
        </w:tc>
        <w:tc>
          <w:tcPr>
            <w:tcW w:w="1417" w:type="dxa"/>
            <w:vAlign w:val="center"/>
          </w:tcPr>
          <w:p w14:paraId="0B495141" w14:textId="77777777" w:rsidR="00C12D4D" w:rsidRPr="00581107" w:rsidRDefault="00C12D4D" w:rsidP="001E3420">
            <w:pPr>
              <w:spacing w:line="276" w:lineRule="auto"/>
              <w:jc w:val="center"/>
              <w:rPr>
                <w:sz w:val="20"/>
                <w:szCs w:val="20"/>
              </w:rPr>
            </w:pPr>
            <w:r>
              <w:rPr>
                <w:sz w:val="20"/>
                <w:szCs w:val="20"/>
              </w:rPr>
              <w:t>-</w:t>
            </w:r>
          </w:p>
        </w:tc>
        <w:tc>
          <w:tcPr>
            <w:tcW w:w="1985" w:type="dxa"/>
            <w:vAlign w:val="center"/>
          </w:tcPr>
          <w:p w14:paraId="16BEEB47" w14:textId="67B3DEC1" w:rsidR="00C12D4D" w:rsidRPr="00581107" w:rsidRDefault="00C12D4D" w:rsidP="001E3420">
            <w:pPr>
              <w:spacing w:line="276" w:lineRule="auto"/>
              <w:jc w:val="both"/>
              <w:rPr>
                <w:sz w:val="20"/>
                <w:szCs w:val="20"/>
              </w:rPr>
            </w:pPr>
            <w:r>
              <w:rPr>
                <w:sz w:val="20"/>
                <w:szCs w:val="20"/>
              </w:rPr>
              <w:t xml:space="preserve">Van </w:t>
            </w:r>
            <w:proofErr w:type="spellStart"/>
            <w:r>
              <w:rPr>
                <w:sz w:val="20"/>
                <w:szCs w:val="20"/>
              </w:rPr>
              <w:t>Vianen</w:t>
            </w:r>
            <w:proofErr w:type="spellEnd"/>
            <w:r>
              <w:rPr>
                <w:sz w:val="20"/>
                <w:szCs w:val="20"/>
              </w:rPr>
              <w:t xml:space="preserve"> et al. (2011)</w:t>
            </w:r>
            <w:r w:rsidR="004B0A79">
              <w:rPr>
                <w:sz w:val="20"/>
                <w:szCs w:val="20"/>
              </w:rPr>
              <w:fldChar w:fldCharType="begin" w:fldLock="1"/>
            </w:r>
            <w:r w:rsidR="008A5081">
              <w:rPr>
                <w:sz w:val="20"/>
                <w:szCs w:val="20"/>
              </w:rPr>
              <w:instrText>ADDIN CSL_CITATION {"citationItems":[{"id":"ITEM-1","itemData":{"abstract":"Two main types of terminals are distinguished; import and export terminals. The investigated export terminals are situated in Australia, Brazil, South Africa and India and the import terminals are located in Western Europe, Japan and China. Typical terminal characteristics like annual throughput, installed equipment capacities, quay length and storage factors, maximum storage capacity, stockyard dimensions and the number of terminal equipment are determined. Some rules of thumb from several literature sources are verified but these match poorly with the current terminals. If the determined characteristics are used for terminal design, the designs may vary significantly considering the large range of these characteristics. The determined capacity factors and the relations between the equipment capacities can be used as guidelines for calculating the equipment capacities. Another finding of the research is that at import terminals the installed stockyard equipment capacity is twice as high as for export terminals, to handle the same annual throughput. Finally, a view of the future research is given.","author":[{"dropping-particle":"","family":"Vianen","given":"T.","non-dropping-particle":"van","parse-names":false,"suffix":""},{"dropping-particle":"","family":"Ottjes","given":"J.","non-dropping-particle":"","parse-names":false,"suffix":""},{"dropping-particle":"","family":"Lodewijks","given":"G.","non-dropping-particle":"","parse-names":false,"suffix":""}],"container-title":"Bulk Solids India 2011","id":"ITEM-1","issued":{"date-parts":[["2011"]]},"page":"1–10","publisher-place":"Mumbai, India","title":"Dry bulk terminal characteristics","type":"paper-conference"},"uris":["http://www.mendeley.com/documents/?uuid=22302b72-cd31-42bc-a7bb-5fe05cc658f0"]}],"mendeley":{"formattedCitation":"&lt;sup&gt;11&lt;/sup&gt;","plainTextFormattedCitation":"11","previouslyFormattedCitation":"&lt;sup&gt;11&lt;/sup&gt;"},"properties":{"noteIndex":0},"schema":"https://github.com/citation-style-language/schema/raw/master/csl-citation.json"}</w:instrText>
            </w:r>
            <w:r w:rsidR="004B0A79">
              <w:rPr>
                <w:sz w:val="20"/>
                <w:szCs w:val="20"/>
              </w:rPr>
              <w:fldChar w:fldCharType="separate"/>
            </w:r>
            <w:r w:rsidR="008A5081" w:rsidRPr="008A5081">
              <w:rPr>
                <w:noProof/>
                <w:sz w:val="20"/>
                <w:szCs w:val="20"/>
                <w:vertAlign w:val="superscript"/>
              </w:rPr>
              <w:t>11</w:t>
            </w:r>
            <w:r w:rsidR="004B0A79">
              <w:rPr>
                <w:sz w:val="20"/>
                <w:szCs w:val="20"/>
              </w:rPr>
              <w:fldChar w:fldCharType="end"/>
            </w:r>
          </w:p>
        </w:tc>
      </w:tr>
    </w:tbl>
    <w:p w14:paraId="1239B4B1" w14:textId="77777777" w:rsidR="00C12D4D" w:rsidRDefault="00C12D4D" w:rsidP="00C12D4D">
      <w:pPr>
        <w:spacing w:line="276" w:lineRule="auto"/>
        <w:jc w:val="both"/>
        <w:rPr>
          <w:b/>
          <w:bCs/>
        </w:rPr>
      </w:pPr>
    </w:p>
    <w:p w14:paraId="4AD5ADBC" w14:textId="77777777" w:rsidR="00C12D4D" w:rsidRDefault="00C12D4D" w:rsidP="00C12D4D">
      <w:pPr>
        <w:spacing w:line="276" w:lineRule="auto"/>
        <w:jc w:val="both"/>
        <w:rPr>
          <w:b/>
          <w:bCs/>
        </w:rPr>
      </w:pPr>
    </w:p>
    <w:p w14:paraId="0276F16C" w14:textId="77777777" w:rsidR="00C12D4D" w:rsidRDefault="00C12D4D" w:rsidP="00C12D4D">
      <w:pPr>
        <w:spacing w:line="276" w:lineRule="auto"/>
        <w:jc w:val="both"/>
        <w:rPr>
          <w:b/>
          <w:bCs/>
        </w:rPr>
      </w:pPr>
    </w:p>
    <w:p w14:paraId="281873D5" w14:textId="77777777" w:rsidR="00C12D4D" w:rsidRDefault="00C12D4D" w:rsidP="00C12D4D">
      <w:pPr>
        <w:spacing w:line="276" w:lineRule="auto"/>
        <w:jc w:val="both"/>
        <w:rPr>
          <w:b/>
          <w:bCs/>
        </w:rPr>
      </w:pPr>
    </w:p>
    <w:p w14:paraId="4D2083AE" w14:textId="77777777" w:rsidR="00C12D4D" w:rsidRDefault="00C12D4D" w:rsidP="00C12D4D">
      <w:pPr>
        <w:spacing w:line="276" w:lineRule="auto"/>
        <w:jc w:val="both"/>
        <w:rPr>
          <w:b/>
          <w:bCs/>
        </w:rPr>
      </w:pPr>
    </w:p>
    <w:p w14:paraId="736877C2" w14:textId="77777777" w:rsidR="00C12D4D" w:rsidRDefault="00C12D4D" w:rsidP="00C12D4D">
      <w:pPr>
        <w:spacing w:line="276" w:lineRule="auto"/>
        <w:jc w:val="both"/>
        <w:rPr>
          <w:b/>
          <w:bCs/>
        </w:rPr>
      </w:pPr>
    </w:p>
    <w:p w14:paraId="09C74D9C" w14:textId="77777777" w:rsidR="00C12D4D" w:rsidRDefault="00C12D4D" w:rsidP="00C12D4D">
      <w:pPr>
        <w:spacing w:line="276" w:lineRule="auto"/>
        <w:jc w:val="both"/>
        <w:rPr>
          <w:b/>
          <w:bCs/>
        </w:rPr>
      </w:pPr>
    </w:p>
    <w:p w14:paraId="070A12ED" w14:textId="77777777" w:rsidR="00C12D4D" w:rsidRPr="00581107" w:rsidRDefault="00C12D4D" w:rsidP="00C12D4D">
      <w:pPr>
        <w:spacing w:line="276" w:lineRule="auto"/>
        <w:jc w:val="both"/>
        <w:rPr>
          <w:b/>
          <w:bCs/>
        </w:rPr>
      </w:pPr>
    </w:p>
    <w:p w14:paraId="4748CB0C" w14:textId="61667B8F" w:rsidR="004B0A79" w:rsidRDefault="003531AC" w:rsidP="004B0A79">
      <w:pPr>
        <w:spacing w:line="276" w:lineRule="auto"/>
        <w:jc w:val="both"/>
        <w:rPr>
          <w:rFonts w:eastAsiaTheme="minorEastAsia"/>
        </w:rPr>
      </w:pPr>
      <w:r>
        <w:rPr>
          <w:b/>
          <w:bCs/>
        </w:rPr>
        <w:lastRenderedPageBreak/>
        <w:t xml:space="preserve">Supplementary </w:t>
      </w:r>
      <w:r w:rsidR="004B0A79" w:rsidRPr="00AD1426">
        <w:rPr>
          <w:b/>
          <w:bCs/>
        </w:rPr>
        <w:t xml:space="preserve">Table </w:t>
      </w:r>
      <w:r w:rsidR="004B0A79">
        <w:rPr>
          <w:b/>
          <w:bCs/>
        </w:rPr>
        <w:t>4</w:t>
      </w:r>
      <w:r w:rsidR="004B0A79" w:rsidRPr="00581107">
        <w:t>. The gross storage density and ratio of average over maximum stacking height for different type of container yard equipment.</w:t>
      </w:r>
      <w:r w:rsidR="00226C97">
        <w:t xml:space="preserve"> Values taken from </w:t>
      </w:r>
      <w:proofErr w:type="spellStart"/>
      <w:r w:rsidR="00226C97">
        <w:t>Ligteringen</w:t>
      </w:r>
      <w:proofErr w:type="spellEnd"/>
      <w:r w:rsidR="00226C97">
        <w:t xml:space="preserve"> and </w:t>
      </w:r>
      <w:proofErr w:type="spellStart"/>
      <w:r w:rsidR="00226C97">
        <w:t>Velsink</w:t>
      </w:r>
      <w:proofErr w:type="spellEnd"/>
      <w:r w:rsidR="00226C97">
        <w:t xml:space="preserve"> (2012). </w:t>
      </w:r>
    </w:p>
    <w:p w14:paraId="7FF611B2" w14:textId="2B3910DD" w:rsidR="004B0A79" w:rsidRPr="004B0A79" w:rsidRDefault="004B0A79" w:rsidP="004B0A79">
      <w:pPr>
        <w:spacing w:line="276" w:lineRule="auto"/>
        <w:jc w:val="both"/>
        <w:rPr>
          <w:rFonts w:eastAsiaTheme="minorEastAsia"/>
        </w:rPr>
      </w:pPr>
      <w:r w:rsidRPr="00581107">
        <w:t xml:space="preserve"> </w:t>
      </w:r>
    </w:p>
    <w:tbl>
      <w:tblPr>
        <w:tblStyle w:val="TableGrid"/>
        <w:tblW w:w="0" w:type="auto"/>
        <w:tblLook w:val="04A0" w:firstRow="1" w:lastRow="0" w:firstColumn="1" w:lastColumn="0" w:noHBand="0" w:noVBand="1"/>
      </w:tblPr>
      <w:tblGrid>
        <w:gridCol w:w="4248"/>
        <w:gridCol w:w="3260"/>
        <w:gridCol w:w="1554"/>
      </w:tblGrid>
      <w:tr w:rsidR="004B0A79" w:rsidRPr="00581107" w14:paraId="65769939" w14:textId="77777777" w:rsidTr="001E3420">
        <w:tc>
          <w:tcPr>
            <w:tcW w:w="4248" w:type="dxa"/>
          </w:tcPr>
          <w:p w14:paraId="1E11CEEE" w14:textId="77777777" w:rsidR="004B0A79" w:rsidRPr="00581107" w:rsidRDefault="004B0A79" w:rsidP="001E3420">
            <w:pPr>
              <w:jc w:val="both"/>
              <w:rPr>
                <w:b/>
                <w:bCs/>
                <w:sz w:val="20"/>
                <w:szCs w:val="20"/>
              </w:rPr>
            </w:pPr>
            <w:r w:rsidRPr="00581107">
              <w:rPr>
                <w:b/>
                <w:bCs/>
                <w:sz w:val="20"/>
                <w:szCs w:val="20"/>
              </w:rPr>
              <w:t>Equipment</w:t>
            </w:r>
          </w:p>
        </w:tc>
        <w:tc>
          <w:tcPr>
            <w:tcW w:w="3260" w:type="dxa"/>
          </w:tcPr>
          <w:p w14:paraId="2C3C3E47" w14:textId="77777777" w:rsidR="004B0A79" w:rsidRPr="00581107" w:rsidRDefault="004B0A79" w:rsidP="001E3420">
            <w:pPr>
              <w:jc w:val="both"/>
              <w:rPr>
                <w:b/>
                <w:bCs/>
                <w:sz w:val="20"/>
                <w:szCs w:val="20"/>
              </w:rPr>
            </w:pPr>
            <w:proofErr w:type="spellStart"/>
            <w:r w:rsidRPr="00581107">
              <w:rPr>
                <w:b/>
                <w:bCs/>
                <w:sz w:val="20"/>
                <w:szCs w:val="20"/>
              </w:rPr>
              <w:t>Ateu</w:t>
            </w:r>
            <w:proofErr w:type="spellEnd"/>
            <w:r w:rsidRPr="00581107">
              <w:rPr>
                <w:b/>
                <w:bCs/>
                <w:sz w:val="20"/>
                <w:szCs w:val="20"/>
              </w:rPr>
              <w:t xml:space="preserve"> (m</w:t>
            </w:r>
            <w:r w:rsidRPr="00D84D9C">
              <w:rPr>
                <w:b/>
                <w:bCs/>
                <w:sz w:val="20"/>
                <w:szCs w:val="20"/>
                <w:vertAlign w:val="superscript"/>
              </w:rPr>
              <w:t>2</w:t>
            </w:r>
            <w:r w:rsidRPr="00581107">
              <w:rPr>
                <w:b/>
                <w:bCs/>
                <w:sz w:val="20"/>
                <w:szCs w:val="20"/>
              </w:rPr>
              <w:t>/TEU)</w:t>
            </w:r>
          </w:p>
        </w:tc>
        <w:tc>
          <w:tcPr>
            <w:tcW w:w="1554" w:type="dxa"/>
          </w:tcPr>
          <w:p w14:paraId="1E2DFE04" w14:textId="77777777" w:rsidR="004B0A79" w:rsidRPr="00581107" w:rsidRDefault="004B0A79" w:rsidP="001E3420">
            <w:pPr>
              <w:jc w:val="both"/>
              <w:rPr>
                <w:b/>
                <w:bCs/>
                <w:sz w:val="20"/>
                <w:szCs w:val="20"/>
              </w:rPr>
            </w:pPr>
            <w:r>
              <w:rPr>
                <w:b/>
                <w:bCs/>
                <w:sz w:val="20"/>
                <w:szCs w:val="20"/>
              </w:rPr>
              <w:t>r</w:t>
            </w:r>
            <w:r w:rsidRPr="00581107">
              <w:rPr>
                <w:b/>
                <w:bCs/>
                <w:sz w:val="20"/>
                <w:szCs w:val="20"/>
              </w:rPr>
              <w:t xml:space="preserve"> (-)</w:t>
            </w:r>
          </w:p>
        </w:tc>
      </w:tr>
      <w:tr w:rsidR="004B0A79" w:rsidRPr="00581107" w14:paraId="7CC6AFFF" w14:textId="77777777" w:rsidTr="001E3420">
        <w:tc>
          <w:tcPr>
            <w:tcW w:w="4248" w:type="dxa"/>
          </w:tcPr>
          <w:p w14:paraId="11E0FB46" w14:textId="77777777" w:rsidR="004B0A79" w:rsidRPr="00581107" w:rsidRDefault="004B0A79" w:rsidP="001E3420">
            <w:pPr>
              <w:jc w:val="both"/>
              <w:rPr>
                <w:sz w:val="20"/>
                <w:szCs w:val="20"/>
              </w:rPr>
            </w:pPr>
            <w:r w:rsidRPr="00581107">
              <w:rPr>
                <w:sz w:val="20"/>
                <w:szCs w:val="20"/>
              </w:rPr>
              <w:t>Straddle carrier</w:t>
            </w:r>
          </w:p>
        </w:tc>
        <w:tc>
          <w:tcPr>
            <w:tcW w:w="3260" w:type="dxa"/>
          </w:tcPr>
          <w:p w14:paraId="7F145E8E" w14:textId="77777777" w:rsidR="004B0A79" w:rsidRPr="00581107" w:rsidRDefault="004B0A79" w:rsidP="001E3420">
            <w:pPr>
              <w:jc w:val="both"/>
              <w:rPr>
                <w:sz w:val="20"/>
                <w:szCs w:val="20"/>
              </w:rPr>
            </w:pPr>
            <w:r w:rsidRPr="00581107">
              <w:rPr>
                <w:sz w:val="20"/>
                <w:szCs w:val="20"/>
              </w:rPr>
              <w:t>10 - 13</w:t>
            </w:r>
          </w:p>
        </w:tc>
        <w:tc>
          <w:tcPr>
            <w:tcW w:w="1554" w:type="dxa"/>
          </w:tcPr>
          <w:p w14:paraId="4B7C5B48" w14:textId="77777777" w:rsidR="004B0A79" w:rsidRPr="00581107" w:rsidRDefault="004B0A79" w:rsidP="001E3420">
            <w:pPr>
              <w:jc w:val="both"/>
              <w:rPr>
                <w:sz w:val="20"/>
                <w:szCs w:val="20"/>
              </w:rPr>
            </w:pPr>
            <w:r w:rsidRPr="00581107">
              <w:rPr>
                <w:sz w:val="20"/>
                <w:szCs w:val="20"/>
              </w:rPr>
              <w:t xml:space="preserve">0.25 – 0.50 </w:t>
            </w:r>
          </w:p>
        </w:tc>
      </w:tr>
      <w:tr w:rsidR="004B0A79" w:rsidRPr="00581107" w14:paraId="0B5F16C7" w14:textId="77777777" w:rsidTr="001E3420">
        <w:tc>
          <w:tcPr>
            <w:tcW w:w="4248" w:type="dxa"/>
          </w:tcPr>
          <w:p w14:paraId="6D5AB77B" w14:textId="77777777" w:rsidR="004B0A79" w:rsidRPr="00581107" w:rsidRDefault="004B0A79" w:rsidP="001E3420">
            <w:pPr>
              <w:jc w:val="both"/>
              <w:rPr>
                <w:sz w:val="20"/>
                <w:szCs w:val="20"/>
              </w:rPr>
            </w:pPr>
            <w:r w:rsidRPr="00581107">
              <w:rPr>
                <w:sz w:val="20"/>
                <w:szCs w:val="20"/>
              </w:rPr>
              <w:t>Reach handler</w:t>
            </w:r>
          </w:p>
        </w:tc>
        <w:tc>
          <w:tcPr>
            <w:tcW w:w="3260" w:type="dxa"/>
          </w:tcPr>
          <w:p w14:paraId="4C3DCE9D" w14:textId="77777777" w:rsidR="004B0A79" w:rsidRPr="00581107" w:rsidRDefault="004B0A79" w:rsidP="001E3420">
            <w:pPr>
              <w:jc w:val="both"/>
              <w:rPr>
                <w:sz w:val="20"/>
                <w:szCs w:val="20"/>
              </w:rPr>
            </w:pPr>
            <w:r w:rsidRPr="00581107">
              <w:rPr>
                <w:sz w:val="20"/>
                <w:szCs w:val="20"/>
              </w:rPr>
              <w:t>20 - 30</w:t>
            </w:r>
          </w:p>
        </w:tc>
        <w:tc>
          <w:tcPr>
            <w:tcW w:w="1554" w:type="dxa"/>
          </w:tcPr>
          <w:p w14:paraId="7A2C2A48" w14:textId="77777777" w:rsidR="004B0A79" w:rsidRPr="00581107" w:rsidRDefault="004B0A79" w:rsidP="001E3420">
            <w:pPr>
              <w:jc w:val="both"/>
              <w:rPr>
                <w:sz w:val="20"/>
                <w:szCs w:val="20"/>
              </w:rPr>
            </w:pPr>
            <w:r w:rsidRPr="00581107">
              <w:rPr>
                <w:sz w:val="20"/>
                <w:szCs w:val="20"/>
              </w:rPr>
              <w:t>0.29 – 0.57</w:t>
            </w:r>
          </w:p>
        </w:tc>
      </w:tr>
      <w:tr w:rsidR="004B0A79" w:rsidRPr="00581107" w14:paraId="2053FA81" w14:textId="77777777" w:rsidTr="001E3420">
        <w:tc>
          <w:tcPr>
            <w:tcW w:w="4248" w:type="dxa"/>
          </w:tcPr>
          <w:p w14:paraId="59F98544" w14:textId="77777777" w:rsidR="004B0A79" w:rsidRPr="00581107" w:rsidRDefault="004B0A79" w:rsidP="001E3420">
            <w:pPr>
              <w:jc w:val="both"/>
              <w:rPr>
                <w:sz w:val="20"/>
                <w:szCs w:val="20"/>
              </w:rPr>
            </w:pPr>
            <w:r w:rsidRPr="00581107">
              <w:rPr>
                <w:sz w:val="20"/>
                <w:szCs w:val="20"/>
              </w:rPr>
              <w:t>Rubber Tyred Gantry Cranes (RTG)</w:t>
            </w:r>
          </w:p>
        </w:tc>
        <w:tc>
          <w:tcPr>
            <w:tcW w:w="3260" w:type="dxa"/>
          </w:tcPr>
          <w:p w14:paraId="547A6BA7" w14:textId="77777777" w:rsidR="004B0A79" w:rsidRPr="00581107" w:rsidRDefault="004B0A79" w:rsidP="001E3420">
            <w:pPr>
              <w:jc w:val="both"/>
              <w:rPr>
                <w:sz w:val="20"/>
                <w:szCs w:val="20"/>
              </w:rPr>
            </w:pPr>
            <w:r w:rsidRPr="00581107">
              <w:rPr>
                <w:sz w:val="20"/>
                <w:szCs w:val="20"/>
              </w:rPr>
              <w:t>7.5 - 16</w:t>
            </w:r>
          </w:p>
        </w:tc>
        <w:tc>
          <w:tcPr>
            <w:tcW w:w="1554" w:type="dxa"/>
          </w:tcPr>
          <w:p w14:paraId="7780B95C" w14:textId="77777777" w:rsidR="004B0A79" w:rsidRPr="00581107" w:rsidRDefault="004B0A79" w:rsidP="001E3420">
            <w:pPr>
              <w:jc w:val="both"/>
              <w:rPr>
                <w:sz w:val="20"/>
                <w:szCs w:val="20"/>
              </w:rPr>
            </w:pPr>
            <w:r w:rsidRPr="00581107">
              <w:rPr>
                <w:sz w:val="20"/>
                <w:szCs w:val="20"/>
              </w:rPr>
              <w:t>0.50 – 0.67</w:t>
            </w:r>
          </w:p>
        </w:tc>
      </w:tr>
      <w:tr w:rsidR="004B0A79" w:rsidRPr="00581107" w14:paraId="07CB4A08" w14:textId="77777777" w:rsidTr="001E3420">
        <w:tc>
          <w:tcPr>
            <w:tcW w:w="4248" w:type="dxa"/>
          </w:tcPr>
          <w:p w14:paraId="50BDF8E9" w14:textId="77777777" w:rsidR="004B0A79" w:rsidRPr="00581107" w:rsidRDefault="004B0A79" w:rsidP="001E3420">
            <w:pPr>
              <w:jc w:val="both"/>
              <w:rPr>
                <w:sz w:val="20"/>
                <w:szCs w:val="20"/>
              </w:rPr>
            </w:pPr>
            <w:r w:rsidRPr="00581107">
              <w:rPr>
                <w:sz w:val="20"/>
                <w:szCs w:val="20"/>
              </w:rPr>
              <w:t>Rail Mounted Gantry Crane (RMG)</w:t>
            </w:r>
          </w:p>
        </w:tc>
        <w:tc>
          <w:tcPr>
            <w:tcW w:w="3260" w:type="dxa"/>
          </w:tcPr>
          <w:p w14:paraId="2302D884" w14:textId="77777777" w:rsidR="004B0A79" w:rsidRPr="00581107" w:rsidRDefault="004B0A79" w:rsidP="001E3420">
            <w:pPr>
              <w:jc w:val="both"/>
              <w:rPr>
                <w:sz w:val="20"/>
                <w:szCs w:val="20"/>
              </w:rPr>
            </w:pPr>
            <w:r w:rsidRPr="00581107">
              <w:rPr>
                <w:sz w:val="20"/>
                <w:szCs w:val="20"/>
              </w:rPr>
              <w:t>7.5 - 11</w:t>
            </w:r>
          </w:p>
        </w:tc>
        <w:tc>
          <w:tcPr>
            <w:tcW w:w="1554" w:type="dxa"/>
          </w:tcPr>
          <w:p w14:paraId="3F38F993" w14:textId="77777777" w:rsidR="004B0A79" w:rsidRPr="00581107" w:rsidRDefault="004B0A79" w:rsidP="001E3420">
            <w:pPr>
              <w:jc w:val="both"/>
              <w:rPr>
                <w:sz w:val="20"/>
                <w:szCs w:val="20"/>
              </w:rPr>
            </w:pPr>
            <w:r w:rsidRPr="00581107">
              <w:rPr>
                <w:sz w:val="20"/>
                <w:szCs w:val="20"/>
              </w:rPr>
              <w:t>0.50 – 0.57</w:t>
            </w:r>
          </w:p>
        </w:tc>
      </w:tr>
    </w:tbl>
    <w:p w14:paraId="37FECBB2" w14:textId="77777777" w:rsidR="004B0A79" w:rsidRDefault="004B0A79" w:rsidP="00586E5B">
      <w:pPr>
        <w:spacing w:line="276" w:lineRule="auto"/>
        <w:jc w:val="both"/>
        <w:rPr>
          <w:b/>
          <w:bCs/>
        </w:rPr>
      </w:pPr>
    </w:p>
    <w:p w14:paraId="498CB917" w14:textId="37DFEC20" w:rsidR="004B0A79" w:rsidRDefault="004B0A79" w:rsidP="004B0A79">
      <w:pPr>
        <w:rPr>
          <w:b/>
          <w:bCs/>
        </w:rPr>
      </w:pPr>
      <w:r>
        <w:rPr>
          <w:b/>
          <w:bCs/>
        </w:rPr>
        <w:br w:type="page"/>
      </w:r>
    </w:p>
    <w:p w14:paraId="3885D06E" w14:textId="1279B58E" w:rsidR="00586E5B" w:rsidRPr="00581107" w:rsidRDefault="00875CB0" w:rsidP="00586E5B">
      <w:pPr>
        <w:spacing w:line="276" w:lineRule="auto"/>
        <w:jc w:val="both"/>
        <w:rPr>
          <w:rFonts w:eastAsiaTheme="minorEastAsia"/>
        </w:rPr>
      </w:pPr>
      <w:r>
        <w:rPr>
          <w:b/>
          <w:bCs/>
        </w:rPr>
        <w:lastRenderedPageBreak/>
        <w:t xml:space="preserve">Supplementary </w:t>
      </w:r>
      <w:r w:rsidR="00586E5B" w:rsidRPr="00AD1426">
        <w:rPr>
          <w:b/>
          <w:bCs/>
        </w:rPr>
        <w:t xml:space="preserve">Table </w:t>
      </w:r>
      <w:r w:rsidR="004B0A79">
        <w:rPr>
          <w:b/>
          <w:bCs/>
        </w:rPr>
        <w:t>5</w:t>
      </w:r>
      <w:r w:rsidR="00586E5B" w:rsidRPr="00581107">
        <w:t xml:space="preserve">. Comparison on area </w:t>
      </w:r>
      <w:r w:rsidR="00B80C11">
        <w:t>unit needs</w:t>
      </w:r>
      <w:r w:rsidR="00586E5B" w:rsidRPr="00581107">
        <w:t xml:space="preserve"> using the </w:t>
      </w:r>
      <w:r w:rsidR="00B80C11">
        <w:t>PPC model</w:t>
      </w:r>
      <w:r w:rsidR="00586E5B" w:rsidRPr="00581107">
        <w:t xml:space="preserve">, the </w:t>
      </w:r>
      <w:r w:rsidR="00FD0752">
        <w:t xml:space="preserve">externally </w:t>
      </w:r>
      <w:r w:rsidR="00586E5B" w:rsidRPr="00581107">
        <w:t>estimated ratios and existing rules of thumb</w:t>
      </w:r>
      <w:r w:rsidR="00855AFF">
        <w:t xml:space="preserve">. </w:t>
      </w:r>
    </w:p>
    <w:tbl>
      <w:tblPr>
        <w:tblStyle w:val="TableGrid"/>
        <w:tblW w:w="10065" w:type="dxa"/>
        <w:tblInd w:w="-147" w:type="dxa"/>
        <w:tblLook w:val="04A0" w:firstRow="1" w:lastRow="0" w:firstColumn="1" w:lastColumn="0" w:noHBand="0" w:noVBand="1"/>
      </w:tblPr>
      <w:tblGrid>
        <w:gridCol w:w="1276"/>
        <w:gridCol w:w="2835"/>
        <w:gridCol w:w="2977"/>
        <w:gridCol w:w="2977"/>
      </w:tblGrid>
      <w:tr w:rsidR="00586E5B" w:rsidRPr="00581107" w14:paraId="147B2B92" w14:textId="77777777" w:rsidTr="001E3420">
        <w:tc>
          <w:tcPr>
            <w:tcW w:w="1276" w:type="dxa"/>
          </w:tcPr>
          <w:p w14:paraId="0099D672" w14:textId="77777777" w:rsidR="00586E5B" w:rsidRPr="00581107" w:rsidRDefault="00586E5B" w:rsidP="001E3420">
            <w:pPr>
              <w:spacing w:line="276" w:lineRule="auto"/>
              <w:jc w:val="both"/>
              <w:rPr>
                <w:rFonts w:eastAsiaTheme="minorEastAsia"/>
                <w:b/>
                <w:bCs/>
                <w:sz w:val="20"/>
                <w:szCs w:val="20"/>
              </w:rPr>
            </w:pPr>
            <w:r w:rsidRPr="00581107">
              <w:rPr>
                <w:rFonts w:eastAsiaTheme="minorEastAsia"/>
                <w:b/>
                <w:bCs/>
                <w:sz w:val="20"/>
                <w:szCs w:val="20"/>
              </w:rPr>
              <w:t>Terminal type</w:t>
            </w:r>
          </w:p>
        </w:tc>
        <w:tc>
          <w:tcPr>
            <w:tcW w:w="2835" w:type="dxa"/>
          </w:tcPr>
          <w:p w14:paraId="28C475A8" w14:textId="54B00AB8" w:rsidR="00586E5B" w:rsidRPr="00581107" w:rsidRDefault="00586E5B" w:rsidP="001E3420">
            <w:pPr>
              <w:spacing w:line="276" w:lineRule="auto"/>
              <w:jc w:val="both"/>
              <w:rPr>
                <w:rFonts w:eastAsiaTheme="minorEastAsia"/>
                <w:b/>
                <w:bCs/>
                <w:sz w:val="20"/>
                <w:szCs w:val="20"/>
              </w:rPr>
            </w:pPr>
            <w:r>
              <w:rPr>
                <w:rFonts w:eastAsiaTheme="minorEastAsia"/>
                <w:b/>
                <w:bCs/>
                <w:sz w:val="20"/>
                <w:szCs w:val="20"/>
              </w:rPr>
              <w:t>PPC model</w:t>
            </w:r>
            <w:r w:rsidRPr="00581107">
              <w:rPr>
                <w:rFonts w:eastAsiaTheme="minorEastAsia"/>
                <w:b/>
                <w:bCs/>
                <w:sz w:val="20"/>
                <w:szCs w:val="20"/>
              </w:rPr>
              <w:t xml:space="preserve"> (tonnes</w:t>
            </w:r>
            <w:r w:rsidR="00A31958">
              <w:rPr>
                <w:rFonts w:eastAsiaTheme="minorEastAsia"/>
                <w:b/>
                <w:bCs/>
                <w:sz w:val="20"/>
                <w:szCs w:val="20"/>
              </w:rPr>
              <w:t xml:space="preserve"> per </w:t>
            </w:r>
            <w:r w:rsidRPr="00581107">
              <w:rPr>
                <w:rFonts w:eastAsiaTheme="minorEastAsia"/>
                <w:b/>
                <w:bCs/>
                <w:sz w:val="20"/>
                <w:szCs w:val="20"/>
              </w:rPr>
              <w:t>m</w:t>
            </w:r>
            <w:r w:rsidRPr="00A31958">
              <w:rPr>
                <w:rFonts w:eastAsiaTheme="minorEastAsia"/>
                <w:b/>
                <w:bCs/>
                <w:sz w:val="20"/>
                <w:szCs w:val="20"/>
                <w:vertAlign w:val="superscript"/>
              </w:rPr>
              <w:t>2</w:t>
            </w:r>
            <w:r w:rsidRPr="00581107">
              <w:rPr>
                <w:rFonts w:eastAsiaTheme="minorEastAsia"/>
                <w:b/>
                <w:bCs/>
                <w:sz w:val="20"/>
                <w:szCs w:val="20"/>
              </w:rPr>
              <w:t>)</w:t>
            </w:r>
          </w:p>
        </w:tc>
        <w:tc>
          <w:tcPr>
            <w:tcW w:w="2977" w:type="dxa"/>
          </w:tcPr>
          <w:p w14:paraId="13E28840" w14:textId="5EB31800" w:rsidR="00586E5B" w:rsidRPr="00581107" w:rsidRDefault="00FD0752" w:rsidP="001E3420">
            <w:pPr>
              <w:spacing w:line="276" w:lineRule="auto"/>
              <w:jc w:val="both"/>
              <w:rPr>
                <w:rFonts w:eastAsiaTheme="minorEastAsia"/>
                <w:b/>
                <w:bCs/>
                <w:sz w:val="20"/>
                <w:szCs w:val="20"/>
              </w:rPr>
            </w:pPr>
            <w:r>
              <w:rPr>
                <w:rFonts w:eastAsiaTheme="minorEastAsia"/>
                <w:b/>
                <w:bCs/>
                <w:sz w:val="20"/>
                <w:szCs w:val="20"/>
              </w:rPr>
              <w:t>Externally e</w:t>
            </w:r>
            <w:r w:rsidR="00586E5B" w:rsidRPr="00581107">
              <w:rPr>
                <w:rFonts w:eastAsiaTheme="minorEastAsia"/>
                <w:b/>
                <w:bCs/>
                <w:sz w:val="20"/>
                <w:szCs w:val="20"/>
              </w:rPr>
              <w:t>stimated ratios  (tonnes</w:t>
            </w:r>
            <w:r w:rsidR="00A31958">
              <w:rPr>
                <w:rFonts w:eastAsiaTheme="minorEastAsia"/>
                <w:b/>
                <w:bCs/>
                <w:sz w:val="20"/>
                <w:szCs w:val="20"/>
              </w:rPr>
              <w:t xml:space="preserve"> per </w:t>
            </w:r>
            <w:r w:rsidR="00586E5B" w:rsidRPr="00581107">
              <w:rPr>
                <w:rFonts w:eastAsiaTheme="minorEastAsia"/>
                <w:b/>
                <w:bCs/>
                <w:sz w:val="20"/>
                <w:szCs w:val="20"/>
              </w:rPr>
              <w:t>m</w:t>
            </w:r>
            <w:r w:rsidR="00586E5B" w:rsidRPr="00A31958">
              <w:rPr>
                <w:rFonts w:eastAsiaTheme="minorEastAsia"/>
                <w:b/>
                <w:bCs/>
                <w:sz w:val="20"/>
                <w:szCs w:val="20"/>
                <w:vertAlign w:val="superscript"/>
              </w:rPr>
              <w:t>2</w:t>
            </w:r>
            <w:r w:rsidR="00586E5B" w:rsidRPr="00581107">
              <w:rPr>
                <w:rFonts w:eastAsiaTheme="minorEastAsia"/>
                <w:b/>
                <w:bCs/>
                <w:sz w:val="20"/>
                <w:szCs w:val="20"/>
              </w:rPr>
              <w:t>)</w:t>
            </w:r>
          </w:p>
        </w:tc>
        <w:tc>
          <w:tcPr>
            <w:tcW w:w="2977" w:type="dxa"/>
          </w:tcPr>
          <w:p w14:paraId="7491B289" w14:textId="2BD85BE0" w:rsidR="00586E5B" w:rsidRPr="00581107" w:rsidRDefault="00586E5B" w:rsidP="001E3420">
            <w:pPr>
              <w:spacing w:line="276" w:lineRule="auto"/>
              <w:jc w:val="both"/>
              <w:rPr>
                <w:rFonts w:eastAsiaTheme="minorEastAsia"/>
                <w:b/>
                <w:bCs/>
                <w:sz w:val="20"/>
                <w:szCs w:val="20"/>
              </w:rPr>
            </w:pPr>
            <w:r w:rsidRPr="00581107">
              <w:rPr>
                <w:rFonts w:eastAsiaTheme="minorEastAsia"/>
                <w:b/>
                <w:bCs/>
                <w:sz w:val="20"/>
                <w:szCs w:val="20"/>
              </w:rPr>
              <w:t>Rules of thumb (tonnes</w:t>
            </w:r>
            <w:r w:rsidR="00A31958">
              <w:rPr>
                <w:rFonts w:eastAsiaTheme="minorEastAsia"/>
                <w:b/>
                <w:bCs/>
                <w:sz w:val="20"/>
                <w:szCs w:val="20"/>
              </w:rPr>
              <w:t xml:space="preserve"> per </w:t>
            </w:r>
            <w:r w:rsidRPr="00581107">
              <w:rPr>
                <w:rFonts w:eastAsiaTheme="minorEastAsia"/>
                <w:b/>
                <w:bCs/>
                <w:sz w:val="20"/>
                <w:szCs w:val="20"/>
              </w:rPr>
              <w:t>m</w:t>
            </w:r>
            <w:r w:rsidRPr="00A31958">
              <w:rPr>
                <w:rFonts w:eastAsiaTheme="minorEastAsia"/>
                <w:b/>
                <w:bCs/>
                <w:sz w:val="20"/>
                <w:szCs w:val="20"/>
                <w:vertAlign w:val="superscript"/>
              </w:rPr>
              <w:t>2</w:t>
            </w:r>
            <w:r w:rsidRPr="00581107">
              <w:rPr>
                <w:rFonts w:eastAsiaTheme="minorEastAsia"/>
                <w:b/>
                <w:bCs/>
                <w:sz w:val="20"/>
                <w:szCs w:val="20"/>
              </w:rPr>
              <w:t>)</w:t>
            </w:r>
          </w:p>
        </w:tc>
      </w:tr>
      <w:tr w:rsidR="00586E5B" w:rsidRPr="00581107" w14:paraId="518327B5" w14:textId="77777777" w:rsidTr="001E3420">
        <w:tc>
          <w:tcPr>
            <w:tcW w:w="1276" w:type="dxa"/>
          </w:tcPr>
          <w:p w14:paraId="54432A39" w14:textId="77777777" w:rsidR="00586E5B" w:rsidRPr="00581107" w:rsidRDefault="00586E5B" w:rsidP="001E3420">
            <w:pPr>
              <w:spacing w:line="276" w:lineRule="auto"/>
              <w:jc w:val="both"/>
              <w:rPr>
                <w:rFonts w:eastAsiaTheme="minorEastAsia"/>
                <w:sz w:val="20"/>
                <w:szCs w:val="20"/>
              </w:rPr>
            </w:pPr>
            <w:proofErr w:type="spellStart"/>
            <w:r w:rsidRPr="00581107">
              <w:rPr>
                <w:rFonts w:eastAsiaTheme="minorEastAsia"/>
                <w:sz w:val="20"/>
                <w:szCs w:val="20"/>
              </w:rPr>
              <w:t>RoRo</w:t>
            </w:r>
            <w:proofErr w:type="spellEnd"/>
          </w:p>
        </w:tc>
        <w:tc>
          <w:tcPr>
            <w:tcW w:w="2835" w:type="dxa"/>
          </w:tcPr>
          <w:p w14:paraId="2FB7B0AA" w14:textId="77777777" w:rsidR="00586E5B" w:rsidRPr="00581107" w:rsidRDefault="00586E5B" w:rsidP="001E3420">
            <w:pPr>
              <w:spacing w:line="276" w:lineRule="auto"/>
              <w:jc w:val="both"/>
              <w:rPr>
                <w:rFonts w:eastAsiaTheme="minorEastAsia"/>
                <w:sz w:val="20"/>
                <w:szCs w:val="20"/>
              </w:rPr>
            </w:pPr>
            <w:r w:rsidRPr="00581107">
              <w:rPr>
                <w:rFonts w:eastAsiaTheme="minorEastAsia"/>
                <w:sz w:val="20"/>
                <w:szCs w:val="20"/>
              </w:rPr>
              <w:t>-</w:t>
            </w:r>
          </w:p>
        </w:tc>
        <w:tc>
          <w:tcPr>
            <w:tcW w:w="2977" w:type="dxa"/>
          </w:tcPr>
          <w:p w14:paraId="35012913" w14:textId="77777777" w:rsidR="00586E5B" w:rsidRPr="00581107" w:rsidRDefault="00586E5B" w:rsidP="001E3420">
            <w:pPr>
              <w:spacing w:line="276" w:lineRule="auto"/>
              <w:jc w:val="both"/>
              <w:rPr>
                <w:rFonts w:eastAsiaTheme="minorEastAsia"/>
                <w:sz w:val="20"/>
                <w:szCs w:val="20"/>
              </w:rPr>
            </w:pPr>
            <w:r w:rsidRPr="00581107">
              <w:rPr>
                <w:rFonts w:eastAsiaTheme="minorEastAsia"/>
                <w:sz w:val="20"/>
                <w:szCs w:val="20"/>
              </w:rPr>
              <w:t xml:space="preserve">4.1 (1.5 - 9.7) </w:t>
            </w:r>
          </w:p>
        </w:tc>
        <w:tc>
          <w:tcPr>
            <w:tcW w:w="2977" w:type="dxa"/>
          </w:tcPr>
          <w:p w14:paraId="0891840A" w14:textId="72ABD810" w:rsidR="00586E5B" w:rsidRPr="00581107" w:rsidRDefault="00586E5B" w:rsidP="001E3420">
            <w:pPr>
              <w:spacing w:line="276" w:lineRule="auto"/>
              <w:jc w:val="both"/>
              <w:rPr>
                <w:rFonts w:eastAsiaTheme="minorEastAsia"/>
                <w:sz w:val="20"/>
                <w:szCs w:val="20"/>
              </w:rPr>
            </w:pPr>
            <w:r>
              <w:rPr>
                <w:rFonts w:eastAsiaTheme="minorEastAsia"/>
                <w:sz w:val="20"/>
                <w:szCs w:val="20"/>
              </w:rPr>
              <w:t>2 (Hamburg Port Authority, 2017)</w:t>
            </w:r>
            <w:r w:rsidR="0015102C">
              <w:rPr>
                <w:rFonts w:eastAsiaTheme="minorEastAsia"/>
                <w:sz w:val="20"/>
                <w:szCs w:val="20"/>
              </w:rPr>
              <w:fldChar w:fldCharType="begin" w:fldLock="1"/>
            </w:r>
            <w:r w:rsidR="008A5081">
              <w:rPr>
                <w:rFonts w:eastAsiaTheme="minorEastAsia"/>
                <w:sz w:val="20"/>
                <w:szCs w:val="20"/>
              </w:rPr>
              <w:instrText>ADDIN CSL_CITATION {"citationItems":[{"id":"ITEM-1","itemData":{"author":[{"dropping-particle":"","family":"Hamburg Port Authority","given":"","non-dropping-particle":"","parse-names":false,"suffix":""}],"id":"ITEM-1","issued":{"date-parts":[["2017"]]},"publisher-place":"Hamburg","title":"Optimized Modern Multi-Purpose Terminals","type":"report"},"uris":["http://www.mendeley.com/documents/?uuid=e7a0cb89-72ad-430b-8870-20d4fec9e897"]}],"mendeley":{"formattedCitation":"&lt;sup&gt;8&lt;/sup&gt;","plainTextFormattedCitation":"8","previouslyFormattedCitation":"&lt;sup&gt;8&lt;/sup&gt;"},"properties":{"noteIndex":0},"schema":"https://github.com/citation-style-language/schema/raw/master/csl-citation.json"}</w:instrText>
            </w:r>
            <w:r w:rsidR="0015102C">
              <w:rPr>
                <w:rFonts w:eastAsiaTheme="minorEastAsia"/>
                <w:sz w:val="20"/>
                <w:szCs w:val="20"/>
              </w:rPr>
              <w:fldChar w:fldCharType="separate"/>
            </w:r>
            <w:r w:rsidR="008A5081" w:rsidRPr="008A5081">
              <w:rPr>
                <w:rFonts w:eastAsiaTheme="minorEastAsia"/>
                <w:noProof/>
                <w:sz w:val="20"/>
                <w:szCs w:val="20"/>
                <w:vertAlign w:val="superscript"/>
              </w:rPr>
              <w:t>8</w:t>
            </w:r>
            <w:r w:rsidR="0015102C">
              <w:rPr>
                <w:rFonts w:eastAsiaTheme="minorEastAsia"/>
                <w:sz w:val="20"/>
                <w:szCs w:val="20"/>
              </w:rPr>
              <w:fldChar w:fldCharType="end"/>
            </w:r>
          </w:p>
        </w:tc>
      </w:tr>
      <w:tr w:rsidR="00586E5B" w:rsidRPr="00581107" w14:paraId="2B9A9B38" w14:textId="77777777" w:rsidTr="001E3420">
        <w:tc>
          <w:tcPr>
            <w:tcW w:w="1276" w:type="dxa"/>
          </w:tcPr>
          <w:p w14:paraId="2F972DCF" w14:textId="77777777" w:rsidR="00586E5B" w:rsidRPr="00581107" w:rsidRDefault="00586E5B" w:rsidP="001E3420">
            <w:pPr>
              <w:spacing w:line="276" w:lineRule="auto"/>
              <w:jc w:val="both"/>
              <w:rPr>
                <w:rFonts w:eastAsiaTheme="minorEastAsia"/>
                <w:sz w:val="20"/>
                <w:szCs w:val="20"/>
              </w:rPr>
            </w:pPr>
            <w:r w:rsidRPr="00581107">
              <w:rPr>
                <w:rFonts w:eastAsiaTheme="minorEastAsia"/>
                <w:sz w:val="20"/>
                <w:szCs w:val="20"/>
              </w:rPr>
              <w:t>General Cargo</w:t>
            </w:r>
          </w:p>
        </w:tc>
        <w:tc>
          <w:tcPr>
            <w:tcW w:w="2835" w:type="dxa"/>
          </w:tcPr>
          <w:p w14:paraId="55C53CFC" w14:textId="77777777" w:rsidR="00586E5B" w:rsidRPr="00581107" w:rsidRDefault="00586E5B" w:rsidP="001E3420">
            <w:pPr>
              <w:spacing w:line="276" w:lineRule="auto"/>
              <w:jc w:val="both"/>
              <w:rPr>
                <w:rFonts w:eastAsiaTheme="minorEastAsia"/>
                <w:sz w:val="20"/>
                <w:szCs w:val="20"/>
              </w:rPr>
            </w:pPr>
            <w:r w:rsidRPr="00581107">
              <w:rPr>
                <w:rFonts w:eastAsiaTheme="minorEastAsia"/>
                <w:sz w:val="20"/>
                <w:szCs w:val="20"/>
              </w:rPr>
              <w:t>7.5 (4.7 – 11.6)</w:t>
            </w:r>
          </w:p>
        </w:tc>
        <w:tc>
          <w:tcPr>
            <w:tcW w:w="2977" w:type="dxa"/>
          </w:tcPr>
          <w:p w14:paraId="0AC160C6" w14:textId="77777777" w:rsidR="00586E5B" w:rsidRPr="00581107" w:rsidRDefault="00586E5B" w:rsidP="001E3420">
            <w:pPr>
              <w:spacing w:line="276" w:lineRule="auto"/>
              <w:jc w:val="both"/>
              <w:rPr>
                <w:rFonts w:eastAsiaTheme="minorEastAsia"/>
                <w:sz w:val="20"/>
                <w:szCs w:val="20"/>
              </w:rPr>
            </w:pPr>
            <w:r w:rsidRPr="00581107">
              <w:rPr>
                <w:rFonts w:eastAsiaTheme="minorEastAsia"/>
                <w:sz w:val="20"/>
                <w:szCs w:val="20"/>
              </w:rPr>
              <w:t>9.44</w:t>
            </w:r>
            <w:r>
              <w:rPr>
                <w:rFonts w:eastAsiaTheme="minorEastAsia"/>
                <w:sz w:val="20"/>
                <w:szCs w:val="20"/>
              </w:rPr>
              <w:t xml:space="preserve"> </w:t>
            </w:r>
            <w:r w:rsidRPr="00581107">
              <w:rPr>
                <w:rFonts w:eastAsiaTheme="minorEastAsia"/>
                <w:sz w:val="20"/>
                <w:szCs w:val="20"/>
              </w:rPr>
              <w:t>(3.3 – 15.6)</w:t>
            </w:r>
          </w:p>
        </w:tc>
        <w:tc>
          <w:tcPr>
            <w:tcW w:w="2977" w:type="dxa"/>
          </w:tcPr>
          <w:p w14:paraId="37AA3B83" w14:textId="0A23E120" w:rsidR="00586E5B" w:rsidRDefault="00586E5B" w:rsidP="001E3420">
            <w:pPr>
              <w:spacing w:line="276" w:lineRule="auto"/>
              <w:jc w:val="both"/>
              <w:rPr>
                <w:rFonts w:eastAsiaTheme="minorEastAsia"/>
                <w:sz w:val="20"/>
                <w:szCs w:val="20"/>
              </w:rPr>
            </w:pPr>
            <w:r w:rsidRPr="00581107">
              <w:rPr>
                <w:rFonts w:eastAsiaTheme="minorEastAsia"/>
                <w:sz w:val="20"/>
                <w:szCs w:val="20"/>
              </w:rPr>
              <w:t>4 - 6 (</w:t>
            </w:r>
            <w:proofErr w:type="spellStart"/>
            <w:r w:rsidRPr="00581107">
              <w:rPr>
                <w:rFonts w:eastAsiaTheme="minorEastAsia"/>
                <w:sz w:val="20"/>
                <w:szCs w:val="20"/>
              </w:rPr>
              <w:t>Ligteringen</w:t>
            </w:r>
            <w:proofErr w:type="spellEnd"/>
            <w:r w:rsidRPr="00581107">
              <w:rPr>
                <w:rFonts w:eastAsiaTheme="minorEastAsia"/>
                <w:sz w:val="20"/>
                <w:szCs w:val="20"/>
              </w:rPr>
              <w:t xml:space="preserve"> and </w:t>
            </w:r>
            <w:proofErr w:type="spellStart"/>
            <w:r w:rsidRPr="00581107">
              <w:rPr>
                <w:rFonts w:eastAsiaTheme="minorEastAsia"/>
                <w:sz w:val="20"/>
                <w:szCs w:val="20"/>
              </w:rPr>
              <w:t>Velsink</w:t>
            </w:r>
            <w:proofErr w:type="spellEnd"/>
            <w:r w:rsidRPr="00581107">
              <w:rPr>
                <w:rFonts w:eastAsiaTheme="minorEastAsia"/>
                <w:sz w:val="20"/>
                <w:szCs w:val="20"/>
              </w:rPr>
              <w:t>, 2012)</w:t>
            </w:r>
            <w:r w:rsidR="0015102C">
              <w:rPr>
                <w:rFonts w:eastAsiaTheme="minorEastAsia"/>
                <w:sz w:val="20"/>
                <w:szCs w:val="20"/>
              </w:rPr>
              <w:fldChar w:fldCharType="begin" w:fldLock="1"/>
            </w:r>
            <w:r w:rsidR="00545404">
              <w:rPr>
                <w:rFonts w:eastAsiaTheme="minorEastAsia"/>
                <w:sz w:val="20"/>
                <w:szCs w:val="20"/>
              </w:rPr>
              <w:instrText>ADDIN CSL_CITATION {"citationItems":[{"id":"ITEM-1","itemData":{"ISBN":"9789065623041","author":[{"dropping-particle":"","family":"Ligteringen","given":"H.","non-dropping-particle":"","parse-names":false,"suffix":""},{"dropping-particle":"","family":"Velsink","given":"H.","non-dropping-particle":"","parse-names":false,"suffix":""}],"id":"ITEM-1","issued":{"date-parts":[["2012"]]},"publisher":"Delft University Press","publisher-place":"Delft","title":"Ports and Terminals","type":"book"},"uris":["http://www.mendeley.com/documents/?uuid=2e4ffd00-3041-4ce1-a3b5-573fd9f9f93b"]}],"mendeley":{"formattedCitation":"&lt;sup&gt;21&lt;/sup&gt;","plainTextFormattedCitation":"21","previouslyFormattedCitation":"&lt;sup&gt;22&lt;/sup&gt;"},"properties":{"noteIndex":0},"schema":"https://github.com/citation-style-language/schema/raw/master/csl-citation.json"}</w:instrText>
            </w:r>
            <w:r w:rsidR="0015102C">
              <w:rPr>
                <w:rFonts w:eastAsiaTheme="minorEastAsia"/>
                <w:sz w:val="20"/>
                <w:szCs w:val="20"/>
              </w:rPr>
              <w:fldChar w:fldCharType="separate"/>
            </w:r>
            <w:r w:rsidR="00545404" w:rsidRPr="00545404">
              <w:rPr>
                <w:rFonts w:eastAsiaTheme="minorEastAsia"/>
                <w:noProof/>
                <w:sz w:val="20"/>
                <w:szCs w:val="20"/>
                <w:vertAlign w:val="superscript"/>
              </w:rPr>
              <w:t>21</w:t>
            </w:r>
            <w:r w:rsidR="0015102C">
              <w:rPr>
                <w:rFonts w:eastAsiaTheme="minorEastAsia"/>
                <w:sz w:val="20"/>
                <w:szCs w:val="20"/>
              </w:rPr>
              <w:fldChar w:fldCharType="end"/>
            </w:r>
          </w:p>
          <w:p w14:paraId="18B9D12E" w14:textId="729F32EF" w:rsidR="00586E5B" w:rsidRPr="00581107" w:rsidRDefault="00586E5B" w:rsidP="001E3420">
            <w:pPr>
              <w:spacing w:line="276" w:lineRule="auto"/>
              <w:jc w:val="both"/>
              <w:rPr>
                <w:rFonts w:eastAsiaTheme="minorEastAsia"/>
                <w:sz w:val="20"/>
                <w:szCs w:val="20"/>
              </w:rPr>
            </w:pPr>
            <w:r>
              <w:rPr>
                <w:rFonts w:eastAsiaTheme="minorEastAsia"/>
                <w:sz w:val="20"/>
                <w:szCs w:val="20"/>
              </w:rPr>
              <w:t>2.6 – 11.6 (Hamburg Port Authority, 2017)</w:t>
            </w:r>
            <w:r w:rsidR="0015102C">
              <w:rPr>
                <w:rFonts w:eastAsiaTheme="minorEastAsia"/>
                <w:sz w:val="20"/>
                <w:szCs w:val="20"/>
              </w:rPr>
              <w:t xml:space="preserve"> </w:t>
            </w:r>
            <w:r w:rsidR="0015102C">
              <w:rPr>
                <w:rFonts w:eastAsiaTheme="minorEastAsia"/>
                <w:sz w:val="20"/>
                <w:szCs w:val="20"/>
              </w:rPr>
              <w:fldChar w:fldCharType="begin" w:fldLock="1"/>
            </w:r>
            <w:r w:rsidR="008A5081">
              <w:rPr>
                <w:rFonts w:eastAsiaTheme="minorEastAsia"/>
                <w:sz w:val="20"/>
                <w:szCs w:val="20"/>
              </w:rPr>
              <w:instrText>ADDIN CSL_CITATION {"citationItems":[{"id":"ITEM-1","itemData":{"author":[{"dropping-particle":"","family":"Hamburg Port Authority","given":"","non-dropping-particle":"","parse-names":false,"suffix":""}],"id":"ITEM-1","issued":{"date-parts":[["2017"]]},"publisher-place":"Hamburg","title":"Optimized Modern Multi-Purpose Terminals","type":"report"},"uris":["http://www.mendeley.com/documents/?uuid=e7a0cb89-72ad-430b-8870-20d4fec9e897"]}],"mendeley":{"formattedCitation":"&lt;sup&gt;8&lt;/sup&gt;","plainTextFormattedCitation":"8","previouslyFormattedCitation":"&lt;sup&gt;8&lt;/sup&gt;"},"properties":{"noteIndex":0},"schema":"https://github.com/citation-style-language/schema/raw/master/csl-citation.json"}</w:instrText>
            </w:r>
            <w:r w:rsidR="0015102C">
              <w:rPr>
                <w:rFonts w:eastAsiaTheme="minorEastAsia"/>
                <w:sz w:val="20"/>
                <w:szCs w:val="20"/>
              </w:rPr>
              <w:fldChar w:fldCharType="separate"/>
            </w:r>
            <w:r w:rsidR="008A5081" w:rsidRPr="008A5081">
              <w:rPr>
                <w:rFonts w:eastAsiaTheme="minorEastAsia"/>
                <w:noProof/>
                <w:sz w:val="20"/>
                <w:szCs w:val="20"/>
                <w:vertAlign w:val="superscript"/>
              </w:rPr>
              <w:t>8</w:t>
            </w:r>
            <w:r w:rsidR="0015102C">
              <w:rPr>
                <w:rFonts w:eastAsiaTheme="minorEastAsia"/>
                <w:sz w:val="20"/>
                <w:szCs w:val="20"/>
              </w:rPr>
              <w:fldChar w:fldCharType="end"/>
            </w:r>
          </w:p>
        </w:tc>
      </w:tr>
      <w:tr w:rsidR="00586E5B" w:rsidRPr="00581107" w14:paraId="114958F0" w14:textId="77777777" w:rsidTr="001E3420">
        <w:tc>
          <w:tcPr>
            <w:tcW w:w="1276" w:type="dxa"/>
          </w:tcPr>
          <w:p w14:paraId="65416E16" w14:textId="77777777" w:rsidR="00586E5B" w:rsidRPr="00581107" w:rsidRDefault="00586E5B" w:rsidP="001E3420">
            <w:pPr>
              <w:spacing w:line="276" w:lineRule="auto"/>
              <w:jc w:val="both"/>
              <w:rPr>
                <w:rFonts w:eastAsiaTheme="minorEastAsia"/>
                <w:sz w:val="20"/>
                <w:szCs w:val="20"/>
              </w:rPr>
            </w:pPr>
            <w:r w:rsidRPr="00581107">
              <w:rPr>
                <w:rFonts w:eastAsiaTheme="minorEastAsia"/>
                <w:sz w:val="20"/>
                <w:szCs w:val="20"/>
              </w:rPr>
              <w:t>Liquid</w:t>
            </w:r>
          </w:p>
        </w:tc>
        <w:tc>
          <w:tcPr>
            <w:tcW w:w="2835" w:type="dxa"/>
          </w:tcPr>
          <w:p w14:paraId="1A292B6B" w14:textId="77777777" w:rsidR="00586E5B" w:rsidRPr="00581107" w:rsidRDefault="00586E5B" w:rsidP="001E3420">
            <w:pPr>
              <w:spacing w:line="276" w:lineRule="auto"/>
              <w:jc w:val="both"/>
              <w:rPr>
                <w:rFonts w:eastAsiaTheme="minorEastAsia"/>
                <w:sz w:val="20"/>
                <w:szCs w:val="20"/>
              </w:rPr>
            </w:pPr>
            <w:r w:rsidRPr="00581107">
              <w:rPr>
                <w:rFonts w:eastAsiaTheme="minorEastAsia"/>
                <w:sz w:val="20"/>
                <w:szCs w:val="20"/>
              </w:rPr>
              <w:t>33.1 (20.8 – 53.7)</w:t>
            </w:r>
          </w:p>
        </w:tc>
        <w:tc>
          <w:tcPr>
            <w:tcW w:w="2977" w:type="dxa"/>
          </w:tcPr>
          <w:p w14:paraId="38737127" w14:textId="77777777" w:rsidR="00586E5B" w:rsidRPr="00581107" w:rsidRDefault="00586E5B" w:rsidP="001E3420">
            <w:pPr>
              <w:spacing w:line="276" w:lineRule="auto"/>
              <w:jc w:val="both"/>
              <w:rPr>
                <w:rFonts w:eastAsiaTheme="minorEastAsia"/>
                <w:sz w:val="20"/>
                <w:szCs w:val="20"/>
              </w:rPr>
            </w:pPr>
            <w:r w:rsidRPr="00581107">
              <w:rPr>
                <w:rFonts w:eastAsiaTheme="minorEastAsia"/>
                <w:sz w:val="20"/>
                <w:szCs w:val="20"/>
              </w:rPr>
              <w:t>14.4 (2.1 – 23.2)</w:t>
            </w:r>
          </w:p>
        </w:tc>
        <w:tc>
          <w:tcPr>
            <w:tcW w:w="2977" w:type="dxa"/>
          </w:tcPr>
          <w:p w14:paraId="3FC8B15F" w14:textId="4D83A2CA" w:rsidR="00586E5B" w:rsidRPr="00581107" w:rsidRDefault="00586E5B" w:rsidP="001E3420">
            <w:pPr>
              <w:spacing w:line="276" w:lineRule="auto"/>
              <w:jc w:val="both"/>
              <w:rPr>
                <w:rFonts w:eastAsiaTheme="minorEastAsia"/>
                <w:sz w:val="20"/>
                <w:szCs w:val="20"/>
              </w:rPr>
            </w:pPr>
            <w:r w:rsidRPr="00581107">
              <w:rPr>
                <w:rFonts w:eastAsiaTheme="minorEastAsia"/>
                <w:sz w:val="20"/>
                <w:szCs w:val="20"/>
              </w:rPr>
              <w:t>Oil terminals ha</w:t>
            </w:r>
            <w:r>
              <w:rPr>
                <w:rFonts w:eastAsiaTheme="minorEastAsia"/>
                <w:sz w:val="20"/>
                <w:szCs w:val="20"/>
              </w:rPr>
              <w:t>ve</w:t>
            </w:r>
            <w:r w:rsidRPr="00581107">
              <w:rPr>
                <w:rFonts w:eastAsiaTheme="minorEastAsia"/>
                <w:sz w:val="20"/>
                <w:szCs w:val="20"/>
              </w:rPr>
              <w:t xml:space="preserve"> around 40 – 50, while a LNG terminal has around 13 to 17 (</w:t>
            </w:r>
            <w:proofErr w:type="spellStart"/>
            <w:r w:rsidRPr="00581107">
              <w:rPr>
                <w:rFonts w:eastAsiaTheme="minorEastAsia"/>
                <w:sz w:val="20"/>
                <w:szCs w:val="20"/>
              </w:rPr>
              <w:t>Ligteringen</w:t>
            </w:r>
            <w:proofErr w:type="spellEnd"/>
            <w:r w:rsidRPr="00581107">
              <w:rPr>
                <w:rFonts w:eastAsiaTheme="minorEastAsia"/>
                <w:sz w:val="20"/>
                <w:szCs w:val="20"/>
              </w:rPr>
              <w:t xml:space="preserve"> and </w:t>
            </w:r>
            <w:proofErr w:type="spellStart"/>
            <w:r w:rsidRPr="00581107">
              <w:rPr>
                <w:rFonts w:eastAsiaTheme="minorEastAsia"/>
                <w:sz w:val="20"/>
                <w:szCs w:val="20"/>
              </w:rPr>
              <w:t>Velsink</w:t>
            </w:r>
            <w:proofErr w:type="spellEnd"/>
            <w:r w:rsidRPr="00581107">
              <w:rPr>
                <w:rFonts w:eastAsiaTheme="minorEastAsia"/>
                <w:sz w:val="20"/>
                <w:szCs w:val="20"/>
              </w:rPr>
              <w:t>, 2012)</w:t>
            </w:r>
            <w:r w:rsidR="0015102C">
              <w:rPr>
                <w:rFonts w:eastAsiaTheme="minorEastAsia"/>
                <w:sz w:val="20"/>
                <w:szCs w:val="20"/>
              </w:rPr>
              <w:fldChar w:fldCharType="begin" w:fldLock="1"/>
            </w:r>
            <w:r w:rsidR="00545404">
              <w:rPr>
                <w:rFonts w:eastAsiaTheme="minorEastAsia"/>
                <w:sz w:val="20"/>
                <w:szCs w:val="20"/>
              </w:rPr>
              <w:instrText>ADDIN CSL_CITATION {"citationItems":[{"id":"ITEM-1","itemData":{"ISBN":"9789065623041","author":[{"dropping-particle":"","family":"Ligteringen","given":"H.","non-dropping-particle":"","parse-names":false,"suffix":""},{"dropping-particle":"","family":"Velsink","given":"H.","non-dropping-particle":"","parse-names":false,"suffix":""}],"id":"ITEM-1","issued":{"date-parts":[["2012"]]},"publisher":"Delft University Press","publisher-place":"Delft","title":"Ports and Terminals","type":"book"},"uris":["http://www.mendeley.com/documents/?uuid=2e4ffd00-3041-4ce1-a3b5-573fd9f9f93b"]}],"mendeley":{"formattedCitation":"&lt;sup&gt;21&lt;/sup&gt;","plainTextFormattedCitation":"21","previouslyFormattedCitation":"&lt;sup&gt;22&lt;/sup&gt;"},"properties":{"noteIndex":0},"schema":"https://github.com/citation-style-language/schema/raw/master/csl-citation.json"}</w:instrText>
            </w:r>
            <w:r w:rsidR="0015102C">
              <w:rPr>
                <w:rFonts w:eastAsiaTheme="minorEastAsia"/>
                <w:sz w:val="20"/>
                <w:szCs w:val="20"/>
              </w:rPr>
              <w:fldChar w:fldCharType="separate"/>
            </w:r>
            <w:r w:rsidR="00545404" w:rsidRPr="00545404">
              <w:rPr>
                <w:rFonts w:eastAsiaTheme="minorEastAsia"/>
                <w:noProof/>
                <w:sz w:val="20"/>
                <w:szCs w:val="20"/>
                <w:vertAlign w:val="superscript"/>
              </w:rPr>
              <w:t>21</w:t>
            </w:r>
            <w:r w:rsidR="0015102C">
              <w:rPr>
                <w:rFonts w:eastAsiaTheme="minorEastAsia"/>
                <w:sz w:val="20"/>
                <w:szCs w:val="20"/>
              </w:rPr>
              <w:fldChar w:fldCharType="end"/>
            </w:r>
          </w:p>
        </w:tc>
      </w:tr>
      <w:tr w:rsidR="00586E5B" w:rsidRPr="00581107" w14:paraId="54E8B354" w14:textId="77777777" w:rsidTr="001E3420">
        <w:tc>
          <w:tcPr>
            <w:tcW w:w="1276" w:type="dxa"/>
          </w:tcPr>
          <w:p w14:paraId="45E5B758" w14:textId="77777777" w:rsidR="00586E5B" w:rsidRPr="00581107" w:rsidRDefault="00586E5B" w:rsidP="001E3420">
            <w:pPr>
              <w:spacing w:line="276" w:lineRule="auto"/>
              <w:jc w:val="both"/>
              <w:rPr>
                <w:rFonts w:eastAsiaTheme="minorEastAsia"/>
                <w:sz w:val="20"/>
                <w:szCs w:val="20"/>
              </w:rPr>
            </w:pPr>
            <w:r w:rsidRPr="00581107">
              <w:rPr>
                <w:rFonts w:eastAsiaTheme="minorEastAsia"/>
                <w:sz w:val="20"/>
                <w:szCs w:val="20"/>
              </w:rPr>
              <w:t>Dry bulk</w:t>
            </w:r>
          </w:p>
        </w:tc>
        <w:tc>
          <w:tcPr>
            <w:tcW w:w="2835" w:type="dxa"/>
          </w:tcPr>
          <w:p w14:paraId="18B781BD" w14:textId="77777777" w:rsidR="00586E5B" w:rsidRPr="00581107" w:rsidRDefault="00586E5B" w:rsidP="001E3420">
            <w:pPr>
              <w:spacing w:line="276" w:lineRule="auto"/>
              <w:jc w:val="both"/>
              <w:rPr>
                <w:rFonts w:eastAsiaTheme="minorEastAsia"/>
                <w:sz w:val="20"/>
                <w:szCs w:val="20"/>
              </w:rPr>
            </w:pPr>
            <w:r w:rsidRPr="00581107">
              <w:rPr>
                <w:sz w:val="20"/>
                <w:szCs w:val="20"/>
              </w:rPr>
              <w:t>19.4 (11.0 – 35.1) bulk in silos and  17.7 (9.8 – 34.3) bulk in open storage</w:t>
            </w:r>
          </w:p>
        </w:tc>
        <w:tc>
          <w:tcPr>
            <w:tcW w:w="2977" w:type="dxa"/>
          </w:tcPr>
          <w:p w14:paraId="52F8F02C" w14:textId="77777777" w:rsidR="00586E5B" w:rsidRPr="00581107" w:rsidRDefault="00586E5B" w:rsidP="001E3420">
            <w:pPr>
              <w:spacing w:line="276" w:lineRule="auto"/>
              <w:jc w:val="both"/>
              <w:rPr>
                <w:rFonts w:eastAsiaTheme="minorEastAsia"/>
                <w:sz w:val="20"/>
                <w:szCs w:val="20"/>
              </w:rPr>
            </w:pPr>
            <w:r w:rsidRPr="00581107">
              <w:rPr>
                <w:rFonts w:eastAsiaTheme="minorEastAsia"/>
                <w:sz w:val="20"/>
                <w:szCs w:val="20"/>
              </w:rPr>
              <w:t>14.2 (4.2 – 31.4) for bulk overall, 36.5 (12.9 – 56.9) for bulk in silos and 18.9 (10.6 – 33.9) for bulk in open storage</w:t>
            </w:r>
          </w:p>
        </w:tc>
        <w:tc>
          <w:tcPr>
            <w:tcW w:w="2977" w:type="dxa"/>
          </w:tcPr>
          <w:p w14:paraId="3322B0E3" w14:textId="69A30D7A" w:rsidR="00586E5B" w:rsidRPr="00581107" w:rsidRDefault="00586E5B" w:rsidP="001E3420">
            <w:pPr>
              <w:spacing w:line="276" w:lineRule="auto"/>
              <w:jc w:val="both"/>
              <w:rPr>
                <w:rFonts w:eastAsiaTheme="minorEastAsia"/>
                <w:sz w:val="20"/>
                <w:szCs w:val="20"/>
              </w:rPr>
            </w:pPr>
            <w:r w:rsidRPr="00581107">
              <w:rPr>
                <w:rFonts w:eastAsiaTheme="minorEastAsia"/>
                <w:sz w:val="20"/>
                <w:szCs w:val="20"/>
              </w:rPr>
              <w:t>Dry bulk terminals for coal have around 7 – 38 for import terminals and 20 – 80 for export terminals (Kox 201</w:t>
            </w:r>
            <w:r w:rsidR="0015102C">
              <w:rPr>
                <w:rFonts w:eastAsiaTheme="minorEastAsia"/>
                <w:sz w:val="20"/>
                <w:szCs w:val="20"/>
              </w:rPr>
              <w:t>6</w:t>
            </w:r>
            <w:r w:rsidRPr="00581107">
              <w:rPr>
                <w:rFonts w:eastAsiaTheme="minorEastAsia"/>
                <w:sz w:val="20"/>
                <w:szCs w:val="20"/>
              </w:rPr>
              <w:t>)</w:t>
            </w:r>
            <w:r w:rsidR="0015102C">
              <w:rPr>
                <w:rFonts w:eastAsiaTheme="minorEastAsia"/>
                <w:sz w:val="20"/>
                <w:szCs w:val="20"/>
              </w:rPr>
              <w:fldChar w:fldCharType="begin" w:fldLock="1"/>
            </w:r>
            <w:r w:rsidR="008A5081">
              <w:rPr>
                <w:rFonts w:eastAsiaTheme="minorEastAsia"/>
                <w:sz w:val="20"/>
                <w:szCs w:val="20"/>
              </w:rPr>
              <w:instrText>ADDIN CSL_CITATION {"citationItems":[{"id":"ITEM-1","itemData":{"author":[{"dropping-particle":"","family":"Kox","given":"S.A.J.","non-dropping-particle":"","parse-names":false,"suffix":""}],"id":"ITEM-1","issued":{"date-parts":[["2016"]]},"page":"203","title":"A Tool for Determining Marine Terminal Dimensions and Costs in a Project's Feasibility Phase.","type":"article-journal"},"uris":["http://www.mendeley.com/documents/?uuid=5d51f26b-6431-4721-8b88-3f04a222e1cf"]}],"mendeley":{"formattedCitation":"&lt;sup&gt;4&lt;/sup&gt;","plainTextFormattedCitation":"4","previouslyFormattedCitation":"&lt;sup&gt;4&lt;/sup&gt;"},"properties":{"noteIndex":0},"schema":"https://github.com/citation-style-language/schema/raw/master/csl-citation.json"}</w:instrText>
            </w:r>
            <w:r w:rsidR="0015102C">
              <w:rPr>
                <w:rFonts w:eastAsiaTheme="minorEastAsia"/>
                <w:sz w:val="20"/>
                <w:szCs w:val="20"/>
              </w:rPr>
              <w:fldChar w:fldCharType="separate"/>
            </w:r>
            <w:r w:rsidR="008A5081" w:rsidRPr="008A5081">
              <w:rPr>
                <w:rFonts w:eastAsiaTheme="minorEastAsia"/>
                <w:noProof/>
                <w:sz w:val="20"/>
                <w:szCs w:val="20"/>
                <w:vertAlign w:val="superscript"/>
              </w:rPr>
              <w:t>4</w:t>
            </w:r>
            <w:r w:rsidR="0015102C">
              <w:rPr>
                <w:rFonts w:eastAsiaTheme="minorEastAsia"/>
                <w:sz w:val="20"/>
                <w:szCs w:val="20"/>
              </w:rPr>
              <w:fldChar w:fldCharType="end"/>
            </w:r>
          </w:p>
        </w:tc>
      </w:tr>
      <w:tr w:rsidR="00586E5B" w:rsidRPr="00855AFF" w14:paraId="4F909646" w14:textId="77777777" w:rsidTr="001E3420">
        <w:trPr>
          <w:trHeight w:val="1800"/>
        </w:trPr>
        <w:tc>
          <w:tcPr>
            <w:tcW w:w="1276" w:type="dxa"/>
          </w:tcPr>
          <w:p w14:paraId="7E348690" w14:textId="77777777" w:rsidR="00586E5B" w:rsidRPr="00581107" w:rsidRDefault="00586E5B" w:rsidP="001E3420">
            <w:pPr>
              <w:spacing w:line="276" w:lineRule="auto"/>
              <w:jc w:val="both"/>
              <w:rPr>
                <w:rFonts w:eastAsiaTheme="minorEastAsia"/>
                <w:sz w:val="20"/>
                <w:szCs w:val="20"/>
              </w:rPr>
            </w:pPr>
            <w:r w:rsidRPr="00581107">
              <w:rPr>
                <w:rFonts w:eastAsiaTheme="minorEastAsia"/>
                <w:sz w:val="20"/>
                <w:szCs w:val="20"/>
              </w:rPr>
              <w:t>Container</w:t>
            </w:r>
          </w:p>
        </w:tc>
        <w:tc>
          <w:tcPr>
            <w:tcW w:w="2835" w:type="dxa"/>
          </w:tcPr>
          <w:p w14:paraId="401B357A" w14:textId="77777777" w:rsidR="00586E5B" w:rsidRPr="00581107" w:rsidRDefault="00586E5B" w:rsidP="001E3420">
            <w:pPr>
              <w:spacing w:line="276" w:lineRule="auto"/>
              <w:jc w:val="both"/>
              <w:rPr>
                <w:rFonts w:eastAsiaTheme="minorEastAsia"/>
                <w:sz w:val="20"/>
                <w:szCs w:val="20"/>
              </w:rPr>
            </w:pPr>
            <w:r w:rsidRPr="00581107">
              <w:rPr>
                <w:rFonts w:eastAsiaTheme="minorEastAsia"/>
                <w:sz w:val="20"/>
                <w:szCs w:val="20"/>
              </w:rPr>
              <w:t xml:space="preserve">17.3 (11.0 – 27.0) for RTG, </w:t>
            </w:r>
          </w:p>
          <w:p w14:paraId="6EDF6A33" w14:textId="77777777" w:rsidR="00586E5B" w:rsidRPr="00581107" w:rsidRDefault="00586E5B" w:rsidP="001E3420">
            <w:pPr>
              <w:spacing w:line="276" w:lineRule="auto"/>
              <w:jc w:val="both"/>
              <w:rPr>
                <w:rFonts w:eastAsiaTheme="minorEastAsia"/>
                <w:sz w:val="20"/>
                <w:szCs w:val="20"/>
              </w:rPr>
            </w:pPr>
            <w:r w:rsidRPr="00581107">
              <w:rPr>
                <w:rFonts w:eastAsiaTheme="minorEastAsia"/>
                <w:sz w:val="20"/>
                <w:szCs w:val="20"/>
              </w:rPr>
              <w:t xml:space="preserve">19.8 (13.7 - 29.0) for RMG, </w:t>
            </w:r>
          </w:p>
          <w:p w14:paraId="0BFA216A" w14:textId="77777777" w:rsidR="00586E5B" w:rsidRPr="00581107" w:rsidRDefault="00586E5B" w:rsidP="001E3420">
            <w:pPr>
              <w:spacing w:line="276" w:lineRule="auto"/>
              <w:jc w:val="both"/>
              <w:rPr>
                <w:rFonts w:eastAsiaTheme="minorEastAsia"/>
                <w:sz w:val="20"/>
                <w:szCs w:val="20"/>
              </w:rPr>
            </w:pPr>
            <w:r w:rsidRPr="00581107">
              <w:rPr>
                <w:rFonts w:eastAsiaTheme="minorEastAsia"/>
                <w:sz w:val="20"/>
                <w:szCs w:val="20"/>
              </w:rPr>
              <w:t xml:space="preserve">10.9 (6.9 – 17.1) for straddle carrier, and </w:t>
            </w:r>
          </w:p>
          <w:p w14:paraId="15E08ECA" w14:textId="77777777" w:rsidR="00586E5B" w:rsidRPr="00581107" w:rsidRDefault="00586E5B" w:rsidP="001E3420">
            <w:pPr>
              <w:spacing w:line="276" w:lineRule="auto"/>
              <w:jc w:val="both"/>
              <w:rPr>
                <w:rFonts w:eastAsiaTheme="minorEastAsia"/>
                <w:sz w:val="20"/>
                <w:szCs w:val="20"/>
              </w:rPr>
            </w:pPr>
            <w:r w:rsidRPr="00581107">
              <w:rPr>
                <w:rFonts w:eastAsiaTheme="minorEastAsia"/>
                <w:sz w:val="20"/>
                <w:szCs w:val="20"/>
              </w:rPr>
              <w:t>5.9 (3.7 – 9.1) for reach handlers</w:t>
            </w:r>
          </w:p>
        </w:tc>
        <w:tc>
          <w:tcPr>
            <w:tcW w:w="2977" w:type="dxa"/>
          </w:tcPr>
          <w:p w14:paraId="62D2A676" w14:textId="77777777" w:rsidR="00586E5B" w:rsidRPr="00581107" w:rsidRDefault="00586E5B" w:rsidP="001E3420">
            <w:pPr>
              <w:spacing w:line="276" w:lineRule="auto"/>
              <w:jc w:val="both"/>
              <w:rPr>
                <w:rFonts w:eastAsiaTheme="minorEastAsia"/>
                <w:sz w:val="20"/>
                <w:szCs w:val="20"/>
              </w:rPr>
            </w:pPr>
            <w:r w:rsidRPr="00581107">
              <w:rPr>
                <w:rFonts w:eastAsiaTheme="minorEastAsia"/>
                <w:sz w:val="20"/>
                <w:szCs w:val="20"/>
              </w:rPr>
              <w:t xml:space="preserve">21.0 (12.3 – 29.9) </w:t>
            </w:r>
          </w:p>
        </w:tc>
        <w:tc>
          <w:tcPr>
            <w:tcW w:w="2977" w:type="dxa"/>
          </w:tcPr>
          <w:p w14:paraId="73676F2A" w14:textId="51DAA38E" w:rsidR="00586E5B" w:rsidRPr="00C343F8" w:rsidRDefault="00586E5B" w:rsidP="001E3420">
            <w:pPr>
              <w:spacing w:line="276" w:lineRule="auto"/>
              <w:jc w:val="both"/>
              <w:rPr>
                <w:rFonts w:eastAsiaTheme="minorEastAsia"/>
                <w:sz w:val="20"/>
                <w:szCs w:val="20"/>
                <w:lang w:val="nl-NL"/>
              </w:rPr>
            </w:pPr>
            <w:r w:rsidRPr="00C343F8">
              <w:rPr>
                <w:rFonts w:eastAsiaTheme="minorEastAsia"/>
                <w:sz w:val="20"/>
                <w:szCs w:val="20"/>
                <w:lang w:val="nl-NL"/>
              </w:rPr>
              <w:t>0.7 – 5.7 TEU/</w:t>
            </w:r>
            <w:r>
              <w:rPr>
                <w:rFonts w:eastAsiaTheme="minorEastAsia"/>
                <w:sz w:val="20"/>
                <w:szCs w:val="20"/>
                <w:lang w:val="nl-NL"/>
              </w:rPr>
              <w:t>m</w:t>
            </w:r>
            <w:r w:rsidRPr="00A83C6B">
              <w:rPr>
                <w:rFonts w:eastAsiaTheme="minorEastAsia"/>
                <w:sz w:val="20"/>
                <w:szCs w:val="20"/>
                <w:vertAlign w:val="superscript"/>
                <w:lang w:val="nl-NL"/>
              </w:rPr>
              <w:t>2</w:t>
            </w:r>
            <w:r w:rsidRPr="00C343F8">
              <w:rPr>
                <w:rFonts w:eastAsiaTheme="minorEastAsia"/>
                <w:sz w:val="20"/>
                <w:szCs w:val="20"/>
                <w:lang w:val="nl-NL"/>
              </w:rPr>
              <w:t xml:space="preserve"> (</w:t>
            </w:r>
            <w:proofErr w:type="spellStart"/>
            <w:r w:rsidRPr="00C343F8">
              <w:rPr>
                <w:rFonts w:eastAsiaTheme="minorEastAsia"/>
                <w:sz w:val="20"/>
                <w:szCs w:val="20"/>
                <w:lang w:val="nl-NL"/>
              </w:rPr>
              <w:t>Drewry</w:t>
            </w:r>
            <w:proofErr w:type="spellEnd"/>
            <w:r w:rsidRPr="00C343F8">
              <w:rPr>
                <w:rFonts w:eastAsiaTheme="minorEastAsia"/>
                <w:sz w:val="20"/>
                <w:szCs w:val="20"/>
                <w:lang w:val="nl-NL"/>
              </w:rPr>
              <w:t xml:space="preserve"> 2010)</w:t>
            </w:r>
            <w:r w:rsidR="0015102C">
              <w:rPr>
                <w:rFonts w:eastAsiaTheme="minorEastAsia"/>
                <w:sz w:val="20"/>
                <w:szCs w:val="20"/>
                <w:lang w:val="nl-NL"/>
              </w:rPr>
              <w:fldChar w:fldCharType="begin" w:fldLock="1"/>
            </w:r>
            <w:r w:rsidR="00545404">
              <w:rPr>
                <w:rFonts w:eastAsiaTheme="minorEastAsia"/>
                <w:sz w:val="20"/>
                <w:szCs w:val="20"/>
                <w:lang w:val="nl-NL"/>
              </w:rPr>
              <w:instrText>ADDIN CSL_CITATION {"citationItems":[{"id":"ITEM-1","itemData":{"author":[{"dropping-particle":"","family":"Drewry","given":"","non-dropping-particle":"","parse-names":false,"suffix":""}],"id":"ITEM-1","issued":{"date-parts":[["2010"]]},"title":"Global container terminal operators 2010: Annual review and forecast","type":"report"},"uris":["http://www.mendeley.com/documents/?uuid=79d494f1-e590-4fd1-ad70-3eac80e97a9f"]}],"mendeley":{"formattedCitation":"&lt;sup&gt;13&lt;/sup&gt;","plainTextFormattedCitation":"13","previouslyFormattedCitation":"&lt;sup&gt;14&lt;/sup&gt;"},"properties":{"noteIndex":0},"schema":"https://github.com/citation-style-language/schema/raw/master/csl-citation.json"}</w:instrText>
            </w:r>
            <w:r w:rsidR="0015102C">
              <w:rPr>
                <w:rFonts w:eastAsiaTheme="minorEastAsia"/>
                <w:sz w:val="20"/>
                <w:szCs w:val="20"/>
                <w:lang w:val="nl-NL"/>
              </w:rPr>
              <w:fldChar w:fldCharType="separate"/>
            </w:r>
            <w:r w:rsidR="00545404" w:rsidRPr="00545404">
              <w:rPr>
                <w:rFonts w:eastAsiaTheme="minorEastAsia"/>
                <w:noProof/>
                <w:sz w:val="20"/>
                <w:szCs w:val="20"/>
                <w:vertAlign w:val="superscript"/>
                <w:lang w:val="nl-NL"/>
              </w:rPr>
              <w:t>13</w:t>
            </w:r>
            <w:r w:rsidR="0015102C">
              <w:rPr>
                <w:rFonts w:eastAsiaTheme="minorEastAsia"/>
                <w:sz w:val="20"/>
                <w:szCs w:val="20"/>
                <w:lang w:val="nl-NL"/>
              </w:rPr>
              <w:fldChar w:fldCharType="end"/>
            </w:r>
          </w:p>
          <w:p w14:paraId="622095C4" w14:textId="1BC83CCE" w:rsidR="00586E5B" w:rsidRPr="00C343F8" w:rsidRDefault="00586E5B" w:rsidP="001E3420">
            <w:pPr>
              <w:spacing w:line="276" w:lineRule="auto"/>
              <w:jc w:val="both"/>
              <w:rPr>
                <w:rFonts w:eastAsiaTheme="minorEastAsia"/>
                <w:sz w:val="20"/>
                <w:szCs w:val="20"/>
                <w:lang w:val="nl-NL"/>
              </w:rPr>
            </w:pPr>
            <w:r w:rsidRPr="00C343F8">
              <w:rPr>
                <w:rFonts w:eastAsiaTheme="minorEastAsia"/>
                <w:sz w:val="20"/>
                <w:szCs w:val="20"/>
                <w:lang w:val="nl-NL"/>
              </w:rPr>
              <w:t>0.6 – 1.0 TEU/</w:t>
            </w:r>
            <w:r>
              <w:rPr>
                <w:rFonts w:eastAsiaTheme="minorEastAsia"/>
                <w:sz w:val="20"/>
                <w:szCs w:val="20"/>
                <w:lang w:val="nl-NL"/>
              </w:rPr>
              <w:t>m</w:t>
            </w:r>
            <w:r w:rsidRPr="00A83C6B">
              <w:rPr>
                <w:rFonts w:eastAsiaTheme="minorEastAsia"/>
                <w:sz w:val="20"/>
                <w:szCs w:val="20"/>
                <w:vertAlign w:val="superscript"/>
                <w:lang w:val="nl-NL"/>
              </w:rPr>
              <w:t>2</w:t>
            </w:r>
            <w:r w:rsidRPr="00C343F8">
              <w:rPr>
                <w:rFonts w:eastAsiaTheme="minorEastAsia"/>
                <w:sz w:val="20"/>
                <w:szCs w:val="20"/>
                <w:lang w:val="nl-NL"/>
              </w:rPr>
              <w:t xml:space="preserve"> (Ligteringen </w:t>
            </w:r>
            <w:proofErr w:type="spellStart"/>
            <w:r w:rsidRPr="00C343F8">
              <w:rPr>
                <w:rFonts w:eastAsiaTheme="minorEastAsia"/>
                <w:sz w:val="20"/>
                <w:szCs w:val="20"/>
                <w:lang w:val="nl-NL"/>
              </w:rPr>
              <w:t>and</w:t>
            </w:r>
            <w:proofErr w:type="spellEnd"/>
            <w:r w:rsidRPr="00C343F8">
              <w:rPr>
                <w:rFonts w:eastAsiaTheme="minorEastAsia"/>
                <w:sz w:val="20"/>
                <w:szCs w:val="20"/>
                <w:lang w:val="nl-NL"/>
              </w:rPr>
              <w:t xml:space="preserve"> Velsink)</w:t>
            </w:r>
            <w:r w:rsidR="0015102C">
              <w:rPr>
                <w:rFonts w:eastAsiaTheme="minorEastAsia"/>
                <w:sz w:val="20"/>
                <w:szCs w:val="20"/>
                <w:lang w:val="nl-NL"/>
              </w:rPr>
              <w:fldChar w:fldCharType="begin" w:fldLock="1"/>
            </w:r>
            <w:r w:rsidR="00545404">
              <w:rPr>
                <w:rFonts w:eastAsiaTheme="minorEastAsia"/>
                <w:sz w:val="20"/>
                <w:szCs w:val="20"/>
                <w:lang w:val="nl-NL"/>
              </w:rPr>
              <w:instrText>ADDIN CSL_CITATION {"citationItems":[{"id":"ITEM-1","itemData":{"ISBN":"9789065623041","author":[{"dropping-particle":"","family":"Ligteringen","given":"H.","non-dropping-particle":"","parse-names":false,"suffix":""},{"dropping-particle":"","family":"Velsink","given":"H.","non-dropping-particle":"","parse-names":false,"suffix":""}],"id":"ITEM-1","issued":{"date-parts":[["2012"]]},"publisher":"Delft University Press","publisher-place":"Delft","title":"Ports and Terminals","type":"book"},"uris":["http://www.mendeley.com/documents/?uuid=2e4ffd00-3041-4ce1-a3b5-573fd9f9f93b"]}],"mendeley":{"formattedCitation":"&lt;sup&gt;21&lt;/sup&gt;","plainTextFormattedCitation":"21","previouslyFormattedCitation":"&lt;sup&gt;22&lt;/sup&gt;"},"properties":{"noteIndex":0},"schema":"https://github.com/citation-style-language/schema/raw/master/csl-citation.json"}</w:instrText>
            </w:r>
            <w:r w:rsidR="0015102C">
              <w:rPr>
                <w:rFonts w:eastAsiaTheme="minorEastAsia"/>
                <w:sz w:val="20"/>
                <w:szCs w:val="20"/>
                <w:lang w:val="nl-NL"/>
              </w:rPr>
              <w:fldChar w:fldCharType="separate"/>
            </w:r>
            <w:r w:rsidR="00545404" w:rsidRPr="00545404">
              <w:rPr>
                <w:rFonts w:eastAsiaTheme="minorEastAsia"/>
                <w:noProof/>
                <w:sz w:val="20"/>
                <w:szCs w:val="20"/>
                <w:vertAlign w:val="superscript"/>
                <w:lang w:val="nl-NL"/>
              </w:rPr>
              <w:t>21</w:t>
            </w:r>
            <w:r w:rsidR="0015102C">
              <w:rPr>
                <w:rFonts w:eastAsiaTheme="minorEastAsia"/>
                <w:sz w:val="20"/>
                <w:szCs w:val="20"/>
                <w:lang w:val="nl-NL"/>
              </w:rPr>
              <w:fldChar w:fldCharType="end"/>
            </w:r>
          </w:p>
          <w:p w14:paraId="171E759E" w14:textId="6FD4A5EF" w:rsidR="00586E5B" w:rsidRPr="00C343F8" w:rsidRDefault="00586E5B" w:rsidP="001E3420">
            <w:pPr>
              <w:spacing w:line="276" w:lineRule="auto"/>
              <w:jc w:val="both"/>
              <w:rPr>
                <w:rFonts w:eastAsiaTheme="minorEastAsia"/>
                <w:sz w:val="20"/>
                <w:szCs w:val="20"/>
                <w:lang w:val="nl-NL"/>
              </w:rPr>
            </w:pPr>
            <w:r w:rsidRPr="00C343F8">
              <w:rPr>
                <w:rFonts w:eastAsiaTheme="minorEastAsia"/>
                <w:sz w:val="20"/>
                <w:szCs w:val="20"/>
                <w:lang w:val="nl-NL"/>
              </w:rPr>
              <w:t>2.2 – 3.5 TEU</w:t>
            </w:r>
            <w:r>
              <w:rPr>
                <w:rFonts w:eastAsiaTheme="minorEastAsia"/>
                <w:sz w:val="20"/>
                <w:szCs w:val="20"/>
                <w:lang w:val="nl-NL"/>
              </w:rPr>
              <w:t>/m</w:t>
            </w:r>
            <w:r w:rsidRPr="00A83C6B">
              <w:rPr>
                <w:rFonts w:eastAsiaTheme="minorEastAsia"/>
                <w:sz w:val="20"/>
                <w:szCs w:val="20"/>
                <w:vertAlign w:val="superscript"/>
                <w:lang w:val="nl-NL"/>
              </w:rPr>
              <w:t>2</w:t>
            </w:r>
            <w:r w:rsidRPr="00C343F8">
              <w:rPr>
                <w:rFonts w:eastAsiaTheme="minorEastAsia"/>
                <w:sz w:val="20"/>
                <w:szCs w:val="20"/>
                <w:lang w:val="nl-NL"/>
              </w:rPr>
              <w:t xml:space="preserve"> (Wiese et al. 2009)</w:t>
            </w:r>
            <w:r w:rsidR="0015102C">
              <w:rPr>
                <w:rFonts w:eastAsiaTheme="minorEastAsia"/>
                <w:sz w:val="20"/>
                <w:szCs w:val="20"/>
                <w:lang w:val="nl-NL"/>
              </w:rPr>
              <w:fldChar w:fldCharType="begin" w:fldLock="1"/>
            </w:r>
            <w:r w:rsidR="008A5081">
              <w:rPr>
                <w:rFonts w:eastAsiaTheme="minorEastAsia"/>
                <w:sz w:val="20"/>
                <w:szCs w:val="20"/>
                <w:lang w:val="nl-NL"/>
              </w:rPr>
              <w:instrText>ADDIN CSL_CITATION {"citationItems":[{"id":"ITEM-1","itemData":{"author":[{"dropping-particle":"","family":"Wiese","given":"Jörg","non-dropping-particle":"","parse-names":false,"suffix":""},{"dropping-particle":"","family":"Kliewer","given":"Natalia","non-dropping-particle":"","parse-names":false,"suffix":""},{"dropping-particle":"","family":"Suhl","given":"Leena","non-dropping-particle":"","parse-names":false,"suffix":""},{"dropping-particle":"","family":"Str","given":"Warburger","non-dropping-particle":"","parse-names":false,"suffix":""}],"container-title":"Operations Research","id":"ITEM-1","issue":"March","issued":{"date-parts":[["2009"]]},"title":"A Survey of Container Terminal Characteristics and Equipment Types","type":"article-journal"},"uris":["http://www.mendeley.com/documents/?uuid=f49d85e7-a99f-484c-acdc-d8507ddcdeb1"]}],"mendeley":{"formattedCitation":"&lt;sup&gt;2&lt;/sup&gt;","plainTextFormattedCitation":"2","previouslyFormattedCitation":"&lt;sup&gt;2&lt;/sup&gt;"},"properties":{"noteIndex":0},"schema":"https://github.com/citation-style-language/schema/raw/master/csl-citation.json"}</w:instrText>
            </w:r>
            <w:r w:rsidR="0015102C">
              <w:rPr>
                <w:rFonts w:eastAsiaTheme="minorEastAsia"/>
                <w:sz w:val="20"/>
                <w:szCs w:val="20"/>
                <w:lang w:val="nl-NL"/>
              </w:rPr>
              <w:fldChar w:fldCharType="separate"/>
            </w:r>
            <w:r w:rsidR="008A5081" w:rsidRPr="008A5081">
              <w:rPr>
                <w:rFonts w:eastAsiaTheme="minorEastAsia"/>
                <w:noProof/>
                <w:sz w:val="20"/>
                <w:szCs w:val="20"/>
                <w:vertAlign w:val="superscript"/>
                <w:lang w:val="nl-NL"/>
              </w:rPr>
              <w:t>2</w:t>
            </w:r>
            <w:r w:rsidR="0015102C">
              <w:rPr>
                <w:rFonts w:eastAsiaTheme="minorEastAsia"/>
                <w:sz w:val="20"/>
                <w:szCs w:val="20"/>
                <w:lang w:val="nl-NL"/>
              </w:rPr>
              <w:fldChar w:fldCharType="end"/>
            </w:r>
          </w:p>
          <w:p w14:paraId="07A90B48" w14:textId="77777777" w:rsidR="00586E5B" w:rsidRDefault="00586E5B" w:rsidP="001E3420">
            <w:pPr>
              <w:spacing w:line="276" w:lineRule="auto"/>
              <w:jc w:val="both"/>
              <w:rPr>
                <w:rFonts w:eastAsiaTheme="minorEastAsia"/>
                <w:sz w:val="20"/>
                <w:szCs w:val="20"/>
                <w:lang w:val="nl-NL"/>
              </w:rPr>
            </w:pPr>
          </w:p>
          <w:p w14:paraId="0692FA14" w14:textId="78D69688" w:rsidR="00855AFF" w:rsidRPr="00855AFF" w:rsidRDefault="00855AFF" w:rsidP="001E3420">
            <w:pPr>
              <w:spacing w:line="276" w:lineRule="auto"/>
              <w:jc w:val="both"/>
              <w:rPr>
                <w:rFonts w:eastAsiaTheme="minorEastAsia"/>
                <w:i/>
                <w:iCs/>
                <w:sz w:val="20"/>
                <w:szCs w:val="20"/>
              </w:rPr>
            </w:pPr>
            <w:r w:rsidRPr="00855AFF">
              <w:rPr>
                <w:rFonts w:eastAsiaTheme="minorEastAsia"/>
                <w:i/>
                <w:iCs/>
                <w:sz w:val="20"/>
                <w:szCs w:val="20"/>
              </w:rPr>
              <w:t>Note: a TEU is around 10 – 12 tonnes</w:t>
            </w:r>
          </w:p>
        </w:tc>
      </w:tr>
    </w:tbl>
    <w:p w14:paraId="0F9D5F56" w14:textId="1E1E368D" w:rsidR="002057A4" w:rsidRDefault="002057A4"/>
    <w:p w14:paraId="081F92FF" w14:textId="0B6A587E" w:rsidR="006F3BF5" w:rsidRDefault="006F3BF5"/>
    <w:p w14:paraId="09D18FE0" w14:textId="243AD1F1" w:rsidR="006F3BF5" w:rsidRDefault="006F3BF5"/>
    <w:p w14:paraId="7F94BED9" w14:textId="451035A9" w:rsidR="006F3BF5" w:rsidRDefault="006F3BF5"/>
    <w:p w14:paraId="19E76000" w14:textId="3A736A54" w:rsidR="006F3BF5" w:rsidRDefault="006F3BF5"/>
    <w:p w14:paraId="78C2EEC1" w14:textId="1C1CFBE4" w:rsidR="006F3BF5" w:rsidRDefault="006F3BF5">
      <w:r>
        <w:br w:type="page"/>
      </w:r>
    </w:p>
    <w:p w14:paraId="1EF81E3D" w14:textId="62F3AD21" w:rsidR="006F3BF5" w:rsidRDefault="006F3BF5">
      <w:pPr>
        <w:rPr>
          <w:b/>
          <w:bCs/>
        </w:rPr>
      </w:pPr>
      <w:r>
        <w:rPr>
          <w:b/>
          <w:bCs/>
        </w:rPr>
        <w:lastRenderedPageBreak/>
        <w:t>Supplementary references</w:t>
      </w:r>
    </w:p>
    <w:p w14:paraId="3945C592" w14:textId="494FFC59" w:rsidR="006F3BF5" w:rsidRDefault="006F3BF5">
      <w:pPr>
        <w:rPr>
          <w:b/>
          <w:bCs/>
        </w:rPr>
      </w:pPr>
    </w:p>
    <w:p w14:paraId="039AF420" w14:textId="0F554DA6" w:rsidR="00545404" w:rsidRPr="00545404" w:rsidRDefault="006F3BF5" w:rsidP="00545404">
      <w:pPr>
        <w:widowControl w:val="0"/>
        <w:autoSpaceDE w:val="0"/>
        <w:autoSpaceDN w:val="0"/>
        <w:adjustRightInd w:val="0"/>
        <w:ind w:left="640" w:hanging="640"/>
        <w:rPr>
          <w:noProof/>
        </w:rPr>
      </w:pPr>
      <w:r>
        <w:rPr>
          <w:b/>
          <w:bCs/>
        </w:rPr>
        <w:fldChar w:fldCharType="begin" w:fldLock="1"/>
      </w:r>
      <w:r>
        <w:rPr>
          <w:b/>
          <w:bCs/>
        </w:rPr>
        <w:instrText xml:space="preserve">ADDIN Mendeley Bibliography CSL_BIBLIOGRAPHY </w:instrText>
      </w:r>
      <w:r>
        <w:rPr>
          <w:b/>
          <w:bCs/>
        </w:rPr>
        <w:fldChar w:fldCharType="separate"/>
      </w:r>
      <w:r w:rsidR="00545404" w:rsidRPr="00545404">
        <w:rPr>
          <w:noProof/>
        </w:rPr>
        <w:t>1.</w:t>
      </w:r>
      <w:r w:rsidR="00545404" w:rsidRPr="00545404">
        <w:rPr>
          <w:noProof/>
        </w:rPr>
        <w:tab/>
        <w:t xml:space="preserve">Verschuur, J., Koks, E. E., Li, S. &amp; Hall, J. W. Multi-hazard risk to global port infrastructure and resulting trade and logistics losses. </w:t>
      </w:r>
      <w:r w:rsidR="00545404" w:rsidRPr="00545404">
        <w:rPr>
          <w:i/>
          <w:iCs/>
          <w:noProof/>
        </w:rPr>
        <w:t>Commun. Earth Environ.</w:t>
      </w:r>
      <w:r w:rsidR="00545404" w:rsidRPr="00545404">
        <w:rPr>
          <w:noProof/>
        </w:rPr>
        <w:t xml:space="preserve"> </w:t>
      </w:r>
      <w:r w:rsidR="00545404" w:rsidRPr="00545404">
        <w:rPr>
          <w:b/>
          <w:bCs/>
          <w:noProof/>
        </w:rPr>
        <w:t>4</w:t>
      </w:r>
      <w:r w:rsidR="00545404" w:rsidRPr="00545404">
        <w:rPr>
          <w:noProof/>
        </w:rPr>
        <w:t>, 5 (2023).</w:t>
      </w:r>
    </w:p>
    <w:p w14:paraId="6A942FE9" w14:textId="77777777" w:rsidR="00545404" w:rsidRPr="00545404" w:rsidRDefault="00545404" w:rsidP="00545404">
      <w:pPr>
        <w:widowControl w:val="0"/>
        <w:autoSpaceDE w:val="0"/>
        <w:autoSpaceDN w:val="0"/>
        <w:adjustRightInd w:val="0"/>
        <w:ind w:left="640" w:hanging="640"/>
        <w:rPr>
          <w:noProof/>
        </w:rPr>
      </w:pPr>
      <w:r w:rsidRPr="00545404">
        <w:rPr>
          <w:noProof/>
        </w:rPr>
        <w:t>2.</w:t>
      </w:r>
      <w:r w:rsidRPr="00545404">
        <w:rPr>
          <w:noProof/>
        </w:rPr>
        <w:tab/>
        <w:t xml:space="preserve">Wiese, J., Kliewer, N., Suhl, L. &amp; Str, W. A Survey of Container Terminal Characteristics and Equipment Types. </w:t>
      </w:r>
      <w:r w:rsidRPr="00545404">
        <w:rPr>
          <w:i/>
          <w:iCs/>
          <w:noProof/>
        </w:rPr>
        <w:t>Oper. Res.</w:t>
      </w:r>
      <w:r w:rsidRPr="00545404">
        <w:rPr>
          <w:noProof/>
        </w:rPr>
        <w:t xml:space="preserve"> (2009).</w:t>
      </w:r>
    </w:p>
    <w:p w14:paraId="51FEF800" w14:textId="77777777" w:rsidR="00545404" w:rsidRPr="00545404" w:rsidRDefault="00545404" w:rsidP="00545404">
      <w:pPr>
        <w:widowControl w:val="0"/>
        <w:autoSpaceDE w:val="0"/>
        <w:autoSpaceDN w:val="0"/>
        <w:adjustRightInd w:val="0"/>
        <w:ind w:left="640" w:hanging="640"/>
        <w:rPr>
          <w:noProof/>
        </w:rPr>
      </w:pPr>
      <w:r w:rsidRPr="00545404">
        <w:rPr>
          <w:noProof/>
        </w:rPr>
        <w:t>3.</w:t>
      </w:r>
      <w:r w:rsidRPr="00545404">
        <w:rPr>
          <w:noProof/>
        </w:rPr>
        <w:tab/>
        <w:t xml:space="preserve">J.G. de Gijt. Cost of quay walls. </w:t>
      </w:r>
      <w:r w:rsidRPr="00545404">
        <w:rPr>
          <w:i/>
          <w:iCs/>
          <w:noProof/>
        </w:rPr>
        <w:t>3rd Int. Conf. EACEF</w:t>
      </w:r>
      <w:r w:rsidRPr="00545404">
        <w:rPr>
          <w:noProof/>
        </w:rPr>
        <w:t xml:space="preserve"> 83–89 (2011).</w:t>
      </w:r>
    </w:p>
    <w:p w14:paraId="3D7D0997" w14:textId="77777777" w:rsidR="00545404" w:rsidRPr="00545404" w:rsidRDefault="00545404" w:rsidP="00545404">
      <w:pPr>
        <w:widowControl w:val="0"/>
        <w:autoSpaceDE w:val="0"/>
        <w:autoSpaceDN w:val="0"/>
        <w:adjustRightInd w:val="0"/>
        <w:ind w:left="640" w:hanging="640"/>
        <w:rPr>
          <w:noProof/>
        </w:rPr>
      </w:pPr>
      <w:r w:rsidRPr="00545404">
        <w:rPr>
          <w:noProof/>
        </w:rPr>
        <w:t>4.</w:t>
      </w:r>
      <w:r w:rsidRPr="00545404">
        <w:rPr>
          <w:noProof/>
        </w:rPr>
        <w:tab/>
        <w:t>Kox, S. A. J. A Tool for Determining Marine Terminal Dimensions and Costs in a Project’s Feasibility Phase. 203 (2016).</w:t>
      </w:r>
    </w:p>
    <w:p w14:paraId="00E5CDC9" w14:textId="77777777" w:rsidR="00545404" w:rsidRPr="00545404" w:rsidRDefault="00545404" w:rsidP="00545404">
      <w:pPr>
        <w:widowControl w:val="0"/>
        <w:autoSpaceDE w:val="0"/>
        <w:autoSpaceDN w:val="0"/>
        <w:adjustRightInd w:val="0"/>
        <w:ind w:left="640" w:hanging="640"/>
        <w:rPr>
          <w:noProof/>
        </w:rPr>
      </w:pPr>
      <w:r w:rsidRPr="00545404">
        <w:rPr>
          <w:noProof/>
        </w:rPr>
        <w:t>5.</w:t>
      </w:r>
      <w:r w:rsidRPr="00545404">
        <w:rPr>
          <w:noProof/>
        </w:rPr>
        <w:tab/>
        <w:t xml:space="preserve">OECD-ITF. </w:t>
      </w:r>
      <w:r w:rsidRPr="00545404">
        <w:rPr>
          <w:i/>
          <w:iCs/>
          <w:noProof/>
        </w:rPr>
        <w:t>The Impact of Mega-Ships</w:t>
      </w:r>
      <w:r w:rsidRPr="00545404">
        <w:rPr>
          <w:noProof/>
        </w:rPr>
        <w:t xml:space="preserve">. </w:t>
      </w:r>
      <w:r w:rsidRPr="00545404">
        <w:rPr>
          <w:i/>
          <w:iCs/>
          <w:noProof/>
        </w:rPr>
        <w:t>Case-Specific Policy Analysis</w:t>
      </w:r>
      <w:r w:rsidRPr="00545404">
        <w:rPr>
          <w:noProof/>
        </w:rPr>
        <w:t xml:space="preserve"> (2015).</w:t>
      </w:r>
    </w:p>
    <w:p w14:paraId="0B144907" w14:textId="77777777" w:rsidR="00545404" w:rsidRPr="00545404" w:rsidRDefault="00545404" w:rsidP="00545404">
      <w:pPr>
        <w:widowControl w:val="0"/>
        <w:autoSpaceDE w:val="0"/>
        <w:autoSpaceDN w:val="0"/>
        <w:adjustRightInd w:val="0"/>
        <w:ind w:left="640" w:hanging="640"/>
        <w:rPr>
          <w:noProof/>
        </w:rPr>
      </w:pPr>
      <w:r w:rsidRPr="00545404">
        <w:rPr>
          <w:noProof/>
        </w:rPr>
        <w:t>6.</w:t>
      </w:r>
      <w:r w:rsidRPr="00545404">
        <w:rPr>
          <w:noProof/>
        </w:rPr>
        <w:tab/>
        <w:t xml:space="preserve">Verschuur, J., Koks, E. E. &amp; Hall, J. W. Global economic impacts of COVID-19 lockdown measures stand out in high-frequency shipping data. </w:t>
      </w:r>
      <w:r w:rsidRPr="00545404">
        <w:rPr>
          <w:i/>
          <w:iCs/>
          <w:noProof/>
        </w:rPr>
        <w:t>PLoS One</w:t>
      </w:r>
      <w:r w:rsidRPr="00545404">
        <w:rPr>
          <w:noProof/>
        </w:rPr>
        <w:t xml:space="preserve"> </w:t>
      </w:r>
      <w:r w:rsidRPr="00545404">
        <w:rPr>
          <w:b/>
          <w:bCs/>
          <w:noProof/>
        </w:rPr>
        <w:t>16</w:t>
      </w:r>
      <w:r w:rsidRPr="00545404">
        <w:rPr>
          <w:noProof/>
        </w:rPr>
        <w:t>, e0248818 (2021).</w:t>
      </w:r>
    </w:p>
    <w:p w14:paraId="24423D14" w14:textId="77777777" w:rsidR="00545404" w:rsidRPr="00545404" w:rsidRDefault="00545404" w:rsidP="00545404">
      <w:pPr>
        <w:widowControl w:val="0"/>
        <w:autoSpaceDE w:val="0"/>
        <w:autoSpaceDN w:val="0"/>
        <w:adjustRightInd w:val="0"/>
        <w:ind w:left="640" w:hanging="640"/>
        <w:rPr>
          <w:noProof/>
        </w:rPr>
      </w:pPr>
      <w:r w:rsidRPr="00545404">
        <w:rPr>
          <w:noProof/>
        </w:rPr>
        <w:t>7.</w:t>
      </w:r>
      <w:r w:rsidRPr="00545404">
        <w:rPr>
          <w:noProof/>
        </w:rPr>
        <w:tab/>
        <w:t xml:space="preserve">Becker, A., Hippe, A. &amp; Mclean, E. Cost and Materials Required to Retrofit US Seaports in Response to Sea Level Rise: A Thought Exercise for Climate Response. </w:t>
      </w:r>
      <w:r w:rsidRPr="00545404">
        <w:rPr>
          <w:i/>
          <w:iCs/>
          <w:noProof/>
        </w:rPr>
        <w:t>J. Mar. Sci. Eng.</w:t>
      </w:r>
      <w:r w:rsidRPr="00545404">
        <w:rPr>
          <w:noProof/>
        </w:rPr>
        <w:t xml:space="preserve"> </w:t>
      </w:r>
      <w:r w:rsidRPr="00545404">
        <w:rPr>
          <w:b/>
          <w:bCs/>
          <w:noProof/>
        </w:rPr>
        <w:t>5</w:t>
      </w:r>
      <w:r w:rsidRPr="00545404">
        <w:rPr>
          <w:noProof/>
        </w:rPr>
        <w:t>, 44 (2017).</w:t>
      </w:r>
    </w:p>
    <w:p w14:paraId="1C2DFBB3" w14:textId="77777777" w:rsidR="00545404" w:rsidRPr="00545404" w:rsidRDefault="00545404" w:rsidP="00545404">
      <w:pPr>
        <w:widowControl w:val="0"/>
        <w:autoSpaceDE w:val="0"/>
        <w:autoSpaceDN w:val="0"/>
        <w:adjustRightInd w:val="0"/>
        <w:ind w:left="640" w:hanging="640"/>
        <w:rPr>
          <w:noProof/>
        </w:rPr>
      </w:pPr>
      <w:r w:rsidRPr="00545404">
        <w:rPr>
          <w:noProof/>
        </w:rPr>
        <w:t>8.</w:t>
      </w:r>
      <w:r w:rsidRPr="00545404">
        <w:rPr>
          <w:noProof/>
        </w:rPr>
        <w:tab/>
        <w:t xml:space="preserve">Hamburg Port Authority. </w:t>
      </w:r>
      <w:r w:rsidRPr="00545404">
        <w:rPr>
          <w:i/>
          <w:iCs/>
          <w:noProof/>
        </w:rPr>
        <w:t>Optimized Modern Multi-Purpose Terminals</w:t>
      </w:r>
      <w:r w:rsidRPr="00545404">
        <w:rPr>
          <w:noProof/>
        </w:rPr>
        <w:t>. (2017).</w:t>
      </w:r>
    </w:p>
    <w:p w14:paraId="2B1DD28A" w14:textId="77777777" w:rsidR="00545404" w:rsidRPr="00545404" w:rsidRDefault="00545404" w:rsidP="00545404">
      <w:pPr>
        <w:widowControl w:val="0"/>
        <w:autoSpaceDE w:val="0"/>
        <w:autoSpaceDN w:val="0"/>
        <w:adjustRightInd w:val="0"/>
        <w:ind w:left="640" w:hanging="640"/>
        <w:rPr>
          <w:noProof/>
        </w:rPr>
      </w:pPr>
      <w:r w:rsidRPr="00545404">
        <w:rPr>
          <w:noProof/>
        </w:rPr>
        <w:t>9.</w:t>
      </w:r>
      <w:r w:rsidRPr="00545404">
        <w:rPr>
          <w:noProof/>
        </w:rPr>
        <w:tab/>
        <w:t xml:space="preserve">ERIA. Investment in LNG Supply Chain Infrastructure Estimation. in </w:t>
      </w:r>
      <w:r w:rsidRPr="00545404">
        <w:rPr>
          <w:i/>
          <w:iCs/>
          <w:noProof/>
        </w:rPr>
        <w:t>Formulating Policy Options for Promoting Natural Gas Utilization in the East Asia Summit Region Volume II: Supply Side Analysis</w:t>
      </w:r>
      <w:r w:rsidRPr="00545404">
        <w:rPr>
          <w:noProof/>
        </w:rPr>
        <w:t xml:space="preserve"> (eds. Uemura, T. &amp; Ishigami, K.) </w:t>
      </w:r>
      <w:r w:rsidRPr="00545404">
        <w:rPr>
          <w:b/>
          <w:bCs/>
          <w:noProof/>
        </w:rPr>
        <w:t>II</w:t>
      </w:r>
      <w:r w:rsidRPr="00545404">
        <w:rPr>
          <w:noProof/>
        </w:rPr>
        <w:t>, 67–80 (2018).</w:t>
      </w:r>
    </w:p>
    <w:p w14:paraId="3222C56C" w14:textId="77777777" w:rsidR="00545404" w:rsidRPr="00545404" w:rsidRDefault="00545404" w:rsidP="00545404">
      <w:pPr>
        <w:widowControl w:val="0"/>
        <w:autoSpaceDE w:val="0"/>
        <w:autoSpaceDN w:val="0"/>
        <w:adjustRightInd w:val="0"/>
        <w:ind w:left="640" w:hanging="640"/>
        <w:rPr>
          <w:noProof/>
        </w:rPr>
      </w:pPr>
      <w:r w:rsidRPr="00545404">
        <w:rPr>
          <w:noProof/>
        </w:rPr>
        <w:t>10.</w:t>
      </w:r>
      <w:r w:rsidRPr="00545404">
        <w:rPr>
          <w:noProof/>
        </w:rPr>
        <w:tab/>
        <w:t xml:space="preserve">van Vianen, T. </w:t>
      </w:r>
      <w:r w:rsidRPr="00545404">
        <w:rPr>
          <w:i/>
          <w:iCs/>
          <w:noProof/>
        </w:rPr>
        <w:t>Simulation-integrated Design of Dry Bulk Terminals</w:t>
      </w:r>
      <w:r w:rsidRPr="00545404">
        <w:rPr>
          <w:noProof/>
        </w:rPr>
        <w:t>. (2015).</w:t>
      </w:r>
    </w:p>
    <w:p w14:paraId="7AFC94CA" w14:textId="77777777" w:rsidR="00545404" w:rsidRPr="00545404" w:rsidRDefault="00545404" w:rsidP="00545404">
      <w:pPr>
        <w:widowControl w:val="0"/>
        <w:autoSpaceDE w:val="0"/>
        <w:autoSpaceDN w:val="0"/>
        <w:adjustRightInd w:val="0"/>
        <w:ind w:left="640" w:hanging="640"/>
        <w:rPr>
          <w:noProof/>
        </w:rPr>
      </w:pPr>
      <w:r w:rsidRPr="00545404">
        <w:rPr>
          <w:noProof/>
        </w:rPr>
        <w:t>11.</w:t>
      </w:r>
      <w:r w:rsidRPr="00545404">
        <w:rPr>
          <w:noProof/>
        </w:rPr>
        <w:tab/>
        <w:t xml:space="preserve">van Vianen, T., Ottjes, J. &amp; Lodewijks, G. Dry bulk terminal characteristics. in </w:t>
      </w:r>
      <w:r w:rsidRPr="00545404">
        <w:rPr>
          <w:i/>
          <w:iCs/>
          <w:noProof/>
        </w:rPr>
        <w:t>Bulk Solids India 2011</w:t>
      </w:r>
      <w:r w:rsidRPr="00545404">
        <w:rPr>
          <w:noProof/>
        </w:rPr>
        <w:t xml:space="preserve"> 1–10 (2011).</w:t>
      </w:r>
    </w:p>
    <w:p w14:paraId="46E4F5B1" w14:textId="77777777" w:rsidR="00545404" w:rsidRPr="00545404" w:rsidRDefault="00545404" w:rsidP="00545404">
      <w:pPr>
        <w:widowControl w:val="0"/>
        <w:autoSpaceDE w:val="0"/>
        <w:autoSpaceDN w:val="0"/>
        <w:adjustRightInd w:val="0"/>
        <w:ind w:left="640" w:hanging="640"/>
        <w:rPr>
          <w:noProof/>
        </w:rPr>
      </w:pPr>
      <w:r w:rsidRPr="00545404">
        <w:rPr>
          <w:noProof/>
        </w:rPr>
        <w:t>12.</w:t>
      </w:r>
      <w:r w:rsidRPr="00545404">
        <w:rPr>
          <w:noProof/>
        </w:rPr>
        <w:tab/>
        <w:t xml:space="preserve">ITF. </w:t>
      </w:r>
      <w:r w:rsidRPr="00545404">
        <w:rPr>
          <w:i/>
          <w:iCs/>
          <w:noProof/>
        </w:rPr>
        <w:t>Capacity to grow</w:t>
      </w:r>
      <w:r w:rsidRPr="00545404">
        <w:rPr>
          <w:noProof/>
        </w:rPr>
        <w:t>. (2015).</w:t>
      </w:r>
    </w:p>
    <w:p w14:paraId="58B26389" w14:textId="77777777" w:rsidR="00545404" w:rsidRPr="00545404" w:rsidRDefault="00545404" w:rsidP="00545404">
      <w:pPr>
        <w:widowControl w:val="0"/>
        <w:autoSpaceDE w:val="0"/>
        <w:autoSpaceDN w:val="0"/>
        <w:adjustRightInd w:val="0"/>
        <w:ind w:left="640" w:hanging="640"/>
        <w:rPr>
          <w:noProof/>
        </w:rPr>
      </w:pPr>
      <w:r w:rsidRPr="00545404">
        <w:rPr>
          <w:noProof/>
        </w:rPr>
        <w:t>13.</w:t>
      </w:r>
      <w:r w:rsidRPr="00545404">
        <w:rPr>
          <w:noProof/>
        </w:rPr>
        <w:tab/>
        <w:t xml:space="preserve">Drewry. </w:t>
      </w:r>
      <w:r w:rsidRPr="00545404">
        <w:rPr>
          <w:i/>
          <w:iCs/>
          <w:noProof/>
        </w:rPr>
        <w:t>Global container terminal operators 2010: Annual review and forecast</w:t>
      </w:r>
      <w:r w:rsidRPr="00545404">
        <w:rPr>
          <w:noProof/>
        </w:rPr>
        <w:t>. (2010).</w:t>
      </w:r>
    </w:p>
    <w:p w14:paraId="4EA16F9C" w14:textId="77777777" w:rsidR="00545404" w:rsidRPr="00545404" w:rsidRDefault="00545404" w:rsidP="00545404">
      <w:pPr>
        <w:widowControl w:val="0"/>
        <w:autoSpaceDE w:val="0"/>
        <w:autoSpaceDN w:val="0"/>
        <w:adjustRightInd w:val="0"/>
        <w:ind w:left="640" w:hanging="640"/>
        <w:rPr>
          <w:noProof/>
        </w:rPr>
      </w:pPr>
      <w:r w:rsidRPr="00545404">
        <w:rPr>
          <w:noProof/>
        </w:rPr>
        <w:t>14.</w:t>
      </w:r>
      <w:r w:rsidRPr="00545404">
        <w:rPr>
          <w:noProof/>
        </w:rPr>
        <w:tab/>
        <w:t xml:space="preserve">World Bank. Private Participation in Infrastructure Database. </w:t>
      </w:r>
      <w:r w:rsidRPr="00545404">
        <w:rPr>
          <w:i/>
          <w:iCs/>
          <w:noProof/>
        </w:rPr>
        <w:t>Port Sector Snapshot</w:t>
      </w:r>
      <w:r w:rsidRPr="00545404">
        <w:rPr>
          <w:noProof/>
        </w:rPr>
        <w:t xml:space="preserve"> (2021). Available at: https://ppi.worldbank.org/en/snapshots/sector/ports. (Accessed: 4th June 2021)</w:t>
      </w:r>
    </w:p>
    <w:p w14:paraId="2243A2A5" w14:textId="77777777" w:rsidR="00545404" w:rsidRPr="00545404" w:rsidRDefault="00545404" w:rsidP="00545404">
      <w:pPr>
        <w:widowControl w:val="0"/>
        <w:autoSpaceDE w:val="0"/>
        <w:autoSpaceDN w:val="0"/>
        <w:adjustRightInd w:val="0"/>
        <w:ind w:left="640" w:hanging="640"/>
        <w:rPr>
          <w:noProof/>
        </w:rPr>
      </w:pPr>
      <w:r w:rsidRPr="00545404">
        <w:rPr>
          <w:noProof/>
        </w:rPr>
        <w:t>15.</w:t>
      </w:r>
      <w:r w:rsidRPr="00545404">
        <w:rPr>
          <w:noProof/>
        </w:rPr>
        <w:tab/>
        <w:t xml:space="preserve">Asian Development Bank. </w:t>
      </w:r>
      <w:r w:rsidRPr="00545404">
        <w:rPr>
          <w:i/>
          <w:iCs/>
          <w:noProof/>
        </w:rPr>
        <w:t>Meeting Asia’s Infrastructure Needs</w:t>
      </w:r>
      <w:r w:rsidRPr="00545404">
        <w:rPr>
          <w:noProof/>
        </w:rPr>
        <w:t>. (2017). doi:10.22617/FLS168388-2</w:t>
      </w:r>
    </w:p>
    <w:p w14:paraId="17C347CB" w14:textId="77777777" w:rsidR="00545404" w:rsidRPr="00545404" w:rsidRDefault="00545404" w:rsidP="00545404">
      <w:pPr>
        <w:widowControl w:val="0"/>
        <w:autoSpaceDE w:val="0"/>
        <w:autoSpaceDN w:val="0"/>
        <w:adjustRightInd w:val="0"/>
        <w:ind w:left="640" w:hanging="640"/>
        <w:rPr>
          <w:noProof/>
        </w:rPr>
      </w:pPr>
      <w:r w:rsidRPr="00545404">
        <w:rPr>
          <w:noProof/>
        </w:rPr>
        <w:t>16.</w:t>
      </w:r>
      <w:r w:rsidRPr="00545404">
        <w:rPr>
          <w:noProof/>
        </w:rPr>
        <w:tab/>
        <w:t xml:space="preserve">Morim, J. </w:t>
      </w:r>
      <w:r w:rsidRPr="00545404">
        <w:rPr>
          <w:i/>
          <w:iCs/>
          <w:noProof/>
        </w:rPr>
        <w:t>et al.</w:t>
      </w:r>
      <w:r w:rsidRPr="00545404">
        <w:rPr>
          <w:noProof/>
        </w:rPr>
        <w:t xml:space="preserve"> Robustness and uncertainties in global multivariate wind-wave climate projections. </w:t>
      </w:r>
      <w:r w:rsidRPr="00545404">
        <w:rPr>
          <w:i/>
          <w:iCs/>
          <w:noProof/>
        </w:rPr>
        <w:t>Nat. Clim. Chang.</w:t>
      </w:r>
      <w:r w:rsidRPr="00545404">
        <w:rPr>
          <w:noProof/>
        </w:rPr>
        <w:t xml:space="preserve"> </w:t>
      </w:r>
      <w:r w:rsidRPr="00545404">
        <w:rPr>
          <w:b/>
          <w:bCs/>
          <w:noProof/>
        </w:rPr>
        <w:t>9</w:t>
      </w:r>
      <w:r w:rsidRPr="00545404">
        <w:rPr>
          <w:noProof/>
        </w:rPr>
        <w:t>, 711–718 (2019).</w:t>
      </w:r>
    </w:p>
    <w:p w14:paraId="39A604E6" w14:textId="77777777" w:rsidR="00545404" w:rsidRPr="00545404" w:rsidRDefault="00545404" w:rsidP="00545404">
      <w:pPr>
        <w:widowControl w:val="0"/>
        <w:autoSpaceDE w:val="0"/>
        <w:autoSpaceDN w:val="0"/>
        <w:adjustRightInd w:val="0"/>
        <w:ind w:left="640" w:hanging="640"/>
        <w:rPr>
          <w:noProof/>
        </w:rPr>
      </w:pPr>
      <w:r w:rsidRPr="00545404">
        <w:rPr>
          <w:noProof/>
        </w:rPr>
        <w:t>17.</w:t>
      </w:r>
      <w:r w:rsidRPr="00545404">
        <w:rPr>
          <w:noProof/>
        </w:rPr>
        <w:tab/>
        <w:t xml:space="preserve">Zaherpour, J. </w:t>
      </w:r>
      <w:r w:rsidRPr="00545404">
        <w:rPr>
          <w:i/>
          <w:iCs/>
          <w:noProof/>
        </w:rPr>
        <w:t>et al.</w:t>
      </w:r>
      <w:r w:rsidRPr="00545404">
        <w:rPr>
          <w:noProof/>
        </w:rPr>
        <w:t xml:space="preserve"> Worldwide evaluation of mean and extreme runoff from six global-scale hydrological models that account for human impacts. </w:t>
      </w:r>
      <w:r w:rsidRPr="00545404">
        <w:rPr>
          <w:i/>
          <w:iCs/>
          <w:noProof/>
        </w:rPr>
        <w:t>Environ. Res. Lett.</w:t>
      </w:r>
      <w:r w:rsidRPr="00545404">
        <w:rPr>
          <w:noProof/>
        </w:rPr>
        <w:t xml:space="preserve"> </w:t>
      </w:r>
      <w:r w:rsidRPr="00545404">
        <w:rPr>
          <w:b/>
          <w:bCs/>
          <w:noProof/>
        </w:rPr>
        <w:t>13</w:t>
      </w:r>
      <w:r w:rsidRPr="00545404">
        <w:rPr>
          <w:noProof/>
        </w:rPr>
        <w:t>, (2018).</w:t>
      </w:r>
    </w:p>
    <w:p w14:paraId="3116B057" w14:textId="77777777" w:rsidR="00545404" w:rsidRPr="00545404" w:rsidRDefault="00545404" w:rsidP="00545404">
      <w:pPr>
        <w:widowControl w:val="0"/>
        <w:autoSpaceDE w:val="0"/>
        <w:autoSpaceDN w:val="0"/>
        <w:adjustRightInd w:val="0"/>
        <w:ind w:left="640" w:hanging="640"/>
        <w:rPr>
          <w:noProof/>
        </w:rPr>
      </w:pPr>
      <w:r w:rsidRPr="00545404">
        <w:rPr>
          <w:noProof/>
        </w:rPr>
        <w:t>18.</w:t>
      </w:r>
      <w:r w:rsidRPr="00545404">
        <w:rPr>
          <w:noProof/>
        </w:rPr>
        <w:tab/>
        <w:t xml:space="preserve">Hattermann, F. F. </w:t>
      </w:r>
      <w:r w:rsidRPr="00545404">
        <w:rPr>
          <w:i/>
          <w:iCs/>
          <w:noProof/>
        </w:rPr>
        <w:t>et al.</w:t>
      </w:r>
      <w:r w:rsidRPr="00545404">
        <w:rPr>
          <w:noProof/>
        </w:rPr>
        <w:t xml:space="preserve"> Sources of uncertainty in hydrological climate impact assessment: A cross-scale study. </w:t>
      </w:r>
      <w:r w:rsidRPr="00545404">
        <w:rPr>
          <w:i/>
          <w:iCs/>
          <w:noProof/>
        </w:rPr>
        <w:t>Environ. Res. Lett.</w:t>
      </w:r>
      <w:r w:rsidRPr="00545404">
        <w:rPr>
          <w:noProof/>
        </w:rPr>
        <w:t xml:space="preserve"> </w:t>
      </w:r>
      <w:r w:rsidRPr="00545404">
        <w:rPr>
          <w:b/>
          <w:bCs/>
          <w:noProof/>
        </w:rPr>
        <w:t>13</w:t>
      </w:r>
      <w:r w:rsidRPr="00545404">
        <w:rPr>
          <w:noProof/>
        </w:rPr>
        <w:t>, (2018).</w:t>
      </w:r>
    </w:p>
    <w:p w14:paraId="4E77C9B4" w14:textId="77777777" w:rsidR="00545404" w:rsidRPr="00545404" w:rsidRDefault="00545404" w:rsidP="00545404">
      <w:pPr>
        <w:widowControl w:val="0"/>
        <w:autoSpaceDE w:val="0"/>
        <w:autoSpaceDN w:val="0"/>
        <w:adjustRightInd w:val="0"/>
        <w:ind w:left="640" w:hanging="640"/>
        <w:rPr>
          <w:noProof/>
        </w:rPr>
      </w:pPr>
      <w:r w:rsidRPr="00545404">
        <w:rPr>
          <w:noProof/>
        </w:rPr>
        <w:t>19.</w:t>
      </w:r>
      <w:r w:rsidRPr="00545404">
        <w:rPr>
          <w:noProof/>
        </w:rPr>
        <w:tab/>
        <w:t xml:space="preserve">Jackson, L. P. &amp; Jevrejeva, S. A probabilistic approach to 21st century regional sea-level projections using RCP and High-end scenarios. </w:t>
      </w:r>
      <w:r w:rsidRPr="00545404">
        <w:rPr>
          <w:i/>
          <w:iCs/>
          <w:noProof/>
        </w:rPr>
        <w:t>Glob. Planet. Chang.</w:t>
      </w:r>
      <w:r w:rsidRPr="00545404">
        <w:rPr>
          <w:noProof/>
        </w:rPr>
        <w:t xml:space="preserve"> </w:t>
      </w:r>
      <w:r w:rsidRPr="00545404">
        <w:rPr>
          <w:b/>
          <w:bCs/>
          <w:noProof/>
        </w:rPr>
        <w:t>146</w:t>
      </w:r>
      <w:r w:rsidRPr="00545404">
        <w:rPr>
          <w:noProof/>
        </w:rPr>
        <w:t>, 179–189 (2016).</w:t>
      </w:r>
    </w:p>
    <w:p w14:paraId="6481DEE5" w14:textId="77777777" w:rsidR="00545404" w:rsidRPr="00545404" w:rsidRDefault="00545404" w:rsidP="00545404">
      <w:pPr>
        <w:widowControl w:val="0"/>
        <w:autoSpaceDE w:val="0"/>
        <w:autoSpaceDN w:val="0"/>
        <w:adjustRightInd w:val="0"/>
        <w:ind w:left="640" w:hanging="640"/>
        <w:rPr>
          <w:noProof/>
        </w:rPr>
      </w:pPr>
      <w:r w:rsidRPr="00545404">
        <w:rPr>
          <w:noProof/>
        </w:rPr>
        <w:t>20.</w:t>
      </w:r>
      <w:r w:rsidRPr="00545404">
        <w:rPr>
          <w:noProof/>
        </w:rPr>
        <w:tab/>
        <w:t>Kleinheerenbrink, A. J. A. A Design Tool for Dry Bulk Terminals. (Delft University of Technology, 2012).</w:t>
      </w:r>
    </w:p>
    <w:p w14:paraId="6550F598" w14:textId="77777777" w:rsidR="00545404" w:rsidRPr="00545404" w:rsidRDefault="00545404" w:rsidP="00545404">
      <w:pPr>
        <w:widowControl w:val="0"/>
        <w:autoSpaceDE w:val="0"/>
        <w:autoSpaceDN w:val="0"/>
        <w:adjustRightInd w:val="0"/>
        <w:ind w:left="640" w:hanging="640"/>
        <w:rPr>
          <w:noProof/>
        </w:rPr>
      </w:pPr>
      <w:r w:rsidRPr="00545404">
        <w:rPr>
          <w:noProof/>
        </w:rPr>
        <w:t>21.</w:t>
      </w:r>
      <w:r w:rsidRPr="00545404">
        <w:rPr>
          <w:noProof/>
        </w:rPr>
        <w:tab/>
        <w:t xml:space="preserve">Ligteringen, H. &amp; Velsink, H. </w:t>
      </w:r>
      <w:r w:rsidRPr="00545404">
        <w:rPr>
          <w:i/>
          <w:iCs/>
          <w:noProof/>
        </w:rPr>
        <w:t>Ports and Terminals</w:t>
      </w:r>
      <w:r w:rsidRPr="00545404">
        <w:rPr>
          <w:noProof/>
        </w:rPr>
        <w:t>. (Delft University Press, 2012).</w:t>
      </w:r>
    </w:p>
    <w:p w14:paraId="6DEAB277" w14:textId="77777777" w:rsidR="00545404" w:rsidRPr="00545404" w:rsidRDefault="00545404" w:rsidP="00545404">
      <w:pPr>
        <w:widowControl w:val="0"/>
        <w:autoSpaceDE w:val="0"/>
        <w:autoSpaceDN w:val="0"/>
        <w:adjustRightInd w:val="0"/>
        <w:ind w:left="640" w:hanging="640"/>
        <w:rPr>
          <w:noProof/>
        </w:rPr>
      </w:pPr>
      <w:r w:rsidRPr="00545404">
        <w:rPr>
          <w:noProof/>
        </w:rPr>
        <w:t>22.</w:t>
      </w:r>
      <w:r w:rsidRPr="00545404">
        <w:rPr>
          <w:noProof/>
        </w:rPr>
        <w:tab/>
        <w:t xml:space="preserve">Merk, O. &amp; Dang, T. T. Efficiency of world ports in container and bulk cargo ( oil , coal , ores and grain ). </w:t>
      </w:r>
      <w:r w:rsidRPr="00545404">
        <w:rPr>
          <w:i/>
          <w:iCs/>
          <w:noProof/>
        </w:rPr>
        <w:t>Reg. Dev. Work. Pap.</w:t>
      </w:r>
      <w:r w:rsidRPr="00545404">
        <w:rPr>
          <w:noProof/>
        </w:rPr>
        <w:t xml:space="preserve"> 1–28 (2012).</w:t>
      </w:r>
    </w:p>
    <w:p w14:paraId="1C90D008" w14:textId="5FCD6ECC" w:rsidR="006F3BF5" w:rsidRPr="006F3BF5" w:rsidRDefault="006F3BF5" w:rsidP="00545404">
      <w:pPr>
        <w:widowControl w:val="0"/>
        <w:autoSpaceDE w:val="0"/>
        <w:autoSpaceDN w:val="0"/>
        <w:adjustRightInd w:val="0"/>
        <w:ind w:left="640" w:hanging="640"/>
        <w:rPr>
          <w:b/>
          <w:bCs/>
        </w:rPr>
      </w:pPr>
      <w:r>
        <w:rPr>
          <w:b/>
          <w:bCs/>
        </w:rPr>
        <w:fldChar w:fldCharType="end"/>
      </w:r>
    </w:p>
    <w:sectPr w:rsidR="006F3BF5" w:rsidRPr="006F3BF5" w:rsidSect="005276CC">
      <w:pgSz w:w="11952" w:h="16848"/>
      <w:pgMar w:top="1440" w:right="1440" w:bottom="1440" w:left="1440" w:header="708" w:footer="708"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63515A"/>
    <w:multiLevelType w:val="hybridMultilevel"/>
    <w:tmpl w:val="00783702"/>
    <w:lvl w:ilvl="0" w:tplc="8FF8C05C">
      <w:numFmt w:val="bullet"/>
      <w:lvlText w:val="-"/>
      <w:lvlJc w:val="left"/>
      <w:pPr>
        <w:ind w:left="720" w:hanging="360"/>
      </w:pPr>
      <w:rPr>
        <w:rFonts w:ascii="Times New Roman" w:eastAsiaTheme="minorHAnsi" w:hAnsi="Times New Roman" w:cs="Times New Roman" w:hint="default"/>
        <w:i/>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47A63AA"/>
    <w:multiLevelType w:val="hybridMultilevel"/>
    <w:tmpl w:val="C3AE836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40039803">
    <w:abstractNumId w:val="1"/>
  </w:num>
  <w:num w:numId="2" w16cid:durableId="21201763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7"/>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2D4D"/>
    <w:rsid w:val="0000077D"/>
    <w:rsid w:val="00005777"/>
    <w:rsid w:val="00012B08"/>
    <w:rsid w:val="00022A44"/>
    <w:rsid w:val="00024641"/>
    <w:rsid w:val="00032A56"/>
    <w:rsid w:val="00041678"/>
    <w:rsid w:val="0004219C"/>
    <w:rsid w:val="00061570"/>
    <w:rsid w:val="00071A90"/>
    <w:rsid w:val="0007204B"/>
    <w:rsid w:val="00074A21"/>
    <w:rsid w:val="00074A38"/>
    <w:rsid w:val="00085034"/>
    <w:rsid w:val="000E01E2"/>
    <w:rsid w:val="000E476A"/>
    <w:rsid w:val="00102735"/>
    <w:rsid w:val="00111F4B"/>
    <w:rsid w:val="001133F2"/>
    <w:rsid w:val="00122FCE"/>
    <w:rsid w:val="001353D1"/>
    <w:rsid w:val="0015102C"/>
    <w:rsid w:val="00153A08"/>
    <w:rsid w:val="001759D7"/>
    <w:rsid w:val="001821A3"/>
    <w:rsid w:val="001868E9"/>
    <w:rsid w:val="001913CF"/>
    <w:rsid w:val="00192754"/>
    <w:rsid w:val="00196388"/>
    <w:rsid w:val="001A0BDC"/>
    <w:rsid w:val="001A3449"/>
    <w:rsid w:val="001A6FB4"/>
    <w:rsid w:val="001B02D4"/>
    <w:rsid w:val="001B4CE9"/>
    <w:rsid w:val="001C1521"/>
    <w:rsid w:val="001C7DC8"/>
    <w:rsid w:val="001D4BB2"/>
    <w:rsid w:val="001F2F53"/>
    <w:rsid w:val="001F4479"/>
    <w:rsid w:val="001F47E7"/>
    <w:rsid w:val="002057A4"/>
    <w:rsid w:val="0020640F"/>
    <w:rsid w:val="00207A9B"/>
    <w:rsid w:val="00210A9D"/>
    <w:rsid w:val="00225D57"/>
    <w:rsid w:val="00226C97"/>
    <w:rsid w:val="002271FD"/>
    <w:rsid w:val="00227756"/>
    <w:rsid w:val="00260E6C"/>
    <w:rsid w:val="00262AF9"/>
    <w:rsid w:val="0026457A"/>
    <w:rsid w:val="0028681A"/>
    <w:rsid w:val="0029555F"/>
    <w:rsid w:val="002A0A36"/>
    <w:rsid w:val="002A532E"/>
    <w:rsid w:val="002B20AB"/>
    <w:rsid w:val="002C0CC3"/>
    <w:rsid w:val="002C21A0"/>
    <w:rsid w:val="002E272C"/>
    <w:rsid w:val="002E44E7"/>
    <w:rsid w:val="00300B27"/>
    <w:rsid w:val="003013D4"/>
    <w:rsid w:val="00301753"/>
    <w:rsid w:val="00302976"/>
    <w:rsid w:val="00312E06"/>
    <w:rsid w:val="0031338A"/>
    <w:rsid w:val="00313610"/>
    <w:rsid w:val="00321DFA"/>
    <w:rsid w:val="00326F0B"/>
    <w:rsid w:val="003320B6"/>
    <w:rsid w:val="00333A90"/>
    <w:rsid w:val="0035076A"/>
    <w:rsid w:val="003531AC"/>
    <w:rsid w:val="0035417D"/>
    <w:rsid w:val="0035675B"/>
    <w:rsid w:val="0035721A"/>
    <w:rsid w:val="003A34C0"/>
    <w:rsid w:val="003A4032"/>
    <w:rsid w:val="003B4D94"/>
    <w:rsid w:val="003C11E5"/>
    <w:rsid w:val="003C655E"/>
    <w:rsid w:val="00402165"/>
    <w:rsid w:val="004021A2"/>
    <w:rsid w:val="0041558E"/>
    <w:rsid w:val="00427FA2"/>
    <w:rsid w:val="004717FC"/>
    <w:rsid w:val="00472BDD"/>
    <w:rsid w:val="00475745"/>
    <w:rsid w:val="00476061"/>
    <w:rsid w:val="00481A46"/>
    <w:rsid w:val="00484188"/>
    <w:rsid w:val="0048528C"/>
    <w:rsid w:val="00495DC0"/>
    <w:rsid w:val="004A3A4E"/>
    <w:rsid w:val="004B0A79"/>
    <w:rsid w:val="004C33DB"/>
    <w:rsid w:val="004D3BCA"/>
    <w:rsid w:val="004D4F0D"/>
    <w:rsid w:val="004F2BB0"/>
    <w:rsid w:val="004F4181"/>
    <w:rsid w:val="00507465"/>
    <w:rsid w:val="00511C58"/>
    <w:rsid w:val="00521215"/>
    <w:rsid w:val="005305B4"/>
    <w:rsid w:val="0053666D"/>
    <w:rsid w:val="00545404"/>
    <w:rsid w:val="00550A52"/>
    <w:rsid w:val="00555067"/>
    <w:rsid w:val="00576018"/>
    <w:rsid w:val="00585AD0"/>
    <w:rsid w:val="00586E5B"/>
    <w:rsid w:val="005A7627"/>
    <w:rsid w:val="005B6182"/>
    <w:rsid w:val="005D15E3"/>
    <w:rsid w:val="005D589D"/>
    <w:rsid w:val="005E6799"/>
    <w:rsid w:val="005F01EE"/>
    <w:rsid w:val="005F51E8"/>
    <w:rsid w:val="0060015D"/>
    <w:rsid w:val="00632269"/>
    <w:rsid w:val="00637CCE"/>
    <w:rsid w:val="006421A8"/>
    <w:rsid w:val="00643612"/>
    <w:rsid w:val="006622FC"/>
    <w:rsid w:val="0067196E"/>
    <w:rsid w:val="00674DE0"/>
    <w:rsid w:val="00675C98"/>
    <w:rsid w:val="006962DA"/>
    <w:rsid w:val="0069796F"/>
    <w:rsid w:val="006A2532"/>
    <w:rsid w:val="006A2901"/>
    <w:rsid w:val="006B15C6"/>
    <w:rsid w:val="006C16CA"/>
    <w:rsid w:val="006C5B0A"/>
    <w:rsid w:val="006D6A3A"/>
    <w:rsid w:val="006D75F7"/>
    <w:rsid w:val="006E6698"/>
    <w:rsid w:val="006F3BF5"/>
    <w:rsid w:val="00703C70"/>
    <w:rsid w:val="00720826"/>
    <w:rsid w:val="00722996"/>
    <w:rsid w:val="00722BF7"/>
    <w:rsid w:val="00723AD6"/>
    <w:rsid w:val="0072509D"/>
    <w:rsid w:val="00726717"/>
    <w:rsid w:val="007334ED"/>
    <w:rsid w:val="00735AFD"/>
    <w:rsid w:val="00741DFD"/>
    <w:rsid w:val="00744D96"/>
    <w:rsid w:val="00762B11"/>
    <w:rsid w:val="00774E38"/>
    <w:rsid w:val="00781679"/>
    <w:rsid w:val="00785F43"/>
    <w:rsid w:val="007A2D08"/>
    <w:rsid w:val="007B0FB1"/>
    <w:rsid w:val="007B2653"/>
    <w:rsid w:val="007B2763"/>
    <w:rsid w:val="007C5D36"/>
    <w:rsid w:val="007D53E0"/>
    <w:rsid w:val="007D69DA"/>
    <w:rsid w:val="007E2FE3"/>
    <w:rsid w:val="0080482F"/>
    <w:rsid w:val="00816E80"/>
    <w:rsid w:val="00824FB2"/>
    <w:rsid w:val="008271FE"/>
    <w:rsid w:val="008333EB"/>
    <w:rsid w:val="00835F0F"/>
    <w:rsid w:val="008408B3"/>
    <w:rsid w:val="00844729"/>
    <w:rsid w:val="008473AB"/>
    <w:rsid w:val="00855AFF"/>
    <w:rsid w:val="0085656C"/>
    <w:rsid w:val="00860BB2"/>
    <w:rsid w:val="00862892"/>
    <w:rsid w:val="00863277"/>
    <w:rsid w:val="00872679"/>
    <w:rsid w:val="00875CB0"/>
    <w:rsid w:val="00891FB4"/>
    <w:rsid w:val="008A1A6C"/>
    <w:rsid w:val="008A1D3A"/>
    <w:rsid w:val="008A4417"/>
    <w:rsid w:val="008A5081"/>
    <w:rsid w:val="008B1E88"/>
    <w:rsid w:val="008B6134"/>
    <w:rsid w:val="008C7FCD"/>
    <w:rsid w:val="008D7CCD"/>
    <w:rsid w:val="008E7961"/>
    <w:rsid w:val="008F26C2"/>
    <w:rsid w:val="00916F0C"/>
    <w:rsid w:val="009253F6"/>
    <w:rsid w:val="00943874"/>
    <w:rsid w:val="00971155"/>
    <w:rsid w:val="009713E6"/>
    <w:rsid w:val="0097143F"/>
    <w:rsid w:val="00974CB6"/>
    <w:rsid w:val="0098789C"/>
    <w:rsid w:val="00994EEB"/>
    <w:rsid w:val="009964F4"/>
    <w:rsid w:val="009B3301"/>
    <w:rsid w:val="009B378C"/>
    <w:rsid w:val="009B41A6"/>
    <w:rsid w:val="009B57B4"/>
    <w:rsid w:val="009B5E4B"/>
    <w:rsid w:val="009D3E9B"/>
    <w:rsid w:val="009F0B51"/>
    <w:rsid w:val="009F4B69"/>
    <w:rsid w:val="009F5CDE"/>
    <w:rsid w:val="00A00537"/>
    <w:rsid w:val="00A14179"/>
    <w:rsid w:val="00A2432F"/>
    <w:rsid w:val="00A31958"/>
    <w:rsid w:val="00A34B2F"/>
    <w:rsid w:val="00A3629A"/>
    <w:rsid w:val="00A40089"/>
    <w:rsid w:val="00A53042"/>
    <w:rsid w:val="00A538B0"/>
    <w:rsid w:val="00A57994"/>
    <w:rsid w:val="00A67A90"/>
    <w:rsid w:val="00A773A4"/>
    <w:rsid w:val="00A8083D"/>
    <w:rsid w:val="00A82640"/>
    <w:rsid w:val="00A82EE9"/>
    <w:rsid w:val="00A83C6B"/>
    <w:rsid w:val="00A84FE9"/>
    <w:rsid w:val="00A95E62"/>
    <w:rsid w:val="00A97457"/>
    <w:rsid w:val="00AA564A"/>
    <w:rsid w:val="00AA5D8A"/>
    <w:rsid w:val="00AC2EC3"/>
    <w:rsid w:val="00AC50FB"/>
    <w:rsid w:val="00AC5B44"/>
    <w:rsid w:val="00AE1167"/>
    <w:rsid w:val="00B008C0"/>
    <w:rsid w:val="00B03982"/>
    <w:rsid w:val="00B05400"/>
    <w:rsid w:val="00B151A6"/>
    <w:rsid w:val="00B20DA8"/>
    <w:rsid w:val="00B22014"/>
    <w:rsid w:val="00B23420"/>
    <w:rsid w:val="00B23643"/>
    <w:rsid w:val="00B250F6"/>
    <w:rsid w:val="00B372D4"/>
    <w:rsid w:val="00B4023D"/>
    <w:rsid w:val="00B460E6"/>
    <w:rsid w:val="00B61350"/>
    <w:rsid w:val="00B62F52"/>
    <w:rsid w:val="00B63676"/>
    <w:rsid w:val="00B72452"/>
    <w:rsid w:val="00B80C11"/>
    <w:rsid w:val="00B960A5"/>
    <w:rsid w:val="00BB45F9"/>
    <w:rsid w:val="00BB5FE9"/>
    <w:rsid w:val="00BC2C01"/>
    <w:rsid w:val="00BC4BD8"/>
    <w:rsid w:val="00BD5680"/>
    <w:rsid w:val="00BF1282"/>
    <w:rsid w:val="00C025F3"/>
    <w:rsid w:val="00C0530D"/>
    <w:rsid w:val="00C12D4D"/>
    <w:rsid w:val="00C22A7C"/>
    <w:rsid w:val="00C302E8"/>
    <w:rsid w:val="00C44AA9"/>
    <w:rsid w:val="00C52B07"/>
    <w:rsid w:val="00C73D62"/>
    <w:rsid w:val="00C939C5"/>
    <w:rsid w:val="00C97300"/>
    <w:rsid w:val="00CA55FE"/>
    <w:rsid w:val="00CA7FB2"/>
    <w:rsid w:val="00CB11A2"/>
    <w:rsid w:val="00CB5308"/>
    <w:rsid w:val="00CC0548"/>
    <w:rsid w:val="00CD02F5"/>
    <w:rsid w:val="00CD56D3"/>
    <w:rsid w:val="00CE3C16"/>
    <w:rsid w:val="00CF1E65"/>
    <w:rsid w:val="00D010E8"/>
    <w:rsid w:val="00D11D62"/>
    <w:rsid w:val="00D15496"/>
    <w:rsid w:val="00D217C8"/>
    <w:rsid w:val="00D23522"/>
    <w:rsid w:val="00D23D1B"/>
    <w:rsid w:val="00D33018"/>
    <w:rsid w:val="00D471A0"/>
    <w:rsid w:val="00D5695F"/>
    <w:rsid w:val="00D60E54"/>
    <w:rsid w:val="00D672DE"/>
    <w:rsid w:val="00D70449"/>
    <w:rsid w:val="00D70719"/>
    <w:rsid w:val="00D77588"/>
    <w:rsid w:val="00DB0635"/>
    <w:rsid w:val="00DC08FB"/>
    <w:rsid w:val="00DD2E2E"/>
    <w:rsid w:val="00DD3241"/>
    <w:rsid w:val="00DD521D"/>
    <w:rsid w:val="00DD6DEE"/>
    <w:rsid w:val="00E07355"/>
    <w:rsid w:val="00E07CFA"/>
    <w:rsid w:val="00E1155A"/>
    <w:rsid w:val="00E36FCB"/>
    <w:rsid w:val="00E41778"/>
    <w:rsid w:val="00E42006"/>
    <w:rsid w:val="00E514D7"/>
    <w:rsid w:val="00E55D64"/>
    <w:rsid w:val="00E60555"/>
    <w:rsid w:val="00E659EE"/>
    <w:rsid w:val="00E72314"/>
    <w:rsid w:val="00E74D06"/>
    <w:rsid w:val="00E768A9"/>
    <w:rsid w:val="00EA0BD3"/>
    <w:rsid w:val="00EA68BB"/>
    <w:rsid w:val="00EB3DFB"/>
    <w:rsid w:val="00EB5B9B"/>
    <w:rsid w:val="00EC4239"/>
    <w:rsid w:val="00EC7315"/>
    <w:rsid w:val="00ED1F5D"/>
    <w:rsid w:val="00ED7C49"/>
    <w:rsid w:val="00EE09CE"/>
    <w:rsid w:val="00EE2B2C"/>
    <w:rsid w:val="00EE4AC4"/>
    <w:rsid w:val="00EF12A3"/>
    <w:rsid w:val="00EF1A68"/>
    <w:rsid w:val="00EF6D71"/>
    <w:rsid w:val="00EF7271"/>
    <w:rsid w:val="00F004C9"/>
    <w:rsid w:val="00F143DA"/>
    <w:rsid w:val="00F31A1D"/>
    <w:rsid w:val="00F33D0B"/>
    <w:rsid w:val="00F350CE"/>
    <w:rsid w:val="00F40B14"/>
    <w:rsid w:val="00F751AA"/>
    <w:rsid w:val="00F839B9"/>
    <w:rsid w:val="00F862E7"/>
    <w:rsid w:val="00F93552"/>
    <w:rsid w:val="00F96D02"/>
    <w:rsid w:val="00FA0A95"/>
    <w:rsid w:val="00FA27D3"/>
    <w:rsid w:val="00FA353E"/>
    <w:rsid w:val="00FB0556"/>
    <w:rsid w:val="00FB7461"/>
    <w:rsid w:val="00FC5BC0"/>
    <w:rsid w:val="00FD0752"/>
    <w:rsid w:val="00FF09CC"/>
    <w:rsid w:val="60DF197D"/>
    <w:rsid w:val="74E2D1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C8D2B9"/>
  <w15:chartTrackingRefBased/>
  <w15:docId w15:val="{1E84D63F-9EA1-BD49-98CE-29883B8E7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2D4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2D4D"/>
    <w:rPr>
      <w:color w:val="808080"/>
    </w:rPr>
  </w:style>
  <w:style w:type="paragraph" w:styleId="ListParagraph">
    <w:name w:val="List Paragraph"/>
    <w:basedOn w:val="Normal"/>
    <w:uiPriority w:val="34"/>
    <w:qFormat/>
    <w:rsid w:val="00C12D4D"/>
    <w:pPr>
      <w:ind w:left="720"/>
      <w:contextualSpacing/>
    </w:pPr>
  </w:style>
  <w:style w:type="table" w:styleId="TableGrid">
    <w:name w:val="Table Grid"/>
    <w:basedOn w:val="TableNormal"/>
    <w:uiPriority w:val="39"/>
    <w:rsid w:val="00C12D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12D4D"/>
    <w:rPr>
      <w:color w:val="0563C1" w:themeColor="hyperlink"/>
      <w:u w:val="single"/>
    </w:rPr>
  </w:style>
  <w:style w:type="character" w:styleId="UnresolvedMention">
    <w:name w:val="Unresolved Mention"/>
    <w:basedOn w:val="DefaultParagraphFont"/>
    <w:uiPriority w:val="99"/>
    <w:semiHidden/>
    <w:unhideWhenUsed/>
    <w:rsid w:val="00C12D4D"/>
    <w:rPr>
      <w:color w:val="605E5C"/>
      <w:shd w:val="clear" w:color="auto" w:fill="E1DFDD"/>
    </w:rPr>
  </w:style>
  <w:style w:type="character" w:styleId="FollowedHyperlink">
    <w:name w:val="FollowedHyperlink"/>
    <w:basedOn w:val="DefaultParagraphFont"/>
    <w:uiPriority w:val="99"/>
    <w:semiHidden/>
    <w:unhideWhenUsed/>
    <w:rsid w:val="00C12D4D"/>
    <w:rPr>
      <w:color w:val="954F72" w:themeColor="followedHyperlink"/>
      <w:u w:val="single"/>
    </w:rPr>
  </w:style>
  <w:style w:type="paragraph" w:customStyle="1" w:styleId="Default">
    <w:name w:val="Default"/>
    <w:rsid w:val="00C12D4D"/>
    <w:pPr>
      <w:autoSpaceDE w:val="0"/>
      <w:autoSpaceDN w:val="0"/>
      <w:adjustRightInd w:val="0"/>
    </w:pPr>
    <w:rPr>
      <w:rFonts w:ascii="Arial" w:hAnsi="Arial" w:cs="Arial"/>
      <w:color w:val="000000"/>
    </w:rPr>
  </w:style>
  <w:style w:type="character" w:styleId="LineNumber">
    <w:name w:val="line number"/>
    <w:basedOn w:val="DefaultParagraphFont"/>
    <w:uiPriority w:val="99"/>
    <w:semiHidden/>
    <w:unhideWhenUsed/>
    <w:rsid w:val="00C12D4D"/>
  </w:style>
  <w:style w:type="paragraph" w:customStyle="1" w:styleId="Acknowledgement">
    <w:name w:val="Acknowledgement"/>
    <w:basedOn w:val="Normal"/>
    <w:rsid w:val="00C12D4D"/>
    <w:pPr>
      <w:spacing w:before="120"/>
      <w:ind w:left="720" w:hanging="720"/>
    </w:pPr>
    <w:rPr>
      <w:rFonts w:eastAsia="Times New Roman"/>
      <w:lang w:val="en-US"/>
    </w:rPr>
  </w:style>
  <w:style w:type="character" w:styleId="CommentReference">
    <w:name w:val="annotation reference"/>
    <w:basedOn w:val="DefaultParagraphFont"/>
    <w:uiPriority w:val="99"/>
    <w:semiHidden/>
    <w:unhideWhenUsed/>
    <w:rsid w:val="00C12D4D"/>
    <w:rPr>
      <w:sz w:val="16"/>
      <w:szCs w:val="16"/>
    </w:rPr>
  </w:style>
  <w:style w:type="paragraph" w:styleId="CommentText">
    <w:name w:val="annotation text"/>
    <w:basedOn w:val="Normal"/>
    <w:link w:val="CommentTextChar"/>
    <w:uiPriority w:val="99"/>
    <w:semiHidden/>
    <w:unhideWhenUsed/>
    <w:rsid w:val="00C12D4D"/>
    <w:rPr>
      <w:sz w:val="20"/>
      <w:szCs w:val="20"/>
    </w:rPr>
  </w:style>
  <w:style w:type="character" w:customStyle="1" w:styleId="CommentTextChar">
    <w:name w:val="Comment Text Char"/>
    <w:basedOn w:val="DefaultParagraphFont"/>
    <w:link w:val="CommentText"/>
    <w:uiPriority w:val="99"/>
    <w:semiHidden/>
    <w:rsid w:val="00C12D4D"/>
    <w:rPr>
      <w:sz w:val="20"/>
      <w:szCs w:val="20"/>
    </w:rPr>
  </w:style>
  <w:style w:type="paragraph" w:styleId="CommentSubject">
    <w:name w:val="annotation subject"/>
    <w:basedOn w:val="CommentText"/>
    <w:next w:val="CommentText"/>
    <w:link w:val="CommentSubjectChar"/>
    <w:uiPriority w:val="99"/>
    <w:semiHidden/>
    <w:unhideWhenUsed/>
    <w:rsid w:val="00C12D4D"/>
    <w:rPr>
      <w:b/>
      <w:bCs/>
    </w:rPr>
  </w:style>
  <w:style w:type="character" w:customStyle="1" w:styleId="CommentSubjectChar">
    <w:name w:val="Comment Subject Char"/>
    <w:basedOn w:val="CommentTextChar"/>
    <w:link w:val="CommentSubject"/>
    <w:uiPriority w:val="99"/>
    <w:semiHidden/>
    <w:rsid w:val="00C12D4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1684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43C9F7-2650-124B-919A-285375C874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30</Pages>
  <Words>18808</Words>
  <Characters>107211</Characters>
  <Application>Microsoft Office Word</Application>
  <DocSecurity>0</DocSecurity>
  <Lines>893</Lines>
  <Paragraphs>251</Paragraphs>
  <ScaleCrop>false</ScaleCrop>
  <Company/>
  <LinksUpToDate>false</LinksUpToDate>
  <CharactersWithSpaces>125768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Jasper Verschuur</dc:creator>
  <cp:keywords/>
  <dc:description/>
  <cp:lastModifiedBy>Jasper Verschuur</cp:lastModifiedBy>
  <cp:revision>293</cp:revision>
  <dcterms:created xsi:type="dcterms:W3CDTF">2022-07-04T08:15:00Z</dcterms:created>
  <dcterms:modified xsi:type="dcterms:W3CDTF">2025-04-30T11:42:00Z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781b9479-f752-3654-9829-7b2764f7616c</vt:lpwstr>
  </property>
  <property fmtid="{D5CDD505-2E9C-101B-9397-08002B2CF9AE}" pid="4" name="Mendeley Citation Style_1">
    <vt:lpwstr>http://www.zotero.org/styles/nature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http://www.zotero.org/styles/harvard-cite-them-right</vt:lpwstr>
  </property>
  <property fmtid="{D5CDD505-2E9C-101B-9397-08002B2CF9AE}" pid="10" name="Mendeley Recent Style Name 2_1">
    <vt:lpwstr>Cite Them Right 10th edition - Harvard</vt:lpwstr>
  </property>
  <property fmtid="{D5CDD505-2E9C-101B-9397-08002B2CF9AE}" pid="11" name="Mendeley Recent Style Id 3_1">
    <vt:lpwstr>http://www.zotero.org/styles/environmental-research-letters</vt:lpwstr>
  </property>
  <property fmtid="{D5CDD505-2E9C-101B-9397-08002B2CF9AE}" pid="12" name="Mendeley Recent Style Name 3_1">
    <vt:lpwstr>Environmental Research Letters</vt:lpwstr>
  </property>
  <property fmtid="{D5CDD505-2E9C-101B-9397-08002B2CF9AE}" pid="13" name="Mendeley Recent Style Id 4_1">
    <vt:lpwstr>http://www.zotero.org/styles/frontiers-in-environmental-science</vt:lpwstr>
  </property>
  <property fmtid="{D5CDD505-2E9C-101B-9397-08002B2CF9AE}" pid="14" name="Mendeley Recent Style Name 4_1">
    <vt:lpwstr>Frontiers in Environmental Science</vt:lpwstr>
  </property>
  <property fmtid="{D5CDD505-2E9C-101B-9397-08002B2CF9AE}" pid="15" name="Mendeley Recent Style Id 5_1">
    <vt:lpwstr>http://www.zotero.org/styles/journal-of-transport-geography</vt:lpwstr>
  </property>
  <property fmtid="{D5CDD505-2E9C-101B-9397-08002B2CF9AE}" pid="16" name="Mendeley Recent Style Name 5_1">
    <vt:lpwstr>Journal of Transport Geography</vt:lpwstr>
  </property>
  <property fmtid="{D5CDD505-2E9C-101B-9397-08002B2CF9AE}" pid="17" name="Mendeley Recent Style Id 6_1">
    <vt:lpwstr>http://www.zotero.org/styles/natural-hazards-and-earth-system-sciences</vt:lpwstr>
  </property>
  <property fmtid="{D5CDD505-2E9C-101B-9397-08002B2CF9AE}" pid="18" name="Mendeley Recent Style Name 6_1">
    <vt:lpwstr>Natural Hazards and Earth System Sciences</vt:lpwstr>
  </property>
  <property fmtid="{D5CDD505-2E9C-101B-9397-08002B2CF9AE}" pid="19" name="Mendeley Recent Style Id 7_1">
    <vt:lpwstr>http://www.zotero.org/styles/nature</vt:lpwstr>
  </property>
  <property fmtid="{D5CDD505-2E9C-101B-9397-08002B2CF9AE}" pid="20" name="Mendeley Recent Style Name 7_1">
    <vt:lpwstr>Nature</vt:lpwstr>
  </property>
  <property fmtid="{D5CDD505-2E9C-101B-9397-08002B2CF9AE}" pid="21" name="Mendeley Recent Style Id 8_1">
    <vt:lpwstr>http://www.zotero.org/styles/science-advances</vt:lpwstr>
  </property>
  <property fmtid="{D5CDD505-2E9C-101B-9397-08002B2CF9AE}" pid="22" name="Mendeley Recent Style Name 8_1">
    <vt:lpwstr>Science Advances</vt:lpwstr>
  </property>
  <property fmtid="{D5CDD505-2E9C-101B-9397-08002B2CF9AE}" pid="23" name="Mendeley Recent Style Id 9_1">
    <vt:lpwstr>http://www.zotero.org/styles/scientific-reports</vt:lpwstr>
  </property>
  <property fmtid="{D5CDD505-2E9C-101B-9397-08002B2CF9AE}" pid="24" name="Mendeley Recent Style Name 9_1">
    <vt:lpwstr>Scientific Reports</vt:lpwstr>
  </property>
</Properties>
</file>