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6A01F" w14:textId="77777777" w:rsidR="00240E9A" w:rsidRDefault="00240E9A" w:rsidP="00240E9A">
      <w:pPr>
        <w:pStyle w:val="Heading1"/>
      </w:pPr>
      <w:r>
        <w:t>Supplemental Material</w:t>
      </w:r>
    </w:p>
    <w:p w14:paraId="332986FA" w14:textId="77777777" w:rsidR="00240E9A" w:rsidRDefault="00240E9A" w:rsidP="00240E9A">
      <w:pPr>
        <w:spacing w:after="0" w:line="240" w:lineRule="auto"/>
        <w:jc w:val="both"/>
        <w:rPr>
          <w:rFonts w:ascii="Times" w:eastAsia="Times" w:hAnsi="Times" w:cs="Times"/>
          <w:b/>
          <w:sz w:val="22"/>
          <w:szCs w:val="22"/>
        </w:rPr>
      </w:pPr>
    </w:p>
    <w:p w14:paraId="5B2BE3C3" w14:textId="77777777" w:rsidR="00240E9A" w:rsidRPr="003958EA" w:rsidRDefault="00240E9A" w:rsidP="00240E9A">
      <w:pPr>
        <w:pStyle w:val="Caption"/>
        <w:keepNext/>
        <w:rPr>
          <w:sz w:val="20"/>
          <w:szCs w:val="20"/>
        </w:rPr>
      </w:pPr>
      <w:bookmarkStart w:id="0" w:name="_Ref71876783"/>
      <w:r w:rsidRPr="003958EA">
        <w:rPr>
          <w:sz w:val="20"/>
          <w:szCs w:val="20"/>
        </w:rPr>
        <w:t xml:space="preserve">Supplementary Table </w:t>
      </w:r>
      <w:r w:rsidRPr="003958EA">
        <w:rPr>
          <w:sz w:val="20"/>
          <w:szCs w:val="20"/>
        </w:rPr>
        <w:fldChar w:fldCharType="begin"/>
      </w:r>
      <w:r w:rsidRPr="003958EA">
        <w:rPr>
          <w:sz w:val="20"/>
          <w:szCs w:val="20"/>
        </w:rPr>
        <w:instrText xml:space="preserve"> SEQ Supplementary_Table \* ARABIC </w:instrText>
      </w:r>
      <w:r w:rsidRPr="003958EA">
        <w:rPr>
          <w:sz w:val="20"/>
          <w:szCs w:val="20"/>
        </w:rPr>
        <w:fldChar w:fldCharType="separate"/>
      </w:r>
      <w:r>
        <w:rPr>
          <w:noProof/>
          <w:sz w:val="20"/>
          <w:szCs w:val="20"/>
        </w:rPr>
        <w:t>1</w:t>
      </w:r>
      <w:r w:rsidRPr="003958EA">
        <w:rPr>
          <w:sz w:val="20"/>
          <w:szCs w:val="20"/>
        </w:rPr>
        <w:fldChar w:fldCharType="end"/>
      </w:r>
      <w:bookmarkEnd w:id="0"/>
      <w:r w:rsidRPr="003958EA">
        <w:rPr>
          <w:sz w:val="20"/>
          <w:szCs w:val="20"/>
        </w:rPr>
        <w:t>: Comparison of some methods for containing pandemic</w:t>
      </w:r>
    </w:p>
    <w:tbl>
      <w:tblPr>
        <w:tblW w:w="935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CellMar>
          <w:left w:w="115" w:type="dxa"/>
          <w:right w:w="115" w:type="dxa"/>
        </w:tblCellMar>
        <w:tblLook w:val="0400" w:firstRow="0" w:lastRow="0" w:firstColumn="0" w:lastColumn="0" w:noHBand="0" w:noVBand="1"/>
      </w:tblPr>
      <w:tblGrid>
        <w:gridCol w:w="2605"/>
        <w:gridCol w:w="2116"/>
        <w:gridCol w:w="4629"/>
      </w:tblGrid>
      <w:tr w:rsidR="00240E9A" w14:paraId="6D4B5E73" w14:textId="77777777" w:rsidTr="00326329">
        <w:tc>
          <w:tcPr>
            <w:tcW w:w="2605" w:type="dxa"/>
            <w:shd w:val="clear" w:color="auto" w:fill="CCCCCC"/>
          </w:tcPr>
          <w:p w14:paraId="3DCD907F" w14:textId="77777777" w:rsidR="00240E9A" w:rsidRDefault="00240E9A" w:rsidP="00326329">
            <w:pPr>
              <w:rPr>
                <w:rFonts w:ascii="Calibri" w:eastAsia="Calibri" w:hAnsi="Calibri" w:cs="Calibri"/>
                <w:b/>
                <w:sz w:val="20"/>
                <w:szCs w:val="20"/>
              </w:rPr>
            </w:pPr>
            <w:r>
              <w:rPr>
                <w:rFonts w:ascii="Calibri" w:eastAsia="Calibri" w:hAnsi="Calibri" w:cs="Calibri"/>
                <w:b/>
                <w:sz w:val="20"/>
                <w:szCs w:val="20"/>
              </w:rPr>
              <w:t>Approach</w:t>
            </w:r>
          </w:p>
        </w:tc>
        <w:tc>
          <w:tcPr>
            <w:tcW w:w="2116" w:type="dxa"/>
            <w:shd w:val="clear" w:color="auto" w:fill="CCCCCC"/>
          </w:tcPr>
          <w:p w14:paraId="122D3E1E" w14:textId="77777777" w:rsidR="00240E9A" w:rsidRDefault="00240E9A" w:rsidP="00326329">
            <w:pPr>
              <w:rPr>
                <w:rFonts w:ascii="Calibri" w:eastAsia="Calibri" w:hAnsi="Calibri" w:cs="Calibri"/>
                <w:b/>
                <w:sz w:val="20"/>
                <w:szCs w:val="20"/>
              </w:rPr>
            </w:pPr>
            <w:r>
              <w:rPr>
                <w:rFonts w:ascii="Calibri" w:eastAsia="Calibri" w:hAnsi="Calibri" w:cs="Calibri"/>
                <w:b/>
                <w:sz w:val="20"/>
                <w:szCs w:val="20"/>
              </w:rPr>
              <w:t>Pros</w:t>
            </w:r>
          </w:p>
        </w:tc>
        <w:tc>
          <w:tcPr>
            <w:tcW w:w="4629" w:type="dxa"/>
            <w:shd w:val="clear" w:color="auto" w:fill="CCCCCC"/>
          </w:tcPr>
          <w:p w14:paraId="6CB4C08A" w14:textId="77777777" w:rsidR="00240E9A" w:rsidRDefault="00240E9A" w:rsidP="00326329">
            <w:pPr>
              <w:rPr>
                <w:rFonts w:ascii="Calibri" w:eastAsia="Calibri" w:hAnsi="Calibri" w:cs="Calibri"/>
                <w:b/>
                <w:sz w:val="20"/>
                <w:szCs w:val="20"/>
              </w:rPr>
            </w:pPr>
            <w:r>
              <w:rPr>
                <w:rFonts w:ascii="Calibri" w:eastAsia="Calibri" w:hAnsi="Calibri" w:cs="Calibri"/>
                <w:b/>
                <w:sz w:val="20"/>
                <w:szCs w:val="20"/>
              </w:rPr>
              <w:t>Cons</w:t>
            </w:r>
          </w:p>
        </w:tc>
      </w:tr>
      <w:tr w:rsidR="00240E9A" w14:paraId="2E713CA6" w14:textId="77777777" w:rsidTr="00326329">
        <w:tc>
          <w:tcPr>
            <w:tcW w:w="2605" w:type="dxa"/>
            <w:shd w:val="clear" w:color="auto" w:fill="CCCCCC"/>
          </w:tcPr>
          <w:p w14:paraId="7F73466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Vaccine</w:t>
            </w:r>
          </w:p>
        </w:tc>
        <w:tc>
          <w:tcPr>
            <w:tcW w:w="2116" w:type="dxa"/>
            <w:shd w:val="clear" w:color="auto" w:fill="CCCCCC"/>
          </w:tcPr>
          <w:p w14:paraId="0460DB8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 xml:space="preserve">Immunized resistance </w:t>
            </w:r>
          </w:p>
        </w:tc>
        <w:tc>
          <w:tcPr>
            <w:tcW w:w="4629" w:type="dxa"/>
            <w:shd w:val="clear" w:color="auto" w:fill="CCCCCC"/>
          </w:tcPr>
          <w:p w14:paraId="12D27222"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Slow to develop; limited to a specific infectious agent; mutations of the target pathogen can defeat a vaccine; possible side-effects</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{"citationID":"pfj1oaWi","properties":{"formattedCitation":"\\super 34\\nosupersub{}","plainCitation":"34","noteIndex":0},"citationItems":[{"id":2510,"uris":["http://zotero.org/groups/2886549/items/582GGC9N"],"uri":["http://zotero.org/groups/2886549/items/582GGC9N"],"itemData":{"id":2510,"type":"article-journal","abstract":"A novel coronavirus, which has been designated as severe acute respiratory syndrome coronavirus 2 (SARS-CoV-2), was first detected in December 2019 in Wuhan China and causes the highly infectious disease referred to as COVID-19. COVID-19 has now spread worldwide to become a global pandemic affecting over 24 million people as of August 26th, 2020 and claimed the life of more than 800,000 people worldwide. COVID-19 is asymptomatic for some individuals and for others it can cause symptoms ranging from flu-like to acute respiratory distress syndrome (ARDS), pneumonia and death. Although it is anticipated that an effective vaccine will be available to protect against COVID-19, at present the world is relying on social distancing and hygiene measures and repurposed drugs. There is a worldwide effort to develop an effective vaccine against SARS-CoV-2 and, as of late August 2020, there are 30 vaccines in clinical trials with over 200 in various stages of development. This review will focus on the eight vaccine candidates that entered Phase 1 clinical trials in mid-May, including AstraZeneca/Oxford's AZD1222, Moderna's mRNA-1273 and Sinovac's CoronaVac vaccines, which are currently in advanced stages of vaccine development. In addition to reviewing the different stages of vaccine development, vaccine platforms and vaccine candidates, this review also discusses the biological and immunological basis required of a SARS-CoV-2 vaccine, the importance of a collaborative international effort, the ethical implications of vaccine development, the efficacy needed for an immunogenic vaccine, vaccine coverage, the potential limitations and challenges of vaccine development. Although the demand for a vaccine far surpasses the production capacity, it will be beneficial to have a limited number of vaccines available for the more vulnerable population by the end of 2020 and for the rest of the global population by the end of 2021.","container-title":"Frontiers in Immunology","DOI":"10.3389/fimmu.2020.585354","ISSN":"1664-3224","journalAbbreviation":"Front Immunol","language":"eng","note":"PMID: 33163000\nPMCID: PMC7591699","page":"585354","source":"PubMed","title":"A Review of the Progress and Challenges of Developing a Vaccine for COVID-19","volume":"11","author":[{"family":"Sharma","given":"Omna"},{"family":"Sultan","given":"Ali A."},{"family":"Ding","given":"Hong"},{"family":"Triggle","given":"Chris R."}],"issued":{"date-parts":[["2020"]]}}}],"schema":"https://github.com/citation-style-language/schema/raw/master/csl-citation.json"}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34</w:t>
            </w:r>
            <w:r>
              <w:rPr>
                <w:rFonts w:ascii="Calibri" w:eastAsia="Calibri" w:hAnsi="Calibri" w:cs="Calibri"/>
                <w:sz w:val="20"/>
                <w:szCs w:val="20"/>
              </w:rPr>
              <w:fldChar w:fldCharType="end"/>
            </w:r>
          </w:p>
        </w:tc>
      </w:tr>
      <w:tr w:rsidR="00240E9A" w14:paraId="77161B5A" w14:textId="77777777" w:rsidTr="00326329">
        <w:tc>
          <w:tcPr>
            <w:tcW w:w="2605" w:type="dxa"/>
            <w:shd w:val="clear" w:color="auto" w:fill="CCCCCC"/>
          </w:tcPr>
          <w:p w14:paraId="49306BEB"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Directly sense the presence of infectious agent (e.g., surfaces, in the air, in the water, etc.)</w:t>
            </w:r>
          </w:p>
        </w:tc>
        <w:tc>
          <w:tcPr>
            <w:tcW w:w="2116" w:type="dxa"/>
            <w:shd w:val="clear" w:color="auto" w:fill="CCCCCC"/>
          </w:tcPr>
          <w:p w14:paraId="61A8F860"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Early warning of threat</w:t>
            </w:r>
          </w:p>
        </w:tc>
        <w:tc>
          <w:tcPr>
            <w:tcW w:w="4629" w:type="dxa"/>
            <w:shd w:val="clear" w:color="auto" w:fill="CCCCCC"/>
          </w:tcPr>
          <w:p w14:paraId="2A4D6B32"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Requires custom development; limited to a specific infectious agent; limited range; collecting samples to test can be labor-intensive</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{"citationID":"2ts6nP96","properties":{"formattedCitation":"\\super 35\\nosupersub{}","plainCitation":"35","noteIndex":0},"citationItems":[{"id":2513,"uris":["http://zotero.org/groups/2886549/items/IFTIQHBH"],"uri":["http://zotero.org/groups/2886549/items/IFTIQHBH"],"itemData":{"id":2513,"type":"article-journal","abstract":"The unprecedented global spread of the severe acute respiratory syndrome (SARS) caused by SARS-CoV-2 is depicting the distressing pandemic consequence on human health, economy as well as ecosystem services. So far novel coronavirus (CoV) outbreaks were associated with SARS-CoV-2 (2019), middle east respiratory syndrome coronavirus (MERS-CoV, 2012), and SARS-CoV-1 (2003) events. CoV relates to the enveloped family of Betacoronavirus (βCoV) with positive-sense single-stranded RNA (+ssRNA). Knowing well the persistence, transmission, and spread of SARS-CoV-2 through proximity, the faecal-oral route is now emerging as a major environmental concern to community transmission. The replication and persistence of CoV in the gastrointestinal (GI) tract and shedding through stools is indicating a potential transmission route to the environment settings. Despite of the evidence, based on fewer reports on SARS-CoV-2 occurrence and persistence in wastewater/sewage/water, the transmission of the infective virus to the community is yet to be established. In this realm, this communication attempted to review the possible influx route of the enteric enveloped viral transmission in the environmental settings with reference to its occurrence, persistence, detection, and inactivation based on the published literature so far. The possibilities of airborne transmission through enteric virus-laden aerosols, environmental factors that may influence the viral transmission, and disinfection methods (conventional and emerging) as well as the inactivation mechanism with reference to the enveloped virus were reviewed. The need for wastewater epidemiology (WBE) studies for surveillance as well as for early warning signal was elaborated. This communication will provide a basis to understand the SARS-CoV-2 as well as other viruses in the context of the environmental engineering perspective to design effective strategies to counter the enteric virus transmission and also serves as a working paper for researchers, policy makers and regulators.","container-title":"Chemical Engineering Journal (Lausanne, Switzerland: 1996)","DOI":"10.1016/j.cej.2020.126893","ISSN":"1385-8947","journalAbbreviation":"Chem Eng J","language":"eng","note":"PMID: 32901196\nPMCID: PMC7471803","page":"126893","source":"PubMed","title":"SARS-CoV-2 in environmental perspective: Occurrence, persistence, surveillance, inactivation and challenges","title-short":"SARS-CoV-2 in environmental perspective","volume":"405","author":[{"family":"Mohan","given":"S. Venkata"},{"family":"Hemalatha","given":"Manupati"},{"family":"Kopperi","given":"Harishankar"},{"family":"Ranjith","given":"I."},{"family":"Kumar","given":"A. Kiran"}],"issued":{"date-parts":[["2021",2,1]]}}}],"schema":"https://github.com/citation-style-language/schema/raw/master/csl-citation.json"}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35</w:t>
            </w:r>
            <w:r>
              <w:rPr>
                <w:rFonts w:ascii="Calibri" w:eastAsia="Calibri" w:hAnsi="Calibri" w:cs="Calibri"/>
                <w:sz w:val="20"/>
                <w:szCs w:val="20"/>
              </w:rPr>
              <w:fldChar w:fldCharType="end"/>
            </w:r>
          </w:p>
        </w:tc>
      </w:tr>
      <w:tr w:rsidR="00240E9A" w14:paraId="22A8983F" w14:textId="77777777" w:rsidTr="00326329">
        <w:tc>
          <w:tcPr>
            <w:tcW w:w="2605" w:type="dxa"/>
            <w:shd w:val="clear" w:color="auto" w:fill="CCCCCC"/>
          </w:tcPr>
          <w:p w14:paraId="262442C2"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 xml:space="preserve">Contact tracing regarding proximity to </w:t>
            </w:r>
            <w:proofErr w:type="gramStart"/>
            <w:r>
              <w:rPr>
                <w:rFonts w:ascii="Calibri" w:eastAsia="Calibri" w:hAnsi="Calibri" w:cs="Calibri"/>
                <w:sz w:val="20"/>
                <w:szCs w:val="20"/>
              </w:rPr>
              <w:t>positively-diagnosed</w:t>
            </w:r>
            <w:proofErr w:type="gramEnd"/>
            <w:r>
              <w:rPr>
                <w:rFonts w:ascii="Calibri" w:eastAsia="Calibri" w:hAnsi="Calibri" w:cs="Calibri"/>
                <w:sz w:val="20"/>
                <w:szCs w:val="20"/>
              </w:rPr>
              <w:t xml:space="preserve"> individuals</w:t>
            </w:r>
          </w:p>
        </w:tc>
        <w:tc>
          <w:tcPr>
            <w:tcW w:w="2116" w:type="dxa"/>
            <w:shd w:val="clear" w:color="auto" w:fill="CCCCCC"/>
          </w:tcPr>
          <w:p w14:paraId="5821D814"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Warning of exposure</w:t>
            </w:r>
          </w:p>
        </w:tc>
        <w:tc>
          <w:tcPr>
            <w:tcW w:w="4629" w:type="dxa"/>
            <w:shd w:val="clear" w:color="auto" w:fill="CCCCCC"/>
          </w:tcPr>
          <w:p w14:paraId="256B5BAC"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Privacy issues; does not warn of contact with infected and contagious people who are not yet diagnosed; compliance problems</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{"citationID":"Fh1uLd2X","properties":{"formattedCitation":"\\super 36\\nosupersub{}","plainCitation":"36","noteIndex":0},"citationItems":[{"id":2519,"uris":["http://zotero.org/groups/2886549/items/72A6C7QU"],"uri":["http://zotero.org/groups/2886549/items/72A6C7QU"],"itemData":{"id":2519,"type":"article-journal","container-title":"New England Journal of Medicine","DOI":"10.1056/NEJMp2021887","ISSN":"0028-4793","issue":"19","note":"publisher: Massachusetts Medical Society\n_eprint: https://doi.org/10.1056/NEJMp2021887","page":"1806-1808","source":"Taylor and Francis+NEJM","title":"“A Menace to the Public Health” — Contact Tracing and the Limits of Persuasion","volume":"383","author":[{"family":"Mooney","given":"Graham"}],"issued":{"date-parts":[["2020",11,5]]}}}],"schema":"https://github.com/citation-style-language/schema/raw/master/csl-citation.json"}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36</w:t>
            </w:r>
            <w:r>
              <w:rPr>
                <w:rFonts w:ascii="Calibri" w:eastAsia="Calibri" w:hAnsi="Calibri" w:cs="Calibri"/>
                <w:sz w:val="20"/>
                <w:szCs w:val="20"/>
              </w:rPr>
              <w:fldChar w:fldCharType="end"/>
            </w:r>
          </w:p>
        </w:tc>
      </w:tr>
      <w:tr w:rsidR="00240E9A" w14:paraId="2CF2B8CF" w14:textId="77777777" w:rsidTr="00326329">
        <w:tc>
          <w:tcPr>
            <w:tcW w:w="2605" w:type="dxa"/>
            <w:shd w:val="clear" w:color="auto" w:fill="CCCCCC"/>
          </w:tcPr>
          <w:p w14:paraId="38E57CA8"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Symptom tracking</w:t>
            </w:r>
          </w:p>
        </w:tc>
        <w:tc>
          <w:tcPr>
            <w:tcW w:w="2116" w:type="dxa"/>
            <w:shd w:val="clear" w:color="auto" w:fill="CCCCCC"/>
          </w:tcPr>
          <w:p w14:paraId="56EC15B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Pre-diagnosis warning of risk</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{"citationID":"AfY8BG2O","properties":{"formattedCitation":"\\super 37\\nosupersub{}","plainCitation":"37","noteIndex":0},"citationItems":[{"id":2462,"uris":["http://zotero.org/groups/2886549/items/KNAVHTL8"],"uri":["http://zotero.org/groups/2886549/items/KNAVHTL8"],"itemData":{"id":2462,"type":"article-journal","abstract":"Background: Since Covid-19 global pandemic emerged, developing countries are facing multiple challenges for its diagnosis. We aimed to establish a relationship between sign and symptoms of COVID-19 for early detection and assessment to reduce transmission rate of SARS-Cov-2. Methods: We collected published data on clinical features of Covid-19 retrospectively and categorized into physical and blood biomarkers. Common features were assigned scores by Borg scoring method with slight modifications and incorporated into newly developed Hashmi-Asif Covid-19 assessment Chart. Correlation of sign and symptoms with development of Covid-19 was assessed by Pearson correlation and Spearman Correlation coefficient (rho). Linear regression analysis employed to assess highest correlating features. Frequency of sign and symptoms to develop in Covid-19 was assessed through Chi-square test two tailed with Cra-mer’s V strength. Changes in sign and symptoms were incorporated into chart consisted on four tiers representing disease stages. Results: Data of 10172 Covid-19 laboratory confirmed cases showed correlation with Fever in 43.9% (P=0.000) cases, cough 54.08% and dry mucus 25.68% equally significant (P=0.000), Hyperemic pharyngeal mucus membrane 17.92% (P=0.005), leukopenia 28.11% (P=0.000), lymphopenia 64.35% (P=0.000), thrombopenia 35.49% (P=0.000), elevated Aspartate aminotransferase 50.02% (P=0.000) and Alanine aminotransferase 34.49% (P=0.000). Chart exhibit maximum scoring 39. Normal tier scoring ≤12/39, mild state scored 13-22/39 or star values scoring ≥7/15 on chart means Covid-19 is progressing and quarantine be adopted. Moderate stage showed 23-33 and severe scored 34-39 in chart. Conclusion: Hashmi-Asif Covid-19 Chart holds significance to assess subclinical and clinical stages of Covid-19 to reduce transmission rate.","container-title":"Frontiers in Medicine","DOI":"10.3389/fmed.2020.00311","ISSN":"2296-858X","journalAbbreviation":"Front. Med.","language":"English","note":"publisher: Frontiers","source":"Frontiers","title":"Early Detection and Assessment of Covid-19","URL":"https://www.frontiersin.org/articles/10.3389/fmed.2020.00311/full","volume":"7","author":[{"family":"Hashmi","given":"Hafiz Abdul Sattar"},{"family":"Asif","given":"Hafiz Muhammad"}],"accessed":{"date-parts":[["2021",4,15]]},"issued":{"date-parts":[["2020"]]}}}],"schema":"https://github.com/citation-style-language/schema/raw/master/csl-citation.json"}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37</w:t>
            </w:r>
            <w:r>
              <w:rPr>
                <w:rFonts w:ascii="Calibri" w:eastAsia="Calibri" w:hAnsi="Calibri" w:cs="Calibri"/>
                <w:sz w:val="20"/>
                <w:szCs w:val="20"/>
              </w:rPr>
              <w:fldChar w:fldCharType="end"/>
            </w:r>
          </w:p>
        </w:tc>
        <w:tc>
          <w:tcPr>
            <w:tcW w:w="4629" w:type="dxa"/>
            <w:shd w:val="clear" w:color="auto" w:fill="CCCCCC"/>
          </w:tcPr>
          <w:p w14:paraId="3A0A01C5"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Before symptoms appear, people may have already been contagious and spreading infection to others for multiple days</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{"citationID":"hXD0inV9","properties":{"formattedCitation":"\\super 38\\nosupersub{}","plainCitation":"38","noteIndex":0},"citationItems":[{"id":2522,"uris":["http://zotero.org/groups/2886549/items/TJPHT9C4"],"uri":["http://zotero.org/groups/2886549/items/TJPHT9C4"],"itemData":{"id":2522,"type":"article-journal","abstract":"BACKGROUND: With the continued spread of COVID-19 in the United States, identifying potential outbreaks before infected individuals cross the clinical threshold is key to allowing public health officials time to ensure local health care institutions are adequately prepared. In response to this need, researchers have developed participatory surveillance technologies that allow individuals to report emerging symptoms daily so that their data can be extrapolated and disseminated to local health care authorities.\nOBJECTIVE: This study uses a framework synthesis to evaluate existing self-reported symptom tracking programs in the United States for COVID-19 as an early-warning tool for probable clusters of infection. This in turn will inform decision makers and health care planners about these technologies and the usefulness of their information to aid in federal, state, and local efforts to mobilize effective current and future pandemic responses.\nMETHODS: Programs were identified through keyword searches and snowball sampling, then screened for inclusion. A best fit framework was constructed for all programs that met the inclusion criteria by collating information collected from each into a table for easy comparison.\nRESULTS: We screened 8 programs; 6 were included in our final framework synthesis. We identified multiple common data elements, including demographic information like race, age, gender, and affiliation (all were associated with universities, medical schools, or schools of public health). Dissimilarities included collection of data regarding smoking status, mental well-being, and suspected exposure to COVID-19.\nCONCLUSIONS: Several programs currently exist that track COVID-19 symptoms from participants on a semiregular basis. Coordination between symptom tracking program research teams and local and state authorities is currently lacking, presenting an opportunity for collaboration to avoid duplication of efforts and more comprehensive knowledge dissemination.","container-title":"Journal of Medical Internet Research","DOI":"10.2196/23297","ISSN":"1438-8871","issue":"10","journalAbbreviation":"J Med Internet Res","language":"eng","note":"PMID: 33006943\nPMCID: PMC7584449","page":"e23297","source":"PubMed","title":"COVID-19 Self-Reported Symptom Tracking Programs in the United States: Framework Synthesis","title-short":"COVID-19 Self-Reported Symptom Tracking Programs in the United States","volume":"22","author":[{"family":"Koehlmoos","given":"Tracey Pérez"},{"family":"Janvrin","given":"Miranda Lynn"},{"family":"Korona-Bailey","given":"Jessica"},{"family":"Madsen","given":"Cathaleen"},{"family":"Sturdivant","given":"Rodney"}],"issued":{"date-parts":[["2020",10,22]]}}}],"schema":"https://github.com/citation-style-language/schema/raw/master/csl-citation.json"}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38</w:t>
            </w:r>
            <w:r>
              <w:rPr>
                <w:rFonts w:ascii="Calibri" w:eastAsia="Calibri" w:hAnsi="Calibri" w:cs="Calibri"/>
                <w:sz w:val="20"/>
                <w:szCs w:val="20"/>
              </w:rPr>
              <w:fldChar w:fldCharType="end"/>
            </w:r>
          </w:p>
        </w:tc>
      </w:tr>
      <w:tr w:rsidR="00240E9A" w14:paraId="3F2875C3" w14:textId="77777777" w:rsidTr="00326329">
        <w:tc>
          <w:tcPr>
            <w:tcW w:w="2605" w:type="dxa"/>
            <w:shd w:val="clear" w:color="auto" w:fill="CCCCCC"/>
          </w:tcPr>
          <w:p w14:paraId="76A8B9A8"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Diagnostic testing of an individual sample</w:t>
            </w:r>
          </w:p>
        </w:tc>
        <w:tc>
          <w:tcPr>
            <w:tcW w:w="2116" w:type="dxa"/>
            <w:shd w:val="clear" w:color="auto" w:fill="CCCCCC"/>
          </w:tcPr>
          <w:p w14:paraId="41E767C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Diagnose infection in an individual</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{"citationID":"BIyLyISx","properties":{"formattedCitation":"\\super 39\\nosupersub{}","plainCitation":"39","noteIndex":0},"citationItems":[{"id":2442,"uris":["http://zotero.org/groups/2886549/items/QT8UX5LZ"],"uri":["http://zotero.org/groups/2886549/items/QT8UX5LZ"],"itemData":{"id":2442,"type":"article-journal","abstract":"BACKGROUND: Coronavirus disease 2019 (COVID-19) has become a public health emergency. The widely used reverse transcription-polymerase chain reaction (RT-PCR) method has limitations for clinical diagnosis and treatment.\nMETHODS: A total of 323 samples from 76 COVID-19-confirmed patients were analyzed by droplet digital PCR (ddPCR) and RT-PCR based 2 target genes (ORF1ab and N). Nasal swabs, throat swabs, sputum, blood, and urine were collected. Clinical and imaging data were obtained for clinical staging.\nRESULTS: In 95 samples that tested positive by both methods, the cycle threshold (Ct) of RT-PCR was highly correlated with the copy number of ddPCR (ORF1ab gene, R2 = 0.83; N gene, R2 = 0.87). Four (4/161) negative and 41 (41/67) single-gene positive samples tested by RT-PCR were positive according to ddPCR with viral loads ranging from 11.1 to 123.2 copies/test. The viral load of respiratory samples was then compared and the average viral load in sputum (17 429 ± 6920 copies/test) was found to be significantly higher than in throat swabs (2552 ± 1965 copies/test, P &lt; .001) and nasal swabs (651 ± 501 copies/test, P &lt; .001). Furthermore, the viral loads in the early and progressive stages were significantly higher than that in the recovery stage (46 800 ± 17 272 vs 1252 ± 1027, P &lt; .001) analyzed by sputum samples.\nCONCLUSIONS: Quantitative monitoring of viral load in lower respiratory tract samples helps to evaluate disease progression, especially in cases of low viral load.","container-title":"Clinical Infectious Diseases: An Official Publication of the Infectious Diseases Society of America","DOI":"10.1093/cid/ciaa345","ISSN":"1537-6591","issue":"15","journalAbbreviation":"Clin Infect Dis","language":"eng","note":"PMID: 32221523\nPMCID: PMC7184442","page":"793-798","source":"PubMed","title":"Quantitative Detection and Viral Load Analysis of SARS-CoV-2 in Infected Patients","volume":"71","author":[{"family":"Yu","given":"Fengting"},{"family":"Yan","given":"Liting"},{"family":"Wang","given":"Nan"},{"family":"Yang","given":"Siyuan"},{"family":"Wang","given":"Linghang"},{"family":"Tang","given":"Yunxia"},{"family":"Gao","given":"Guiju"},{"family":"Wang","given":"Sa"},{"family":"Ma","given":"Chengjie"},{"family":"Xie","given":"Ruming"},{"family":"Wang","given":"Fang"},{"family":"Tan","given":"Chianru"},{"family":"Zhu","given":"Lingxiang"},{"family":"Guo","given":"Yong"},{"family":"Zhang","given":"Fujie"}],"issued":{"date-parts":[["2020",7,28]]}}}],"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39</w:t>
            </w:r>
            <w:r>
              <w:rPr>
                <w:rFonts w:ascii="Calibri" w:eastAsia="Calibri" w:hAnsi="Calibri" w:cs="Calibri"/>
                <w:sz w:val="20"/>
                <w:szCs w:val="20"/>
              </w:rPr>
              <w:fldChar w:fldCharType="end"/>
            </w:r>
          </w:p>
        </w:tc>
        <w:tc>
          <w:tcPr>
            <w:tcW w:w="4629" w:type="dxa"/>
            <w:shd w:val="clear" w:color="auto" w:fill="CCCCCC"/>
          </w:tcPr>
          <w:p w14:paraId="65851FF9"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Tests are narrowly specific to particular pathogens, and must be developed custom for each new type of infectious agent; there is a delay in development and deployment of tests; mutations of the pathogen can defeat the test; producing test results can take significant time; can be difficult and costly to administer; and must be frequently repeated</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{"citationID":"IW73oB7X","properties":{"formattedCitation":"\\super 40\\nosupersub{}","plainCitation":"40","noteIndex":0},"citationItems":[{"id":2527,"uris":["http://zotero.org/groups/2886549/items/S3LAJ68X"],"uri":["http://zotero.org/groups/2886549/items/S3LAJ68X"],"itemData":{"id":2527,"type":"article-journal","abstract":"The COVID-19 outbreak has had a major impact on clinical microbiology laboratories in the past several months. This commentary covers current issues and challenges for the laboratory diagnosis of infections caused by severe acute respiratory syndrome coronavirus 2 (SARS-CoV-2). In the preanalytical stage, collecting the proper respiratory tract specimen at the right time from the right anatomic site is essential for a prompt and accurate molecular diagnosis of COVID-19. Appropriate measures are required to keep laboratory staff safe while producing reliable test results. In the analytic stage, real-time reverse transcription-PCR (RT-PCR) assays remain the molecular test of choice for the etiologic diagnosis of SARS-CoV-2 infection while antibody-based techniques are being introduced as supplemental tools. In the postanalytical stage, testing results should be carefully interpreted using both molecular and serological findings. Finally, random-access, integrated devices available at the point of care with scalable capacities will facilitate the rapid and accurate diagnosis and monitoring of SARS-CoV-2 infections and greatly assist in the control of this outbreak.","container-title":"Journal of Clinical Microbiology","DOI":"10.1128/JCM.00512-20","ISSN":"1098-660X","issue":"6","journalAbbreviation":"J Clin Microbiol","language":"eng","note":"PMID: 32245835\nPMCID: PMC7269383","source":"PubMed","title":"Laboratory Diagnosis of COVID-19: Current Issues and Challenges","title-short":"Laboratory Diagnosis of COVID-19","volume":"58","author":[{"family":"Tang","given":"Yi-Wei"},{"family":"Schmitz","given":"Jonathan E."},{"family":"Persing","given":"David H."},{"family":"Stratton","given":"Charles W."}],"issued":{"date-parts":[["2020",5,26]]}}}],"schema":"https://github.com/citation-style-language/schema/raw/master/csl-citation.json"}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40</w:t>
            </w:r>
            <w:r>
              <w:rPr>
                <w:rFonts w:ascii="Calibri" w:eastAsia="Calibri" w:hAnsi="Calibri" w:cs="Calibri"/>
                <w:sz w:val="20"/>
                <w:szCs w:val="20"/>
              </w:rPr>
              <w:fldChar w:fldCharType="end"/>
            </w:r>
          </w:p>
        </w:tc>
      </w:tr>
      <w:tr w:rsidR="00240E9A" w14:paraId="50CE2E84" w14:textId="77777777" w:rsidTr="00326329">
        <w:tc>
          <w:tcPr>
            <w:tcW w:w="2605" w:type="dxa"/>
            <w:shd w:val="clear" w:color="auto" w:fill="CCCCCC"/>
          </w:tcPr>
          <w:p w14:paraId="0E3A9FAC"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Diagnostic testing of pooled samples from multiple individuals</w:t>
            </w:r>
          </w:p>
        </w:tc>
        <w:tc>
          <w:tcPr>
            <w:tcW w:w="2116" w:type="dxa"/>
            <w:shd w:val="clear" w:color="auto" w:fill="CCCCCC"/>
          </w:tcPr>
          <w:p w14:paraId="7A0C3730"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More economical than individual testing; a negative result can clear an entire group</w:t>
            </w:r>
          </w:p>
        </w:tc>
        <w:tc>
          <w:tcPr>
            <w:tcW w:w="4629" w:type="dxa"/>
            <w:shd w:val="clear" w:color="auto" w:fill="CCCCCC"/>
          </w:tcPr>
          <w:p w14:paraId="41AE24FF"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(Similar 'Cons' as testing for individuals) if results are positive, the entire group must additionally be individually tested (so the delay for receiving results is doubled)</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{"citationID":"9y4tsN1Z","properties":{"formattedCitation":"\\super 41\\nosupersub{}","plainCitation":"41","noteIndex":0},"citationItems":[{"id":2530,"uris":["http://zotero.org/groups/2886549/items/HGB4RFII"],"uri":["http://zotero.org/groups/2886549/items/HGB4RFII"],"itemData":{"id":2530,"type":"article-journal","abstract":"Background &amp; objectives: Public health and diagnostic laboratories are facing huge sample loads for COVID-19 diagnosis by real-time reverse transcription-polymerase chain reaction (RT-PCR). High sensitivity of optimized real-time RT-PCR assays makes pooled testing a potentially efficient strategy for resource utilization when positivity rates for particular regions or groups of individuals are low. We report here a comparative analysis of pooled testing for 5- and 10-sample pools by real-time RT-PCR across 10 COVID-19 testing laboratories in India.\nMethods: Ten virus research and diagnostic laboratories (VRDLs) testing for COVID-19 by real-time RT-PCR participated in this evaluation. At each laboratory, 100 nasopharyngeal swab samples including 10 positive samples were used to create 5- and 10-sample pools with one positive sample in each pool. RNA extraction and real-time RT-PCR for SARS-CoV-2-specific E gene target were performed for individual positive samples as well as pooled samples. Concordance between individual sample testing and testing in the 5- or 10-sample pools was calculated, and the variation across sites and by sample cycle threshold (Ct) values was analyzed.\nResults: A total of 110 each of 5- and 10-sample pools were evaluated. Concordance between the 5-sample pool and individual sample testing was 100 per cent in the Ct value ≤30 cycles and 95.5 per cent for Ctvalues ≤33 cycles. Overall concordance between the 5-sample pooled and individual sample testing was 88 per cent while that between 10-sample pool and individual sample testing was 66 per cent. Although the concordance rates for both the 5- and 10-sample pooled testing varied across laboratories, yet for samples with Ct values ≤33 cycles, the concordance was ≥90 per cent across all laboratories for the 5-sample pools.\nInterpretation &amp; conclusions: Results from this multi-site assessment suggest that pooling five samples for SARS-CoV-2 detection by real-time RT-PCR may be an acceptable strategy without much loss of sensitivity even for low viral loads, while with 10-sample pools, there may be considerably higher numbers of false negatives. However, testing laboratories should perform validations with the specific RNA extraction and RT-PCR kits in use at their centres before initiating pooled testing.","container-title":"The Indian Journal of Medical Research","DOI":"10.4103/ijmr.IJMR_2304_20","ISSN":"0971-5916","issue":"1 &amp; 2","journalAbbreviation":"Indian J Med Res","language":"eng","note":"PMID: 32893844\nPMCID: PMC7853252","page":"88-94","source":"PubMed","title":"Pooled testing for COVID-19 diagnosis by real-time RT-PCR: A multi-site comparative evaluation of 5- &amp; 10-sample pooling","title-short":"Pooled testing for COVID-19 diagnosis by real-time RT-PCR","volume":"152","author":[{"family":"Praharaj","given":"Ira"},{"family":"Jain","given":"Amita"},{"family":"Singh","given":"Mini"},{"family":"Balakrishnan","given":"Anukumar"},{"family":"Dhodapkar","given":"Rahul"},{"family":"Borkakoty","given":"Biswajyoti"},{"family":"Ashok","given":"Munivenkatappa"},{"family":"Das","given":"Pradeep"},{"family":"Biswas","given":"Debasis"},{"family":"Kalawat","given":"Usha"},{"family":"Turuk","given":"Jyotirmayee"},{"family":"Sugunan","given":"A. P."},{"family":"Prakash","given":"Shantanu"},{"family":"Singh","given":"Anirudh K."},{"family":"Barathidasan","given":"Rajamani"},{"family":"Subhadra","given":"Subhra"},{"family":"Sabat","given":"Jyotsnamayee"},{"family":"Manjunath","given":"M. J."},{"family":"Kanta","given":"Poonam"},{"family":"Mudhigeti","given":"Nagaraja"},{"family":"Hazarika","given":"Rahul"},{"family":"Mishra","given":"Hricha"},{"family":"Abhishek","given":"Kumar"},{"family":"Santhalembi","given":"C."},{"family":"Dikhit","given":"Manas Ranjan"},{"family":"Vijay","given":"Neetu"},{"family":"Narayan","given":"Jitendra"},{"family":"Kaur","given":"Harmanmeet"},{"family":"Giri","given":"Sidhartha"},{"family":"Gupta","given":"Nivedita"}],"issued":{"date-parts":[["2020",8]]}}}],"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41</w:t>
            </w:r>
            <w:r>
              <w:rPr>
                <w:rFonts w:ascii="Calibri" w:eastAsia="Calibri" w:hAnsi="Calibri" w:cs="Calibri"/>
                <w:sz w:val="20"/>
                <w:szCs w:val="20"/>
              </w:rPr>
              <w:fldChar w:fldCharType="end"/>
            </w:r>
          </w:p>
        </w:tc>
      </w:tr>
      <w:tr w:rsidR="00240E9A" w14:paraId="3DBDE7BF" w14:textId="77777777" w:rsidTr="00326329">
        <w:tc>
          <w:tcPr>
            <w:tcW w:w="2605" w:type="dxa"/>
            <w:shd w:val="clear" w:color="auto" w:fill="CCCCCC"/>
          </w:tcPr>
          <w:p w14:paraId="10DB5CAA"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Work remotely; work from home; general isolation</w:t>
            </w:r>
          </w:p>
        </w:tc>
        <w:tc>
          <w:tcPr>
            <w:tcW w:w="2116" w:type="dxa"/>
            <w:shd w:val="clear" w:color="auto" w:fill="CCCCCC"/>
          </w:tcPr>
          <w:p w14:paraId="4A7EB003"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Prevent exposure</w:t>
            </w:r>
          </w:p>
        </w:tc>
        <w:tc>
          <w:tcPr>
            <w:tcW w:w="4629" w:type="dxa"/>
            <w:shd w:val="clear" w:color="auto" w:fill="CCCCCC"/>
          </w:tcPr>
          <w:p w14:paraId="79333D2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Multiple essential types of work cannot be done remotely; degraded productivity for many other types of work; social isolation negatively affects mental health</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{"citationID":"gHuvNkTX","properties":{"formattedCitation":"\\super 42\\nosupersub{}","plainCitation":"42","noteIndex":0},"citationItems":[{"id":2532,"uris":["http://zotero.org/groups/2886549/items/NLUFUZJ7"],"uri":["http://zotero.org/groups/2886549/items/NLUFUZJ7"],"itemData":{"id":2532,"type":"article-journal","abstract":"Many employees unexpectedly were required to work from home during the COVID-19 pandemic of 2020. With this abrupt change came the challenge of blurred lines between career and personal life. Lacking designated home office spaces, countless individuals had to create improvised work setups in living rooms, kitchens, bedrooms-wherever there was space. Moreover, the closure of schools forced many working parents to attempt productivity while concurrently supervising their children. As a result of these changes, numerous employees have experienced lower work productivity, lessened motivation, increased stress, and poorer mental health. One approach that may help employees going through the challenges associated with working from home is mindfulness. Mindfulness may be particularly beneficial as it can (1) help employees mentally disconnect from work when they need to; (2) improve individuals' attention to work tasks and thereby improve their performance; and (3) allow workers to better manage screen fatigue. In this installment of Work/Life Balance, we elaborate on how mindfulness may help employees deal with these work issues, explain how mindfulness can be cultivated, and provide a list of mindfulness techniques. We also provide a set of recommendations for managers and team leaders responsible for their employees' well-being and productivity.","container-title":"Business Horizons","DOI":"10.1016/j.bushor.2020.09.004","ISSN":"0007-6813","issue":"2","journalAbbreviation":"Bus Horiz","language":"eng","note":"PMID: 33041346\nPMCID: PMC7535863","page":"189-197","source":"PubMed","title":"Mindfulness and the challenges of working from home in times of crisis","volume":"64","author":[{"family":"Toniolo-Barrios","given":"Mariana"},{"family":"Pitt","given":"Leyland"}],"issued":{"date-parts":[["2021",4]]}}}],"schema":"https://github.com/citation-style-language/schema/raw/master/csl-citation.json"}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42</w:t>
            </w:r>
            <w:r>
              <w:rPr>
                <w:rFonts w:ascii="Calibri" w:eastAsia="Calibri" w:hAnsi="Calibri" w:cs="Calibri"/>
                <w:sz w:val="20"/>
                <w:szCs w:val="20"/>
              </w:rPr>
              <w:fldChar w:fldCharType="end"/>
            </w:r>
          </w:p>
        </w:tc>
      </w:tr>
      <w:tr w:rsidR="00240E9A" w14:paraId="66CD3E43" w14:textId="77777777" w:rsidTr="00326329">
        <w:tc>
          <w:tcPr>
            <w:tcW w:w="2605" w:type="dxa"/>
            <w:shd w:val="clear" w:color="auto" w:fill="CCCCCC"/>
          </w:tcPr>
          <w:p w14:paraId="3970577D"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Screening for key indicators of infection: presence of symptoms, travel history, spot-check temperature</w:t>
            </w:r>
          </w:p>
        </w:tc>
        <w:tc>
          <w:tcPr>
            <w:tcW w:w="2116" w:type="dxa"/>
            <w:shd w:val="clear" w:color="auto" w:fill="CCCCCC"/>
          </w:tcPr>
          <w:p w14:paraId="25D92CBB"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Screening of symptomatic or other high-risk individuals</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{"citationID":"rPO5atLK","properties":{"formattedCitation":"\\super 25\\nosupersub{}","plainCitation":"25","noteIndex":0},"citationItems":[{"id":2472,"uris":["http://zotero.org/groups/2886549/items/8PUZY67X"],"uri":["http://zotero.org/groups/2886549/items/8PUZY67X"],"itemData":{"id":2472,"type":"article-journal","abstract":"Traditional screening for COVID-19 typically includes survey questions about symptoms and travel history, as well as temperature measurements. Here, we explore whether personal sensor data collected over time may help identify subtle changes indicating an infection, such as in patients with COVID-19. We have developed a smartphone app that collects smartwatch and activity tracker data, as well as self-reported symptoms and diagnostic testing results, from individuals in the United States, and have assessed whether symptom and sensor data can differentiate COVID-19 positive versus negative cases in symptomatic individuals. We enrolled 30,529 participants between 25 March and 7 June 2020, of whom 3,811 reported symptoms. Of these symptomatic individuals, 54 reported testing positive and 279 negative for COVID-19. We found that a combination of symptom and sensor data resulted in an area under the curve (AUC) of 0.80 (interquartile range (IQR): 0.73–0.86) for discriminating between symptomatic individuals who were positive or negative for COVID-19, a performance that is significantly better (P &lt; 0.01) than a model1 that considers symptoms alone (AUC = 0.71; IQR: 0.63–0.79). Such continuous, passively captured data may be complementary to virus testing, which is generally a one-off or infrequent sampling assay.","container-title":"Nature Medicine","DOI":"10.1038/s41591-020-1123-x","ISSN":"1546-170X","issue":"1","language":"en","note":"number: 1\npublisher: Nature Publishing Group","page":"73-77","source":"www.nature.com","title":"Wearable sensor data and self-reported symptoms for COVID-19 detection","volume":"27","author":[{"family":"Quer","given":"Giorgio"},{"family":"Radin","given":"Jennifer M."},{"family":"Gadaleta","given":"Matteo"},{"family":"Baca-Motes","given":"Katie"},{"family":"Ariniello","given":"Lauren"},{"family":"Ramos","given":"Edward"},{"family":"Kheterpal","given":"Vik"},{"family":"Topol","given":"Eric J."},{"family":"Steinhubl","given":"Steven R."}],"issued":{"date-parts":[["2021",1]]}}}],"schema":"https://github.com/citation-style-language/schema/raw/master/csl-citation.json"}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25</w:t>
            </w:r>
            <w:r>
              <w:rPr>
                <w:rFonts w:ascii="Calibri" w:eastAsia="Calibri" w:hAnsi="Calibri" w:cs="Calibri"/>
                <w:sz w:val="20"/>
                <w:szCs w:val="20"/>
              </w:rPr>
              <w:fldChar w:fldCharType="end"/>
            </w:r>
          </w:p>
        </w:tc>
        <w:tc>
          <w:tcPr>
            <w:tcW w:w="4629" w:type="dxa"/>
            <w:shd w:val="clear" w:color="auto" w:fill="CCCCCC"/>
          </w:tcPr>
          <w:p w14:paraId="1795BF01"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Does not identify people who are pre-symptomatic or asymptomatic; subjective; vulnerable to deception; can create crowded choke points that increase the risk of transmission</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{"citationID":"iVq4J8lM","properties":{"formattedCitation":"\\super 43\\nosupersub{}","plainCitation":"43","noteIndex":0},"citationItems":[{"id":2541,"uris":["http://zotero.org/groups/2886549/items/IYCL2TT4"],"uri":["http://zotero.org/groups/2886549/items/IYCL2TT4"],"itemData":{"id":2541,"type":"article-journal","abstract":"We evaluated effectiveness of thermal passenger screening for 2019-nCoV infection at airport exit and entry to inform public health decision-making. In our baseline scenario, we estimated that 46% (95% confidence interval: 36 to 58) of infected travellers would not be detected, depending on incubation period, sensitivity of exit and entry screening, and proportion of asymptomatic cases. Airport screening is unlikely to detect a sufficient proportion of 2019-nCoV infected travellers to avoid entry of infected travellers.","container-title":"Euro Surveillance: Bulletin Europeen Sur Les Maladies Transmissibles = European Communicable Disease Bulletin","DOI":"10.2807/1560-7917.ES.2020.25.5.2000080","ISSN":"1560-7917","issue":"5","journalAbbreviation":"Euro Surveill","language":"eng","note":"PMID: 32046816\nPMCID: PMC7014668","source":"PubMed","title":"Effectiveness of airport screening at detecting travellers infected with novel coronavirus (2019-nCoV)","volume":"25","author":[{"family":"Quilty","given":"Billy J."},{"family":"Clifford","given":"Sam"},{"family":"Flasche","given":"Stefan"},{"family":"Eggo","given":"Rosalind M."},{"literal":"CMMID nCoV working group"}],"issued":{"date-parts":[["2020",2]]}}}],"schema":"https://github.com/citation-style-language/schema/raw/master/csl-citation.json"}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43</w:t>
            </w:r>
            <w:r>
              <w:rPr>
                <w:rFonts w:ascii="Calibri" w:eastAsia="Calibri" w:hAnsi="Calibri" w:cs="Calibri"/>
                <w:sz w:val="20"/>
                <w:szCs w:val="20"/>
              </w:rPr>
              <w:fldChar w:fldCharType="end"/>
            </w:r>
          </w:p>
        </w:tc>
      </w:tr>
      <w:tr w:rsidR="00240E9A" w14:paraId="4DAD773C" w14:textId="77777777" w:rsidTr="00326329">
        <w:tc>
          <w:tcPr>
            <w:tcW w:w="2605" w:type="dxa"/>
            <w:shd w:val="clear" w:color="auto" w:fill="CCCCCC"/>
          </w:tcPr>
          <w:p w14:paraId="6ADA7351"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Personal protective equipment</w:t>
            </w:r>
          </w:p>
        </w:tc>
        <w:tc>
          <w:tcPr>
            <w:tcW w:w="2116" w:type="dxa"/>
            <w:shd w:val="clear" w:color="auto" w:fill="CCCCCC"/>
          </w:tcPr>
          <w:p w14:paraId="5986E89B"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Prevent the physical spread of pathogens</w:t>
            </w:r>
          </w:p>
        </w:tc>
        <w:tc>
          <w:tcPr>
            <w:tcW w:w="4629" w:type="dxa"/>
            <w:shd w:val="clear" w:color="auto" w:fill="CCCCCC"/>
          </w:tcPr>
          <w:p w14:paraId="279657A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 xml:space="preserve">Widespread compliance is extremely difficult, especially for: individuals without symptoms, children, and disabled adults; and it is uncomfortable </w:t>
            </w:r>
            <w:r>
              <w:rPr>
                <w:rFonts w:ascii="Calibri" w:eastAsia="Calibri" w:hAnsi="Calibri" w:cs="Calibri"/>
                <w:sz w:val="20"/>
                <w:szCs w:val="20"/>
              </w:rPr>
              <w:lastRenderedPageBreak/>
              <w:t>and interferes with normal activities like eating and social interaction</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{"citationID":"oRGMb6GA","properties":{"formattedCitation":"\\super 44\\nosupersub{}","plainCitation":"44","noteIndex":0},"citationItems":[{"id":2525,"uris":["http://zotero.org/groups/2886549/items/MU8DPA5U"],"uri":["http://zotero.org/groups/2886549/items/MU8DPA5U"],"itemData":{"id":2525,"type":"article-journal","abstract":"Masks are widely discussed during the course of the ongoing COVID-19 pandemic. Most hospitals have implemented universal masking for their healthcare workers, and the Center for Disease Control currently advises even the general public to wear cloth masks when outdoors. The pertinent need for masks arises from plausible dissemination of the SARS-CoV-2 through close contacts, as well as the possibility of virus transmission from asymptomatic, pre-symptomatic, and mildly symptomatic individuals. Given current global shortages in personal protective equipment, the efficacy of various types of masks: N95 respirators, surgical masks, and cloth masks are researched. To accommodate limited supplies, techniques for extended use, reuse, and sterilization of masks are strategized. However, masks alone may not greatly slow down the COVID-19 pandemic unless they are coupled with adequate social distancing, diligent hand hygiene, and other proven preventive measures.","container-title":"Le Infezioni in Medicina","ISSN":"1124-9390","issue":"suppl 1","journalAbbreviation":"Infez Med","language":"eng","note":"PMID: 32532940","page":"57-63","source":"PubMed","title":"Comprehensive review of mask utility and challenges during the COVID-19 pandemic","volume":"28","author":[{"family":"Tirupathi","given":"Raghavendra"},{"family":"Bharathidasan","given":"Kavya"},{"family":"Palabindala","given":"Venkataraman"},{"family":"Salim","given":"Sohail Abdul"},{"family":"Al-Tawfiq","given":"Jaffar A."}],"issued":{"date-parts":[["2020",6,1]]}}}],"schema":"https://github.com/citation-style-language/schema/raw/master/csl-citation.json"}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44</w:t>
            </w:r>
            <w:r>
              <w:rPr>
                <w:rFonts w:ascii="Calibri" w:eastAsia="Calibri" w:hAnsi="Calibri" w:cs="Calibri"/>
                <w:sz w:val="20"/>
                <w:szCs w:val="20"/>
              </w:rPr>
              <w:fldChar w:fldCharType="end"/>
            </w:r>
          </w:p>
        </w:tc>
      </w:tr>
      <w:tr w:rsidR="00240E9A" w14:paraId="3F177DCC" w14:textId="77777777" w:rsidTr="00326329">
        <w:tc>
          <w:tcPr>
            <w:tcW w:w="2605" w:type="dxa"/>
            <w:shd w:val="clear" w:color="auto" w:fill="CCCCCC"/>
          </w:tcPr>
          <w:p w14:paraId="12C42346"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lastRenderedPageBreak/>
              <w:t>Physical barriers at key points of human-human interaction in the workplace</w:t>
            </w:r>
          </w:p>
        </w:tc>
        <w:tc>
          <w:tcPr>
            <w:tcW w:w="2116" w:type="dxa"/>
            <w:shd w:val="clear" w:color="auto" w:fill="CCCCCC"/>
          </w:tcPr>
          <w:p w14:paraId="0989EC2E"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Prevent the physical spread of pathogens</w:t>
            </w:r>
          </w:p>
        </w:tc>
        <w:tc>
          <w:tcPr>
            <w:tcW w:w="4629" w:type="dxa"/>
            <w:shd w:val="clear" w:color="auto" w:fill="CCCCCC"/>
          </w:tcPr>
          <w:p w14:paraId="0B365996"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Many types of human-human interaction take place in locations that are impractical to protect with barriers; partial barriers only offer partial protection</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{"citationID":"B3Aqn9hm","properties":{"formattedCitation":"\\super 45\\nosupersub{}","plainCitation":"45","noteIndex":0},"citationItems":[{"id":2547,"uris":["http://zotero.org/groups/2886549/items/AEJ58TF6"],"uri":["http://zotero.org/groups/2886549/items/AEJ58TF6"],"itemData":{"id":2547,"type":"report","abstract":"Maintaining a safe physical distance will be essential to virtually all social and economic activities carried out during the COVID-19 pandemic. One of the tools to address this issue is the use of physical barriers, such as acrylic or glass partitions. The purpose of this document was to consult with public health and industry to identify best practices in the design, installation, and maintenance of transparent partitions to ensure that they are most protective of public health.","note":"DOI: 10.13140/RG.2.2.32336.33283","publisher":"National Collaborating Centre for Environmental Health","source":"ResearchGate","title":"Physical Barriers for COVID-19 Infection Prevention and Control in Commercial Settings","URL":"http://ncceh.ca/content/blog/physical-barriers-covid-19-infection-prevention-and-control-commercial-settings","author":[{"family":"Eykelbosh","given":"Angela"}],"issued":{"date-parts":[["2020",5,13]]}}}],"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45</w:t>
            </w:r>
            <w:r>
              <w:rPr>
                <w:rFonts w:ascii="Calibri" w:eastAsia="Calibri" w:hAnsi="Calibri" w:cs="Calibri"/>
                <w:sz w:val="20"/>
                <w:szCs w:val="20"/>
              </w:rPr>
              <w:fldChar w:fldCharType="end"/>
            </w:r>
          </w:p>
        </w:tc>
      </w:tr>
      <w:tr w:rsidR="00240E9A" w14:paraId="69DE0DB5" w14:textId="77777777" w:rsidTr="00326329">
        <w:tc>
          <w:tcPr>
            <w:tcW w:w="2605" w:type="dxa"/>
            <w:shd w:val="clear" w:color="auto" w:fill="CCCCCC"/>
          </w:tcPr>
          <w:p w14:paraId="0341DEB1"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Hand sanitization methods</w:t>
            </w:r>
          </w:p>
        </w:tc>
        <w:tc>
          <w:tcPr>
            <w:tcW w:w="2116" w:type="dxa"/>
            <w:shd w:val="clear" w:color="auto" w:fill="CCCCCC"/>
          </w:tcPr>
          <w:p w14:paraId="1108EF24"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Removes pathogens from hands</w:t>
            </w:r>
          </w:p>
        </w:tc>
        <w:tc>
          <w:tcPr>
            <w:tcW w:w="4629" w:type="dxa"/>
            <w:shd w:val="clear" w:color="auto" w:fill="CCCCCC"/>
          </w:tcPr>
          <w:p w14:paraId="1ECAEC75"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Requires frequent repetition; no protection from airborne threats; no protection between sanitization events; inconvenient; widespread compliance is very difficult</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{"citationID":"BCOGnm0s","properties":{"formattedCitation":"\\super 46\\nosupersub{}","plainCitation":"46","noteIndex":0},"citationItems":[{"id":2550,"uris":["http://zotero.org/groups/2886549/items/A6WJUBEE"],"uri":["http://zotero.org/groups/2886549/items/A6WJUBEE"],"itemData":{"id":2550,"type":"article-journal","abstract":"Although the emphasis on behaviors of hand-washing and mask-wearing was repeated during the pandemic of Coronavirus Disease 2019 (COVID-19), not everyone paid enough attention to this. A descriptive statistic was used to make sense of the status of hand hygiene and mask-wearing among primary school students in Wuhan, China. A binary logistic regression analysis was conducted to identify the risk factors affecting the behaviors of hand-washing and mask-wearing. p &lt; 0.05 (two-sides) was considered as significant at statistics. 42.05% of the primary school students showed a good behavior of hand-washing, while 51.60% had a good behavior of mask-wearing. Gender, grade, out-going history, father's occupation, mother's educational background, and the time filling out the survey were significantly associated with hand hygiene, whereas grade, mother's educational background, and residence were associated with mask-wearing. The behaviors of hand-washing and mask-wearing among primary school students were influenced by gender, grade, and other factors, therefore, parents should make efforts of behavior guidance whereas governments should enlarge medium publicity.","container-title":"International Journal of Environmental Research and Public Health","DOI":"10.3390/ijerph17082893","ISSN":"1660-4601","issue":"8","journalAbbreviation":"Int J Environ Res Public Health","language":"eng","note":"PMID: 32331344\nPMCID: PMC7215913","source":"PubMed","title":"Hand Hygiene, Mask-Wearing Behaviors and Its Associated Factors during the COVID-19 Epidemic: A Cross-Sectional Study among Primary School Students in Wuhan, China","title-short":"Hand Hygiene, Mask-Wearing Behaviors and Its Associated Factors during the COVID-19 Epidemic","volume":"17","author":[{"family":"Chen","given":"Xuyu"},{"family":"Ran","given":"Li"},{"family":"Liu","given":"Qing"},{"family":"Hu","given":"Qikai"},{"family":"Du","given":"Xueying"},{"family":"Tan","given":"Xiaodong"}],"issued":{"date-parts":[["2020",4,22]]}}}],"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46</w:t>
            </w:r>
            <w:r>
              <w:rPr>
                <w:rFonts w:ascii="Calibri" w:eastAsia="Calibri" w:hAnsi="Calibri" w:cs="Calibri"/>
                <w:sz w:val="20"/>
                <w:szCs w:val="20"/>
              </w:rPr>
              <w:fldChar w:fldCharType="end"/>
            </w:r>
          </w:p>
        </w:tc>
      </w:tr>
      <w:tr w:rsidR="00240E9A" w14:paraId="6465B89F" w14:textId="77777777" w:rsidTr="00326329">
        <w:tc>
          <w:tcPr>
            <w:tcW w:w="2605" w:type="dxa"/>
            <w:shd w:val="clear" w:color="auto" w:fill="CCCCCC"/>
          </w:tcPr>
          <w:p w14:paraId="06C0C45B"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Surface sanitization processes</w:t>
            </w:r>
          </w:p>
        </w:tc>
        <w:tc>
          <w:tcPr>
            <w:tcW w:w="2116" w:type="dxa"/>
            <w:shd w:val="clear" w:color="auto" w:fill="CCCCCC"/>
          </w:tcPr>
          <w:p w14:paraId="2C39843E"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Removes pathogens from surfaces</w:t>
            </w:r>
          </w:p>
        </w:tc>
        <w:tc>
          <w:tcPr>
            <w:tcW w:w="4629" w:type="dxa"/>
            <w:shd w:val="clear" w:color="auto" w:fill="CCCCCC"/>
          </w:tcPr>
          <w:p w14:paraId="3593064E"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Infeasible on some surfaces; requires frequent repetition; can be labor-intensive; no protection from airborne threats; large-scale deployment is difficult</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{"citationID":"wVCEyCTT","properties":{"formattedCitation":"\\super 47\\nosupersub{}","plainCitation":"47","noteIndex":0},"citationItems":[{"id":2544,"uris":["http://zotero.org/groups/2886549/items/YDXNGPJP"],"uri":["http://zotero.org/groups/2886549/items/YDXNGPJP"],"itemData":{"id":2544,"type":"article-journal","abstract":"Pharmacies have been practicing innovative infection control measures during COVID-19. This article seeks to explore the current activities undertaken across various community pharmacy settings in relation to the safety of the workplace environment for staff and patients.\nMethods\nAn online cross-sectional survey was conducted in Australia during the COVID-19 outbreak from 1st to 30th April 2020, addressing community pharmacist's awareness and response to infection and sanitation control.\nResults\nA total of 137 pharmacists took part in the survey. Regular cleaning took place in the pharmacy, but the use of gloves while cleaning was not regularly practice (48.18%). In addition, only 46.72% of respondents reported observing script baskets being cleaned and disinfected. About one-third (37.96%) of pharmacists were aware of the two-step cleaning and disinfecting process, with only 18.98% of pharmacist practicing such cleaning procedures. More than half of surveyed pharmacists reported having difficulty keeping up with pharmacy practice and infection control guidelines during the pandemic.\nConclusion\nThis study demonstrates that the majority of pharmacists are not fully aware of the proper infection control measures needed in a community pharmacy setting. Pharmacists must play a bigger role in infection control measures to ensure staff and public health safety.","container-title":"Research in Social and Administrative Pharmacy","DOI":"10.1016/j.sapharm.2020.06.014","ISSN":"1551-7411","issue":"1","journalAbbreviation":"Research in Social and Administrative Pharmacy","language":"en","page":"1845-1852","source":"ScienceDirect","title":"Community pharmacy response to infection control during COVID-19. A cross-sectional survey","volume":"17","author":[{"family":"Sum","given":"Zachary Z."},{"family":"Ow","given":"Charmane J. W."}],"issued":{"date-parts":[["2021",1,1]]}}}],"schema":"https://github.com/citation-style-language/schema/raw/master/csl-citation.json"}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47</w:t>
            </w:r>
            <w:r>
              <w:rPr>
                <w:rFonts w:ascii="Calibri" w:eastAsia="Calibri" w:hAnsi="Calibri" w:cs="Calibri"/>
                <w:sz w:val="20"/>
                <w:szCs w:val="20"/>
              </w:rPr>
              <w:fldChar w:fldCharType="end"/>
            </w:r>
          </w:p>
        </w:tc>
      </w:tr>
      <w:tr w:rsidR="00240E9A" w14:paraId="005ED2A7" w14:textId="77777777" w:rsidTr="00326329">
        <w:tc>
          <w:tcPr>
            <w:tcW w:w="2605" w:type="dxa"/>
            <w:shd w:val="clear" w:color="auto" w:fill="CCCCCC"/>
          </w:tcPr>
          <w:p w14:paraId="2D68A73F"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Social distancing</w:t>
            </w:r>
          </w:p>
        </w:tc>
        <w:tc>
          <w:tcPr>
            <w:tcW w:w="2116" w:type="dxa"/>
            <w:shd w:val="clear" w:color="auto" w:fill="CCCCCC"/>
          </w:tcPr>
          <w:p w14:paraId="22E4DC8D"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Reduces contact</w:t>
            </w:r>
          </w:p>
        </w:tc>
        <w:tc>
          <w:tcPr>
            <w:tcW w:w="4629" w:type="dxa"/>
            <w:shd w:val="clear" w:color="auto" w:fill="CCCCCC"/>
          </w:tcPr>
          <w:p w14:paraId="40EDDDB2"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Limited effectiveness; compliance is very difficult; does not prevent the deposition of pathogens in the environment</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{"citationID":"e3HXyWbb","properties":{"formattedCitation":"\\super 48\\nosupersub{}","plainCitation":"48","noteIndex":0},"citationItems":[{"id":2559,"uris":["http://zotero.org/groups/2886549/items/7L39JRAP"],"uri":["http://zotero.org/groups/2886549/items/7L39JRAP"],"itemData":{"id":2559,"type":"article-journal","abstract":"Noncompliance with social distancing during the early stage of the coronavirus disease 2019 (COVID-19) pandemic poses a great challenge to the public health system. These noncompliance behaviors partly reflect people's concerns for the inherent costs of social distancing while discounting its public health benefits. We propose that this oversight may be associated with the limitation in one's mental capacity to simultaneously retain multiple pieces of information in working memory (WM) for rational decision making that leads to social-distancing compliance. We tested this hypothesis in 850 United States residents during the first 2 wk following the presidential declaration of national emergency because of the COVID-19 pandemic. We found that participants' social-distancing compliance at this initial stage could be predicted by individual differences in WM capacity, partly due to increased awareness of benefits over costs of social distancing among higher WM capacity individuals. Critically, the unique contribution of WM capacity to the individual differences in social-distancing compliance could not be explained by other psychological and socioeconomic factors (e.g., moods, personality, education, and income levels). Furthermore, the critical role of WM capacity in social-distancing compliance can be generalized to the compliance with another set of rules for social interactions, namely the fairness norm, in Western cultures. Collectively, our data reveal contributions of a core cognitive process underlying social-distancing compliance during the early stage of the COVID-19 pandemic, highlighting a potential cognitive venue for developing strategies to mitigate a public health crisis.","container-title":"Proceedings of the National Academy of Sciences of the United States of America","DOI":"10.1073/pnas.2008868117","ISSN":"1091-6490","issue":"30","journalAbbreviation":"Proc Natl Acad Sci U S A","language":"eng","note":"PMID: 32651280\nPMCID: PMC7395511","page":"17667-17674","source":"PubMed","title":"Working memory capacity predicts individual differences in social-distancing compliance during the COVID-19 pandemic in the United States","volume":"117","author":[{"family":"Xie","given":"Weizhen"},{"family":"Campbell","given":"Stephen"},{"family":"Zhang","given":"Weiwei"}],"issued":{"date-parts":[["2020",7,28]]}}}],"schema":"https://github.com/citation-style-language/schema/raw/master/csl-citation.json"}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48</w:t>
            </w:r>
            <w:r>
              <w:rPr>
                <w:rFonts w:ascii="Calibri" w:eastAsia="Calibri" w:hAnsi="Calibri" w:cs="Calibri"/>
                <w:sz w:val="20"/>
                <w:szCs w:val="20"/>
              </w:rPr>
              <w:fldChar w:fldCharType="end"/>
            </w:r>
          </w:p>
        </w:tc>
      </w:tr>
      <w:tr w:rsidR="00240E9A" w14:paraId="7463DAAE" w14:textId="77777777" w:rsidTr="00326329">
        <w:tc>
          <w:tcPr>
            <w:tcW w:w="2605" w:type="dxa"/>
            <w:shd w:val="clear" w:color="auto" w:fill="CCCCCC"/>
          </w:tcPr>
          <w:p w14:paraId="50C4141A"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Context-based predictions – nexus</w:t>
            </w:r>
          </w:p>
        </w:tc>
        <w:tc>
          <w:tcPr>
            <w:tcW w:w="2116" w:type="dxa"/>
            <w:shd w:val="clear" w:color="auto" w:fill="CCCCCC"/>
          </w:tcPr>
          <w:p w14:paraId="0D441592"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An estimation of general risk</w:t>
            </w:r>
          </w:p>
        </w:tc>
        <w:tc>
          <w:tcPr>
            <w:tcW w:w="4629" w:type="dxa"/>
            <w:shd w:val="clear" w:color="auto" w:fill="CCCCCC"/>
          </w:tcPr>
          <w:p w14:paraId="07FC4807"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Requires accurate information about the context; no identification of infected individuals; limited scope</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{"citationID":"guG1hxEI","properties":{"formattedCitation":"\\super 49\\nosupersub{}","plainCitation":"49","noteIndex":0},"citationItems":[{"id":2469,"uris":["http://zotero.org/groups/2886549/items/LVPYACQB"],"uri":["http://zotero.org/groups/2886549/items/LVPYACQB"],"itemData":{"id":2469,"type":"article-journal","abstract":"INTRODUCTION: With the global spread of COVID-19, there is a compelling public health interest in quantifying who is at increased risk of contracting disease. Occupational characteristics, such as interfacing with the public and being in close quarters with other workers, not only put workers at high risk for disease, but also make them a nexus of disease transmission to the community. This can further be exacerbated through presenteeism, the term used to describe the act of coming to work despite being symptomatic for disease. Quantifying the number of workers who are frequently exposed to infection and disease in the workplace, and understanding which occupational groups they represent, can help to prompt public health risk response and management for COVID-19 in the workplace, and subsequent infectious disease outbreaks.\nMETHODS: To estimate the number of United States workers frequently exposed to infection and disease in the workplace, national employment data (by Standard Occupational Classification) maintained by the Bureau of Labor Statistics (BLS) was merged with a BLS O*NET survey measure reporting how frequently workers in each occupation are exposed to infection or disease at work. This allowed us to estimate the number of United States workers, across all occupations, exposed to disease or infection at work more than once a month.\nRESULTS: Based on our analyses, approximately 10% (14.4 M) of United States workers are employed in occupations where exposure to disease or infection occurs at least once per week. Approximately 18.4% (26.7 M) of all United States workers are employed in occupations where exposure to disease or infection occurs at least once per month. While the majority of exposed workers are employed in healthcare sectors, other occupational sectors also have high proportions of exposed workers. These include protective service occupations (e.g. police officers, correctional officers, firefighters), office and administrative support occupations (e.g. couriers and messengers, patient service representatives), education occupations (e.g. preschool and daycare teachers), community and social services occupations (community health workers, social workers, counselors), and even construction and extraction occupations (e.g. plumbers, septic tank installers, elevator repair).\nCONCLUSIONS: The large number of persons employed in occupations with frequent exposure to infection and disease underscore the importance of all workplaces developing risk response plans for COVID-19. Given the proportion of the United States workforce exposed to disease or infection at work, this analysis also serves as an important reminder that the workplace is a key locus for public health interventions, which could protect both workers and the communities they serve.","container-title":"PloS One","DOI":"10.1371/journal.pone.0232452","ISSN":"1932-6203","issue":"4","journalAbbreviation":"PLoS One","language":"eng","note":"PMID: 32343747\nPMCID: PMC7188235","page":"e0232452","source":"PubMed","title":"Estimating the burden of United States workers exposed to infection or disease: A key factor in containing risk of COVID-19 infection","title-short":"Estimating the burden of United States workers exposed to infection or disease","volume":"15","author":[{"family":"Baker","given":"Marissa G."},{"family":"Peckham","given":"Trevor K."},{"family":"Seixas","given":"Noah S."}],"issued":{"date-parts":[["2020"]]}}}],"schema":"https://github.com/citation-style-language/schema/raw/master/csl-citation.json"}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49</w:t>
            </w:r>
            <w:r>
              <w:rPr>
                <w:rFonts w:ascii="Calibri" w:eastAsia="Calibri" w:hAnsi="Calibri" w:cs="Calibri"/>
                <w:sz w:val="20"/>
                <w:szCs w:val="20"/>
              </w:rPr>
              <w:fldChar w:fldCharType="end"/>
            </w:r>
          </w:p>
        </w:tc>
      </w:tr>
      <w:tr w:rsidR="00240E9A" w14:paraId="3788FE1A" w14:textId="77777777" w:rsidTr="00326329">
        <w:tc>
          <w:tcPr>
            <w:tcW w:w="2605" w:type="dxa"/>
            <w:shd w:val="clear" w:color="auto" w:fill="CCCCCC"/>
          </w:tcPr>
          <w:p w14:paraId="35C93082"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Support for context</w:t>
            </w:r>
          </w:p>
        </w:tc>
        <w:tc>
          <w:tcPr>
            <w:tcW w:w="2116" w:type="dxa"/>
            <w:shd w:val="clear" w:color="auto" w:fill="CCCCCC"/>
          </w:tcPr>
          <w:p w14:paraId="0256C944"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Decrease general risk by improving the context</w:t>
            </w:r>
          </w:p>
        </w:tc>
        <w:tc>
          <w:tcPr>
            <w:tcW w:w="4629" w:type="dxa"/>
            <w:shd w:val="clear" w:color="auto" w:fill="CCCCCC"/>
          </w:tcPr>
          <w:p w14:paraId="5673E79B" w14:textId="77777777" w:rsidR="00240E9A" w:rsidRDefault="00240E9A" w:rsidP="00326329">
            <w:pPr>
              <w:rPr>
                <w:rFonts w:ascii="Calibri" w:eastAsia="Calibri" w:hAnsi="Calibri" w:cs="Calibri"/>
                <w:sz w:val="20"/>
                <w:szCs w:val="20"/>
              </w:rPr>
            </w:pPr>
            <w:r>
              <w:rPr>
                <w:rFonts w:ascii="Calibri" w:eastAsia="Calibri" w:hAnsi="Calibri" w:cs="Calibri"/>
                <w:sz w:val="20"/>
                <w:szCs w:val="20"/>
              </w:rPr>
              <w:t>Impractical for some contexts; difficult to maintain context change</w:t>
            </w:r>
            <w:r>
              <w:rPr>
                <w:rFonts w:ascii="Calibri" w:eastAsia="Calibri" w:hAnsi="Calibri" w:cs="Calibri"/>
                <w:sz w:val="20"/>
                <w:szCs w:val="20"/>
              </w:rPr>
              <w:fldChar w:fldCharType="begin"/>
            </w:r>
            <w:r>
              <w:rPr>
                <w:rFonts w:ascii="Calibri" w:eastAsia="Calibri" w:hAnsi="Calibri" w:cs="Calibri"/>
                <w:sz w:val="20"/>
                <w:szCs w:val="20"/>
              </w:rPr>
              <w:instrText xml:space="preserve"> ADDIN ZOTERO_ITEM CSL_CITATION {"citationID":"r8JUzFnJ","properties":{"formattedCitation":"\\super 50\\nosupersub{}","plainCitation":"50","noteIndex":0},"citationItems":[{"id":2466,"uris":["http://zotero.org/groups/2886549/items/KMTX5U3M"],"uri":["http://zotero.org/groups/2886549/items/KMTX5U3M"],"itemData":{"id":2466,"type":"article-journal","abstract":"Healthcare workers (HCWs) will play a key role in any response to pandemic influenza, and the UK healthcare system's ability to cope during an influenza pandemic will depend, to a large extent, on the number of HCWs who are able and willing to work through the crisis. UK emergency planning will be improved if planners have a better understanding of the reasons UK HCWs may have for their absenteeism, and what might motivate them to work during an influenza pandemic.","container-title":"BMC Public Health","DOI":"10.1186/1471-2458-9-56","ISSN":"1471-2458","issue":"1","journalAbbreviation":"BMC Public Health","page":"56","source":"BioMed Central","title":"Healthcare workers' attitudes to working during pandemic influenza: a qualitative study","title-short":"Healthcare workers' attitudes to working during pandemic influenza","volume":"9","author":[{"family":"Ives","given":"Jonathan"},{"family":"Greenfield","given":"Sheila"},{"family":"Parry","given":"Jayne M."},{"family":"Draper","given":"Heather"},{"family":"Gratus","given":"Christine"},{"family":"Petts","given":"Judith I."},{"family":"Sorell","given":"Tom"},{"family":"Wilson","given":"Sue"}],"issued":{"date-parts":[["2009",2,12]]}}}],"schema":"https://github.com/citation-style-language/schema/raw/master/csl-citation.json"} </w:instrText>
            </w:r>
            <w:r>
              <w:rPr>
                <w:rFonts w:ascii="Calibri" w:eastAsia="Calibri" w:hAnsi="Calibri" w:cs="Calibri"/>
                <w:sz w:val="20"/>
                <w:szCs w:val="20"/>
              </w:rPr>
              <w:fldChar w:fldCharType="separate"/>
            </w:r>
            <w:r w:rsidRPr="00473A3E">
              <w:rPr>
                <w:rFonts w:ascii="Calibri" w:hAnsi="Calibri" w:cs="Calibri"/>
                <w:sz w:val="20"/>
                <w:vertAlign w:val="superscript"/>
              </w:rPr>
              <w:t>50</w:t>
            </w:r>
            <w:r>
              <w:rPr>
                <w:rFonts w:ascii="Calibri" w:eastAsia="Calibri" w:hAnsi="Calibri" w:cs="Calibri"/>
                <w:sz w:val="20"/>
                <w:szCs w:val="20"/>
              </w:rPr>
              <w:fldChar w:fldCharType="end"/>
            </w:r>
          </w:p>
        </w:tc>
      </w:tr>
      <w:tr w:rsidR="00240E9A" w14:paraId="354D4DCE" w14:textId="77777777" w:rsidTr="00326329">
        <w:tc>
          <w:tcPr>
            <w:tcW w:w="2605" w:type="dxa"/>
            <w:shd w:val="clear" w:color="auto" w:fill="F2F2F2"/>
          </w:tcPr>
          <w:p w14:paraId="1D88FF4B" w14:textId="77777777" w:rsidR="00240E9A" w:rsidRDefault="00240E9A" w:rsidP="00326329">
            <w:pPr>
              <w:rPr>
                <w:rFonts w:ascii="Calibri" w:eastAsia="Calibri" w:hAnsi="Calibri" w:cs="Calibri"/>
                <w:b/>
                <w:sz w:val="20"/>
                <w:szCs w:val="20"/>
              </w:rPr>
            </w:pPr>
            <w:r>
              <w:rPr>
                <w:rFonts w:ascii="Calibri" w:eastAsia="Calibri" w:hAnsi="Calibri" w:cs="Calibri"/>
                <w:b/>
                <w:sz w:val="20"/>
                <w:szCs w:val="20"/>
              </w:rPr>
              <w:t>Physiological monitoring with wearables and real-time machine learning to infer pre-symptomatic infection (the topic of this article)</w:t>
            </w:r>
          </w:p>
        </w:tc>
        <w:tc>
          <w:tcPr>
            <w:tcW w:w="2116" w:type="dxa"/>
            <w:shd w:val="clear" w:color="auto" w:fill="F2F2F2"/>
          </w:tcPr>
          <w:p w14:paraId="2BB69D8A" w14:textId="77777777" w:rsidR="00240E9A" w:rsidRDefault="00240E9A" w:rsidP="00326329">
            <w:pPr>
              <w:rPr>
                <w:rFonts w:ascii="Calibri" w:eastAsia="Calibri" w:hAnsi="Calibri" w:cs="Calibri"/>
                <w:b/>
                <w:sz w:val="20"/>
                <w:szCs w:val="20"/>
              </w:rPr>
            </w:pPr>
            <w:r>
              <w:rPr>
                <w:rFonts w:ascii="Calibri" w:eastAsia="Calibri" w:hAnsi="Calibri" w:cs="Calibri"/>
                <w:b/>
                <w:sz w:val="20"/>
                <w:szCs w:val="20"/>
              </w:rPr>
              <w:t>Early warning of threat;</w:t>
            </w:r>
            <w:sdt>
              <w:sdtPr>
                <w:tag w:val="goog_rdk_2"/>
                <w:id w:val="1171680789"/>
              </w:sdtPr>
              <w:sdtContent>
                <w:r>
                  <w:t xml:space="preserve"> </w:t>
                </w:r>
              </w:sdtContent>
            </w:sdt>
            <w:r>
              <w:rPr>
                <w:rFonts w:ascii="Calibri" w:eastAsia="Calibri" w:hAnsi="Calibri" w:cs="Calibri"/>
                <w:b/>
                <w:sz w:val="20"/>
                <w:szCs w:val="20"/>
              </w:rPr>
              <w:t>potential early warning of unknown pathogens; effective with mobile workers</w:t>
            </w:r>
          </w:p>
        </w:tc>
        <w:tc>
          <w:tcPr>
            <w:tcW w:w="4629" w:type="dxa"/>
            <w:shd w:val="clear" w:color="auto" w:fill="F2F2F2"/>
          </w:tcPr>
          <w:p w14:paraId="17C680F1" w14:textId="77777777" w:rsidR="00240E9A" w:rsidRDefault="00240E9A" w:rsidP="00326329">
            <w:pPr>
              <w:keepNext/>
              <w:rPr>
                <w:rFonts w:ascii="Calibri" w:eastAsia="Calibri" w:hAnsi="Calibri" w:cs="Calibri"/>
                <w:b/>
                <w:sz w:val="20"/>
                <w:szCs w:val="20"/>
              </w:rPr>
            </w:pPr>
            <w:r>
              <w:rPr>
                <w:rFonts w:ascii="Calibri" w:eastAsia="Calibri" w:hAnsi="Calibri" w:cs="Calibri"/>
                <w:b/>
                <w:sz w:val="20"/>
                <w:szCs w:val="20"/>
              </w:rPr>
              <w:t>Compliance is somewhat challenging; dependent on the quality of the wearable device(s) deployed; Requires data for training/tuning a machine learning model</w:t>
            </w:r>
          </w:p>
        </w:tc>
      </w:tr>
    </w:tbl>
    <w:p w14:paraId="71AEB0C6" w14:textId="77777777" w:rsidR="00240E9A" w:rsidRPr="00475F5D" w:rsidRDefault="00240E9A" w:rsidP="00240E9A">
      <w:pPr>
        <w:pStyle w:val="Caption"/>
        <w:keepNext/>
        <w:jc w:val="both"/>
        <w:rPr>
          <w:sz w:val="20"/>
          <w:szCs w:val="20"/>
        </w:rPr>
      </w:pPr>
      <w:bookmarkStart w:id="1" w:name="_Ref71876857"/>
      <w:r w:rsidRPr="00475F5D">
        <w:rPr>
          <w:sz w:val="20"/>
          <w:szCs w:val="20"/>
        </w:rPr>
        <w:lastRenderedPageBreak/>
        <w:t xml:space="preserve">Supplementary Table </w:t>
      </w:r>
      <w:r w:rsidRPr="00475F5D">
        <w:rPr>
          <w:sz w:val="20"/>
          <w:szCs w:val="20"/>
        </w:rPr>
        <w:fldChar w:fldCharType="begin"/>
      </w:r>
      <w:r w:rsidRPr="00475F5D">
        <w:rPr>
          <w:sz w:val="20"/>
          <w:szCs w:val="20"/>
        </w:rPr>
        <w:instrText xml:space="preserve"> SEQ Supplementary_Table \* ARABIC </w:instrText>
      </w:r>
      <w:r w:rsidRPr="00475F5D">
        <w:rPr>
          <w:sz w:val="20"/>
          <w:szCs w:val="20"/>
        </w:rPr>
        <w:fldChar w:fldCharType="separate"/>
      </w:r>
      <w:r>
        <w:rPr>
          <w:noProof/>
          <w:sz w:val="20"/>
          <w:szCs w:val="20"/>
        </w:rPr>
        <w:t>2</w:t>
      </w:r>
      <w:r w:rsidRPr="00475F5D">
        <w:rPr>
          <w:sz w:val="20"/>
          <w:szCs w:val="20"/>
        </w:rPr>
        <w:fldChar w:fldCharType="end"/>
      </w:r>
      <w:bookmarkEnd w:id="1"/>
      <w:r w:rsidRPr="00475F5D">
        <w:rPr>
          <w:sz w:val="20"/>
          <w:szCs w:val="20"/>
        </w:rPr>
        <w:t>: Summary of physiological measurements captured by the COTS devices</w:t>
      </w:r>
    </w:p>
    <w:p w14:paraId="55C08D12" w14:textId="77777777" w:rsidR="00240E9A" w:rsidRDefault="00240E9A" w:rsidP="00240E9A">
      <w:pPr>
        <w:spacing w:after="0" w:line="240" w:lineRule="auto"/>
        <w:jc w:val="both"/>
        <w:rPr>
          <w:rFonts w:ascii="Times" w:eastAsia="Times" w:hAnsi="Times" w:cs="Times"/>
          <w:b/>
          <w:sz w:val="22"/>
          <w:szCs w:val="22"/>
        </w:rPr>
      </w:pPr>
      <w:r>
        <w:rPr>
          <w:noProof/>
        </w:rPr>
        <w:drawing>
          <wp:inline distT="0" distB="0" distL="0" distR="0" wp14:anchorId="42EC1D85" wp14:editId="77355559">
            <wp:extent cx="5943600" cy="3512820"/>
            <wp:effectExtent l="0" t="0" r="0" b="5080"/>
            <wp:docPr id="1762272347" name="image8.png" descr="Graphical user interfac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8.png" descr="Graphical user interface&#10;&#10;Description automatically generated with medium confidence"/>
                    <pic:cNvPicPr preferRelativeResize="0"/>
                  </pic:nvPicPr>
                  <pic:blipFill>
                    <a:blip r:embed="rId5"/>
                    <a:srcRect/>
                    <a:stretch>
                      <a:fillRect/>
                    </a:stretch>
                  </pic:blipFill>
                  <pic:spPr>
                    <a:xfrm>
                      <a:off x="0" y="0"/>
                      <a:ext cx="5943600" cy="3512820"/>
                    </a:xfrm>
                    <a:prstGeom prst="rect">
                      <a:avLst/>
                    </a:prstGeom>
                    <a:ln/>
                  </pic:spPr>
                </pic:pic>
              </a:graphicData>
            </a:graphic>
          </wp:inline>
        </w:drawing>
      </w:r>
    </w:p>
    <w:p w14:paraId="56F0D02B" w14:textId="77777777" w:rsidR="00240E9A" w:rsidRDefault="00240E9A" w:rsidP="00240E9A">
      <w:pPr>
        <w:spacing w:after="0" w:line="240" w:lineRule="auto"/>
        <w:jc w:val="both"/>
        <w:rPr>
          <w:rFonts w:ascii="Times" w:eastAsia="Times" w:hAnsi="Times" w:cs="Times"/>
          <w:b/>
          <w:sz w:val="22"/>
          <w:szCs w:val="22"/>
        </w:rPr>
      </w:pPr>
    </w:p>
    <w:p w14:paraId="6F6ED949" w14:textId="77777777" w:rsidR="00240E9A" w:rsidRDefault="00240E9A" w:rsidP="00240E9A">
      <w:pPr>
        <w:spacing w:after="0" w:line="240" w:lineRule="auto"/>
        <w:jc w:val="both"/>
        <w:rPr>
          <w:rFonts w:ascii="Times" w:eastAsia="Times" w:hAnsi="Times" w:cs="Times"/>
          <w:b/>
          <w:sz w:val="22"/>
          <w:szCs w:val="22"/>
        </w:rPr>
      </w:pPr>
    </w:p>
    <w:p w14:paraId="0A92B34B" w14:textId="77777777" w:rsidR="00240E9A" w:rsidRPr="001E4BFC" w:rsidRDefault="00240E9A" w:rsidP="00240E9A">
      <w:pPr>
        <w:pStyle w:val="Caption"/>
        <w:keepNext/>
        <w:rPr>
          <w:rFonts w:ascii="Calibri" w:hAnsi="Calibri" w:cs="Calibri"/>
          <w:sz w:val="20"/>
          <w:szCs w:val="20"/>
        </w:rPr>
      </w:pPr>
      <w:bookmarkStart w:id="2" w:name="_Ref71877490"/>
      <w:r w:rsidRPr="001E4BFC">
        <w:rPr>
          <w:rFonts w:ascii="Calibri" w:hAnsi="Calibri" w:cs="Calibri"/>
          <w:sz w:val="20"/>
          <w:szCs w:val="20"/>
        </w:rPr>
        <w:t xml:space="preserve">Supplementary Table </w:t>
      </w:r>
      <w:r w:rsidRPr="001E4BFC">
        <w:rPr>
          <w:rFonts w:ascii="Calibri" w:hAnsi="Calibri" w:cs="Calibri"/>
          <w:sz w:val="20"/>
          <w:szCs w:val="20"/>
        </w:rPr>
        <w:fldChar w:fldCharType="begin"/>
      </w:r>
      <w:r w:rsidRPr="001E4BFC">
        <w:rPr>
          <w:rFonts w:ascii="Calibri" w:hAnsi="Calibri" w:cs="Calibri"/>
          <w:sz w:val="20"/>
          <w:szCs w:val="20"/>
        </w:rPr>
        <w:instrText xml:space="preserve"> SEQ Supplementary_Table \* ARABIC </w:instrText>
      </w:r>
      <w:r w:rsidRPr="001E4BFC">
        <w:rPr>
          <w:rFonts w:ascii="Calibri" w:hAnsi="Calibri" w:cs="Calibri"/>
          <w:sz w:val="20"/>
          <w:szCs w:val="20"/>
        </w:rPr>
        <w:fldChar w:fldCharType="separate"/>
      </w:r>
      <w:r>
        <w:rPr>
          <w:rFonts w:ascii="Calibri" w:hAnsi="Calibri" w:cs="Calibri"/>
          <w:noProof/>
          <w:sz w:val="20"/>
          <w:szCs w:val="20"/>
        </w:rPr>
        <w:t>3</w:t>
      </w:r>
      <w:r w:rsidRPr="001E4BFC">
        <w:rPr>
          <w:rFonts w:ascii="Calibri" w:hAnsi="Calibri" w:cs="Calibri"/>
          <w:sz w:val="20"/>
          <w:szCs w:val="20"/>
        </w:rPr>
        <w:fldChar w:fldCharType="end"/>
      </w:r>
      <w:bookmarkEnd w:id="2"/>
      <w:r w:rsidRPr="001E4BFC">
        <w:rPr>
          <w:rFonts w:ascii="Calibri" w:hAnsi="Calibri" w:cs="Calibri"/>
          <w:sz w:val="20"/>
          <w:szCs w:val="20"/>
        </w:rPr>
        <w:t xml:space="preserve">: Daily survey questions. </w:t>
      </w:r>
      <w:r w:rsidRPr="001E4BFC">
        <w:rPr>
          <w:rFonts w:ascii="Calibri" w:eastAsia="Times" w:hAnsi="Calibri" w:cs="Calibri"/>
          <w:color w:val="44546A"/>
          <w:sz w:val="20"/>
          <w:szCs w:val="20"/>
        </w:rPr>
        <w:t>Note the responses outlined below – ‘&gt;’ indicates ‘button</w:t>
      </w:r>
      <w:proofErr w:type="gramStart"/>
      <w:r w:rsidRPr="001E4BFC">
        <w:rPr>
          <w:rFonts w:ascii="Calibri" w:eastAsia="Times" w:hAnsi="Calibri" w:cs="Calibri"/>
          <w:color w:val="44546A"/>
          <w:sz w:val="20"/>
          <w:szCs w:val="20"/>
        </w:rPr>
        <w:t>’,‘</w:t>
      </w:r>
      <w:proofErr w:type="gramEnd"/>
      <w:r w:rsidRPr="001E4BFC">
        <w:rPr>
          <w:rFonts w:ascii="Calibri" w:hAnsi="Calibri" w:cs="Calibri"/>
          <w:color w:val="44546A"/>
          <w:sz w:val="20"/>
          <w:szCs w:val="20"/>
        </w:rPr>
        <w:t>●</w:t>
      </w:r>
      <w:r w:rsidRPr="001E4BFC">
        <w:rPr>
          <w:rFonts w:ascii="Calibri" w:eastAsia="Times" w:hAnsi="Calibri" w:cs="Calibri"/>
          <w:color w:val="44546A"/>
          <w:sz w:val="20"/>
          <w:szCs w:val="20"/>
        </w:rPr>
        <w:t>’ indicates radio button (single response only),‘</w:t>
      </w:r>
      <w:r w:rsidRPr="001E4BFC">
        <w:rPr>
          <w:rFonts w:ascii="Calibri" w:hAnsi="Calibri" w:cs="Calibri"/>
          <w:color w:val="44546A"/>
          <w:sz w:val="20"/>
          <w:szCs w:val="20"/>
        </w:rPr>
        <w:t>□</w:t>
      </w:r>
      <w:r w:rsidRPr="001E4BFC">
        <w:rPr>
          <w:rFonts w:ascii="Calibri" w:eastAsia="Times" w:hAnsi="Calibri" w:cs="Calibri"/>
          <w:color w:val="44546A"/>
          <w:sz w:val="20"/>
          <w:szCs w:val="20"/>
        </w:rPr>
        <w:t>’ indicates checkbox (multiple options available).</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A0" w:firstRow="1" w:lastRow="0" w:firstColumn="1" w:lastColumn="0" w:noHBand="0" w:noVBand="1"/>
      </w:tblPr>
      <w:tblGrid>
        <w:gridCol w:w="4675"/>
        <w:gridCol w:w="4675"/>
      </w:tblGrid>
      <w:tr w:rsidR="00240E9A" w14:paraId="1BEFF83A" w14:textId="77777777" w:rsidTr="00326329">
        <w:tc>
          <w:tcPr>
            <w:tcW w:w="4675" w:type="dxa"/>
            <w:shd w:val="clear" w:color="auto" w:fill="CCCCCC"/>
          </w:tcPr>
          <w:p w14:paraId="38F4FBC5" w14:textId="77777777" w:rsidR="00240E9A" w:rsidRDefault="00240E9A" w:rsidP="00326329">
            <w:pPr>
              <w:jc w:val="both"/>
              <w:rPr>
                <w:rFonts w:ascii="Times" w:eastAsia="Times" w:hAnsi="Times" w:cs="Times"/>
                <w:sz w:val="22"/>
                <w:szCs w:val="22"/>
              </w:rPr>
            </w:pPr>
            <w:r>
              <w:rPr>
                <w:rFonts w:ascii="Times" w:eastAsia="Times" w:hAnsi="Times" w:cs="Times"/>
                <w:sz w:val="22"/>
                <w:szCs w:val="22"/>
              </w:rPr>
              <w:t>Questions</w:t>
            </w:r>
          </w:p>
        </w:tc>
        <w:tc>
          <w:tcPr>
            <w:tcW w:w="4675" w:type="dxa"/>
            <w:shd w:val="clear" w:color="auto" w:fill="CCCCCC"/>
          </w:tcPr>
          <w:p w14:paraId="296B7EE6" w14:textId="77777777" w:rsidR="00240E9A" w:rsidRDefault="00240E9A" w:rsidP="00326329">
            <w:pPr>
              <w:jc w:val="both"/>
              <w:rPr>
                <w:rFonts w:ascii="Times" w:eastAsia="Times" w:hAnsi="Times" w:cs="Times"/>
                <w:sz w:val="22"/>
                <w:szCs w:val="22"/>
              </w:rPr>
            </w:pPr>
            <w:r>
              <w:rPr>
                <w:rFonts w:ascii="Times" w:eastAsia="Times" w:hAnsi="Times" w:cs="Times"/>
                <w:sz w:val="22"/>
                <w:szCs w:val="22"/>
              </w:rPr>
              <w:t>Response options</w:t>
            </w:r>
          </w:p>
        </w:tc>
      </w:tr>
      <w:tr w:rsidR="00240E9A" w14:paraId="6BAEEBEC" w14:textId="77777777" w:rsidTr="00326329">
        <w:tc>
          <w:tcPr>
            <w:tcW w:w="4675" w:type="dxa"/>
          </w:tcPr>
          <w:p w14:paraId="60128529" w14:textId="77777777" w:rsidR="00240E9A" w:rsidRDefault="00240E9A" w:rsidP="00326329">
            <w:pPr>
              <w:jc w:val="both"/>
              <w:rPr>
                <w:rFonts w:ascii="Times" w:eastAsia="Times" w:hAnsi="Times" w:cs="Times"/>
                <w:sz w:val="22"/>
                <w:szCs w:val="22"/>
              </w:rPr>
            </w:pPr>
            <w:r>
              <w:rPr>
                <w:rFonts w:ascii="Times" w:eastAsia="Times" w:hAnsi="Times" w:cs="Times"/>
                <w:sz w:val="22"/>
                <w:szCs w:val="22"/>
              </w:rPr>
              <w:t>Have you been tested for infection since the last time you completed this survey?  (Regardless of whether the results are available yet.)</w:t>
            </w:r>
          </w:p>
        </w:tc>
        <w:tc>
          <w:tcPr>
            <w:tcW w:w="4675" w:type="dxa"/>
          </w:tcPr>
          <w:p w14:paraId="418B69A9"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 xml:space="preserve">No new testing </w:t>
            </w:r>
          </w:p>
          <w:p w14:paraId="1C614439"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Yes, I was tested for...</w:t>
            </w:r>
          </w:p>
          <w:p w14:paraId="5A8311A7"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COVID-19, SARS-CoV-2</w:t>
            </w:r>
          </w:p>
          <w:p w14:paraId="7149106D"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No symptoms</w:t>
            </w:r>
          </w:p>
          <w:p w14:paraId="1B0820DB"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21E143C2"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Flu, influenza</w:t>
            </w:r>
          </w:p>
          <w:p w14:paraId="59F126EB"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No symptoms</w:t>
            </w:r>
          </w:p>
          <w:p w14:paraId="136EDD1D"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1F256FEA"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Strep throat</w:t>
            </w:r>
          </w:p>
          <w:p w14:paraId="7A431755"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No symptoms</w:t>
            </w:r>
          </w:p>
          <w:p w14:paraId="7AE301F9"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71CFB573"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Other bacterial</w:t>
            </w:r>
          </w:p>
          <w:p w14:paraId="4870F0B1"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lastRenderedPageBreak/>
              <w:tab/>
            </w:r>
            <w:r>
              <w:rPr>
                <w:sz w:val="22"/>
                <w:szCs w:val="22"/>
              </w:rPr>
              <w:t>●</w:t>
            </w:r>
            <w:r>
              <w:rPr>
                <w:rFonts w:ascii="Times" w:eastAsia="Times" w:hAnsi="Times" w:cs="Times"/>
                <w:sz w:val="22"/>
                <w:szCs w:val="22"/>
              </w:rPr>
              <w:t xml:space="preserve"> No symptoms</w:t>
            </w:r>
          </w:p>
          <w:p w14:paraId="2FCE9024"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227C86C1"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Other viral</w:t>
            </w:r>
          </w:p>
          <w:p w14:paraId="1E4A4D24"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No symptoms</w:t>
            </w:r>
          </w:p>
          <w:p w14:paraId="237E2C4E"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3A767817"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Other fungal</w:t>
            </w:r>
          </w:p>
          <w:p w14:paraId="6DE9D655"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No symptoms</w:t>
            </w:r>
          </w:p>
          <w:p w14:paraId="3ED05BC3"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5A5D1C6F"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Other don't know</w:t>
            </w:r>
          </w:p>
          <w:p w14:paraId="4118AAF0"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No symptoms</w:t>
            </w:r>
          </w:p>
          <w:p w14:paraId="6A628024"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Feeling ill</w:t>
            </w:r>
          </w:p>
          <w:p w14:paraId="5FDAE5CE" w14:textId="77777777" w:rsidR="00240E9A" w:rsidRDefault="00240E9A" w:rsidP="00326329">
            <w:pPr>
              <w:jc w:val="both"/>
              <w:rPr>
                <w:rFonts w:ascii="Times" w:eastAsia="Times" w:hAnsi="Times" w:cs="Times"/>
                <w:sz w:val="22"/>
                <w:szCs w:val="22"/>
              </w:rPr>
            </w:pPr>
          </w:p>
        </w:tc>
      </w:tr>
      <w:tr w:rsidR="00240E9A" w14:paraId="3E772D5C" w14:textId="77777777" w:rsidTr="00326329">
        <w:tc>
          <w:tcPr>
            <w:tcW w:w="4675" w:type="dxa"/>
            <w:shd w:val="clear" w:color="auto" w:fill="CCCCCC"/>
          </w:tcPr>
          <w:p w14:paraId="309D9FA4" w14:textId="77777777" w:rsidR="00240E9A" w:rsidRDefault="00240E9A" w:rsidP="00326329">
            <w:pPr>
              <w:jc w:val="both"/>
              <w:rPr>
                <w:rFonts w:ascii="Times" w:eastAsia="Times" w:hAnsi="Times" w:cs="Times"/>
                <w:sz w:val="22"/>
                <w:szCs w:val="22"/>
              </w:rPr>
            </w:pPr>
            <w:r>
              <w:rPr>
                <w:rFonts w:ascii="Times" w:eastAsia="Times" w:hAnsi="Times" w:cs="Times"/>
                <w:sz w:val="22"/>
                <w:szCs w:val="22"/>
              </w:rPr>
              <w:lastRenderedPageBreak/>
              <w:t>When did you receive this test(s)?</w:t>
            </w:r>
          </w:p>
        </w:tc>
        <w:tc>
          <w:tcPr>
            <w:tcW w:w="4675" w:type="dxa"/>
            <w:shd w:val="clear" w:color="auto" w:fill="CCCCCC"/>
          </w:tcPr>
          <w:p w14:paraId="2A02276D"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Last 1-2 hours </w:t>
            </w:r>
            <w:r>
              <w:rPr>
                <w:rFonts w:ascii="Times" w:eastAsia="Times" w:hAnsi="Times" w:cs="Times"/>
                <w:sz w:val="22"/>
                <w:szCs w:val="22"/>
              </w:rPr>
              <w:br/>
            </w:r>
            <w:r>
              <w:rPr>
                <w:sz w:val="22"/>
                <w:szCs w:val="22"/>
              </w:rPr>
              <w:t>●</w:t>
            </w:r>
            <w:r>
              <w:rPr>
                <w:rFonts w:ascii="Times" w:eastAsia="Times" w:hAnsi="Times" w:cs="Times"/>
                <w:sz w:val="22"/>
                <w:szCs w:val="22"/>
              </w:rPr>
              <w:t xml:space="preserve"> Last 12 hours</w:t>
            </w:r>
            <w:r>
              <w:rPr>
                <w:rFonts w:ascii="Times" w:eastAsia="Times" w:hAnsi="Times" w:cs="Times"/>
                <w:sz w:val="22"/>
                <w:szCs w:val="22"/>
              </w:rPr>
              <w:br/>
            </w:r>
            <w:r>
              <w:rPr>
                <w:sz w:val="22"/>
                <w:szCs w:val="22"/>
              </w:rPr>
              <w:t>●</w:t>
            </w:r>
            <w:r>
              <w:rPr>
                <w:rFonts w:ascii="Times" w:eastAsia="Times" w:hAnsi="Times" w:cs="Times"/>
                <w:sz w:val="22"/>
                <w:szCs w:val="22"/>
              </w:rPr>
              <w:t xml:space="preserve"> Last 24 hours</w:t>
            </w:r>
          </w:p>
          <w:p w14:paraId="2FAF5A10"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More than 24 hours</w:t>
            </w:r>
          </w:p>
          <w:p w14:paraId="751EED01"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I’m not sure</w:t>
            </w:r>
          </w:p>
        </w:tc>
      </w:tr>
      <w:tr w:rsidR="00240E9A" w14:paraId="0DB7DAD6" w14:textId="77777777" w:rsidTr="00326329">
        <w:tc>
          <w:tcPr>
            <w:tcW w:w="4675" w:type="dxa"/>
          </w:tcPr>
          <w:p w14:paraId="7D13EEC5"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Have you received results of a test(s) for infection that you have not yet reported here?</w:t>
            </w:r>
          </w:p>
          <w:p w14:paraId="00BBFF4B" w14:textId="77777777" w:rsidR="00240E9A" w:rsidRDefault="00240E9A" w:rsidP="00326329">
            <w:pPr>
              <w:jc w:val="both"/>
              <w:rPr>
                <w:rFonts w:ascii="Times" w:eastAsia="Times" w:hAnsi="Times" w:cs="Times"/>
                <w:sz w:val="22"/>
                <w:szCs w:val="22"/>
              </w:rPr>
            </w:pPr>
          </w:p>
        </w:tc>
        <w:tc>
          <w:tcPr>
            <w:tcW w:w="4675" w:type="dxa"/>
          </w:tcPr>
          <w:p w14:paraId="473DA04F"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No new results &gt;</w:t>
            </w:r>
          </w:p>
          <w:p w14:paraId="223BDC28"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Yes, I received results of testing for...</w:t>
            </w:r>
          </w:p>
          <w:p w14:paraId="6D79A739"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COVID-19 (SARS-CoV-2) test results</w:t>
            </w:r>
          </w:p>
          <w:p w14:paraId="6F11147D"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7D4BF711"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66524A86"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Negative</w:t>
            </w:r>
          </w:p>
          <w:p w14:paraId="7E01E08D"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Flu (influenza) test results</w:t>
            </w:r>
          </w:p>
          <w:p w14:paraId="29107450"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774AFAE6"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12884198"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Negative</w:t>
            </w:r>
          </w:p>
          <w:p w14:paraId="10491766"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Strep throat test results</w:t>
            </w:r>
          </w:p>
          <w:p w14:paraId="5F1359DA"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046AEA13"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14A28145"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lastRenderedPageBreak/>
              <w:tab/>
            </w:r>
            <w:r>
              <w:rPr>
                <w:sz w:val="22"/>
                <w:szCs w:val="22"/>
              </w:rPr>
              <w:t>●</w:t>
            </w:r>
            <w:r>
              <w:rPr>
                <w:rFonts w:ascii="Times" w:eastAsia="Times" w:hAnsi="Times" w:cs="Times"/>
                <w:sz w:val="22"/>
                <w:szCs w:val="22"/>
              </w:rPr>
              <w:t xml:space="preserve"> Negative</w:t>
            </w:r>
          </w:p>
          <w:p w14:paraId="3945E78B"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Other bacterial test results</w:t>
            </w:r>
          </w:p>
          <w:p w14:paraId="49D0912B"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615DF802"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6D005950"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Negative</w:t>
            </w:r>
          </w:p>
          <w:p w14:paraId="416F442E"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Other viral test results</w:t>
            </w:r>
          </w:p>
          <w:p w14:paraId="649764C3"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1F0174B1"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15E67AB4"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Negative</w:t>
            </w:r>
          </w:p>
          <w:p w14:paraId="45FDFB0C"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Other fungal test results</w:t>
            </w:r>
          </w:p>
          <w:p w14:paraId="3B94C2EB"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550676C1"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7406AB98"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Negative</w:t>
            </w:r>
          </w:p>
          <w:p w14:paraId="3EF1CC1F" w14:textId="77777777" w:rsidR="00240E9A" w:rsidRDefault="00240E9A" w:rsidP="00326329">
            <w:pPr>
              <w:tabs>
                <w:tab w:val="left" w:pos="233"/>
              </w:tabs>
              <w:ind w:hanging="22"/>
              <w:jc w:val="both"/>
              <w:rPr>
                <w:rFonts w:ascii="Times" w:eastAsia="Times" w:hAnsi="Times" w:cs="Times"/>
                <w:sz w:val="22"/>
                <w:szCs w:val="22"/>
              </w:rPr>
            </w:pPr>
            <w:r>
              <w:rPr>
                <w:sz w:val="22"/>
                <w:szCs w:val="22"/>
              </w:rPr>
              <w:t>□</w:t>
            </w:r>
            <w:r>
              <w:rPr>
                <w:rFonts w:ascii="Times" w:eastAsia="Times" w:hAnsi="Times" w:cs="Times"/>
                <w:sz w:val="22"/>
                <w:szCs w:val="22"/>
              </w:rPr>
              <w:t xml:space="preserve"> Other don't know test results</w:t>
            </w:r>
          </w:p>
          <w:p w14:paraId="5D309C4C"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no symptoms</w:t>
            </w:r>
          </w:p>
          <w:p w14:paraId="2CE9040D"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Positive – feeling ill</w:t>
            </w:r>
          </w:p>
          <w:p w14:paraId="024D248B" w14:textId="77777777" w:rsidR="00240E9A" w:rsidRDefault="00240E9A" w:rsidP="00326329">
            <w:pPr>
              <w:tabs>
                <w:tab w:val="left" w:pos="233"/>
              </w:tabs>
              <w:ind w:hanging="22"/>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Negative</w:t>
            </w:r>
          </w:p>
          <w:p w14:paraId="647F965A" w14:textId="77777777" w:rsidR="00240E9A" w:rsidRDefault="00240E9A" w:rsidP="00326329">
            <w:pPr>
              <w:tabs>
                <w:tab w:val="left" w:pos="233"/>
              </w:tabs>
              <w:jc w:val="both"/>
              <w:rPr>
                <w:rFonts w:ascii="Times" w:eastAsia="Times" w:hAnsi="Times" w:cs="Times"/>
                <w:sz w:val="22"/>
                <w:szCs w:val="22"/>
              </w:rPr>
            </w:pPr>
          </w:p>
        </w:tc>
      </w:tr>
      <w:tr w:rsidR="00240E9A" w14:paraId="2C1462E1" w14:textId="77777777" w:rsidTr="00326329">
        <w:tc>
          <w:tcPr>
            <w:tcW w:w="4675" w:type="dxa"/>
            <w:shd w:val="clear" w:color="auto" w:fill="CCCCCC"/>
          </w:tcPr>
          <w:p w14:paraId="6152E994"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lastRenderedPageBreak/>
              <w:t>When did you receive the result(s)?</w:t>
            </w:r>
          </w:p>
          <w:p w14:paraId="44D7C88E" w14:textId="77777777" w:rsidR="00240E9A" w:rsidRDefault="00240E9A" w:rsidP="00326329">
            <w:pPr>
              <w:tabs>
                <w:tab w:val="left" w:pos="233"/>
              </w:tabs>
              <w:jc w:val="both"/>
              <w:rPr>
                <w:rFonts w:ascii="Times" w:eastAsia="Times" w:hAnsi="Times" w:cs="Times"/>
                <w:sz w:val="22"/>
                <w:szCs w:val="22"/>
              </w:rPr>
            </w:pPr>
          </w:p>
        </w:tc>
        <w:tc>
          <w:tcPr>
            <w:tcW w:w="4675" w:type="dxa"/>
            <w:shd w:val="clear" w:color="auto" w:fill="CCCCCC"/>
          </w:tcPr>
          <w:p w14:paraId="2535B7BE"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Last 1-2 hours </w:t>
            </w:r>
            <w:r>
              <w:rPr>
                <w:rFonts w:ascii="Times" w:eastAsia="Times" w:hAnsi="Times" w:cs="Times"/>
                <w:sz w:val="22"/>
                <w:szCs w:val="22"/>
              </w:rPr>
              <w:br/>
            </w:r>
            <w:r>
              <w:rPr>
                <w:sz w:val="22"/>
                <w:szCs w:val="22"/>
              </w:rPr>
              <w:t>●</w:t>
            </w:r>
            <w:r>
              <w:rPr>
                <w:rFonts w:ascii="Times" w:eastAsia="Times" w:hAnsi="Times" w:cs="Times"/>
                <w:sz w:val="22"/>
                <w:szCs w:val="22"/>
              </w:rPr>
              <w:t xml:space="preserve"> Last 12 hours</w:t>
            </w:r>
            <w:r>
              <w:rPr>
                <w:rFonts w:ascii="Times" w:eastAsia="Times" w:hAnsi="Times" w:cs="Times"/>
                <w:sz w:val="22"/>
                <w:szCs w:val="22"/>
              </w:rPr>
              <w:br/>
            </w:r>
            <w:r>
              <w:rPr>
                <w:sz w:val="22"/>
                <w:szCs w:val="22"/>
              </w:rPr>
              <w:t>●</w:t>
            </w:r>
            <w:r>
              <w:rPr>
                <w:rFonts w:ascii="Times" w:eastAsia="Times" w:hAnsi="Times" w:cs="Times"/>
                <w:sz w:val="22"/>
                <w:szCs w:val="22"/>
              </w:rPr>
              <w:t xml:space="preserve"> Last 24 hours </w:t>
            </w:r>
          </w:p>
          <w:p w14:paraId="18D6CACB"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More than 24 hours</w:t>
            </w:r>
          </w:p>
          <w:p w14:paraId="032E8E43"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I’m not sure</w:t>
            </w:r>
          </w:p>
        </w:tc>
      </w:tr>
      <w:tr w:rsidR="00240E9A" w14:paraId="692051DD" w14:textId="77777777" w:rsidTr="00326329">
        <w:tc>
          <w:tcPr>
            <w:tcW w:w="4675" w:type="dxa"/>
          </w:tcPr>
          <w:p w14:paraId="2522109C" w14:textId="77777777" w:rsidR="00240E9A" w:rsidRDefault="00240E9A" w:rsidP="00326329">
            <w:pPr>
              <w:jc w:val="both"/>
              <w:rPr>
                <w:rFonts w:ascii="Times" w:eastAsia="Times" w:hAnsi="Times" w:cs="Times"/>
                <w:sz w:val="22"/>
                <w:szCs w:val="22"/>
              </w:rPr>
            </w:pPr>
            <w:r>
              <w:rPr>
                <w:rFonts w:ascii="Times" w:eastAsia="Times" w:hAnsi="Times" w:cs="Times"/>
                <w:sz w:val="22"/>
                <w:szCs w:val="22"/>
              </w:rPr>
              <w:t>Have you felt any symptoms since the last time you completed this survey?</w:t>
            </w:r>
          </w:p>
          <w:p w14:paraId="26E3E400" w14:textId="77777777" w:rsidR="00240E9A" w:rsidRDefault="00240E9A" w:rsidP="00326329">
            <w:pPr>
              <w:tabs>
                <w:tab w:val="left" w:pos="233"/>
              </w:tabs>
              <w:jc w:val="both"/>
              <w:rPr>
                <w:rFonts w:ascii="Times" w:eastAsia="Times" w:hAnsi="Times" w:cs="Times"/>
                <w:sz w:val="22"/>
                <w:szCs w:val="22"/>
              </w:rPr>
            </w:pPr>
          </w:p>
        </w:tc>
        <w:tc>
          <w:tcPr>
            <w:tcW w:w="4675" w:type="dxa"/>
          </w:tcPr>
          <w:p w14:paraId="0FAE97BD"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No new symptoms &gt;</w:t>
            </w:r>
          </w:p>
          <w:p w14:paraId="37FFE8EE"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Yes, I have had symptoms...</w:t>
            </w:r>
          </w:p>
          <w:p w14:paraId="6F97BFEF"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Fever</w:t>
            </w:r>
          </w:p>
          <w:p w14:paraId="2BAB2CFC"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Under 99.1 F (37.3 C)</w:t>
            </w:r>
          </w:p>
          <w:p w14:paraId="60E98E72"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99.1-100.4 F (37.3-38.0C)</w:t>
            </w:r>
          </w:p>
          <w:p w14:paraId="7B0A8F84"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100.5-102.2 F (38.1-39.0 C)</w:t>
            </w:r>
          </w:p>
          <w:p w14:paraId="5F30AE91"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ab/>
            </w:r>
            <w:r>
              <w:rPr>
                <w:sz w:val="22"/>
                <w:szCs w:val="22"/>
              </w:rPr>
              <w:t>●</w:t>
            </w:r>
            <w:r>
              <w:rPr>
                <w:rFonts w:ascii="Times" w:eastAsia="Times" w:hAnsi="Times" w:cs="Times"/>
                <w:sz w:val="22"/>
                <w:szCs w:val="22"/>
              </w:rPr>
              <w:t xml:space="preserve"> Over 102.2 F (39.0 C)</w:t>
            </w:r>
          </w:p>
          <w:p w14:paraId="69A5D501" w14:textId="77777777" w:rsidR="00240E9A" w:rsidRDefault="00240E9A" w:rsidP="00326329">
            <w:pPr>
              <w:tabs>
                <w:tab w:val="left" w:pos="233"/>
              </w:tabs>
              <w:jc w:val="both"/>
              <w:rPr>
                <w:rFonts w:ascii="Times" w:eastAsia="Times" w:hAnsi="Times" w:cs="Times"/>
                <w:sz w:val="22"/>
                <w:szCs w:val="22"/>
              </w:rPr>
            </w:pPr>
            <w:r>
              <w:rPr>
                <w:sz w:val="22"/>
                <w:szCs w:val="22"/>
              </w:rPr>
              <w:lastRenderedPageBreak/>
              <w:t>□</w:t>
            </w:r>
            <w:r>
              <w:rPr>
                <w:rFonts w:ascii="Times" w:eastAsia="Times" w:hAnsi="Times" w:cs="Times"/>
                <w:sz w:val="22"/>
                <w:szCs w:val="22"/>
              </w:rPr>
              <w:t xml:space="preserve"> Cough</w:t>
            </w:r>
          </w:p>
          <w:p w14:paraId="19E96986"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Shortness of breath or difficulty breathing</w:t>
            </w:r>
          </w:p>
          <w:p w14:paraId="2A81EB35"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Chills</w:t>
            </w:r>
          </w:p>
          <w:p w14:paraId="55292C91"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Repeated shaking with chills</w:t>
            </w:r>
          </w:p>
          <w:p w14:paraId="279F8820"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Muscle pain</w:t>
            </w:r>
          </w:p>
          <w:p w14:paraId="2E35F81C"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Headache</w:t>
            </w:r>
          </w:p>
          <w:p w14:paraId="677C24C2"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Sore throat</w:t>
            </w:r>
          </w:p>
          <w:p w14:paraId="209B1778"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New loss of taste of smell</w:t>
            </w:r>
          </w:p>
          <w:p w14:paraId="78E02D22"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Fatigue</w:t>
            </w:r>
          </w:p>
          <w:p w14:paraId="4B3069B0"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Sputum, congestion, runny nose</w:t>
            </w:r>
          </w:p>
          <w:p w14:paraId="1B5353FD"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Other</w:t>
            </w:r>
          </w:p>
          <w:p w14:paraId="66C9DC96" w14:textId="77777777" w:rsidR="00240E9A" w:rsidRDefault="00240E9A" w:rsidP="00326329">
            <w:pPr>
              <w:tabs>
                <w:tab w:val="left" w:pos="233"/>
              </w:tabs>
              <w:jc w:val="both"/>
              <w:rPr>
                <w:rFonts w:ascii="Times" w:eastAsia="Times" w:hAnsi="Times" w:cs="Times"/>
                <w:sz w:val="22"/>
                <w:szCs w:val="22"/>
              </w:rPr>
            </w:pPr>
          </w:p>
        </w:tc>
      </w:tr>
      <w:tr w:rsidR="00240E9A" w14:paraId="5BB517CD" w14:textId="77777777" w:rsidTr="00326329">
        <w:tc>
          <w:tcPr>
            <w:tcW w:w="4675" w:type="dxa"/>
            <w:shd w:val="clear" w:color="auto" w:fill="CCCCCC"/>
          </w:tcPr>
          <w:p w14:paraId="17F1704B" w14:textId="77777777" w:rsidR="00240E9A" w:rsidRDefault="00240E9A" w:rsidP="00326329">
            <w:pPr>
              <w:jc w:val="both"/>
              <w:rPr>
                <w:rFonts w:ascii="Times" w:eastAsia="Times" w:hAnsi="Times" w:cs="Times"/>
                <w:sz w:val="22"/>
                <w:szCs w:val="22"/>
              </w:rPr>
            </w:pPr>
            <w:r>
              <w:rPr>
                <w:rFonts w:ascii="Times" w:eastAsia="Times" w:hAnsi="Times" w:cs="Times"/>
                <w:sz w:val="22"/>
                <w:szCs w:val="22"/>
              </w:rPr>
              <w:lastRenderedPageBreak/>
              <w:t>When did you first start feeling these symptoms?</w:t>
            </w:r>
          </w:p>
        </w:tc>
        <w:tc>
          <w:tcPr>
            <w:tcW w:w="4675" w:type="dxa"/>
            <w:shd w:val="clear" w:color="auto" w:fill="CCCCCC"/>
          </w:tcPr>
          <w:p w14:paraId="246D9B07"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Last 1-2 hours </w:t>
            </w:r>
            <w:r>
              <w:rPr>
                <w:rFonts w:ascii="Times" w:eastAsia="Times" w:hAnsi="Times" w:cs="Times"/>
                <w:sz w:val="22"/>
                <w:szCs w:val="22"/>
              </w:rPr>
              <w:br/>
            </w:r>
            <w:r>
              <w:rPr>
                <w:sz w:val="22"/>
                <w:szCs w:val="22"/>
              </w:rPr>
              <w:t>●</w:t>
            </w:r>
            <w:r>
              <w:rPr>
                <w:rFonts w:ascii="Times" w:eastAsia="Times" w:hAnsi="Times" w:cs="Times"/>
                <w:sz w:val="22"/>
                <w:szCs w:val="22"/>
              </w:rPr>
              <w:t xml:space="preserve"> Last 12 hours</w:t>
            </w:r>
            <w:r>
              <w:rPr>
                <w:rFonts w:ascii="Times" w:eastAsia="Times" w:hAnsi="Times" w:cs="Times"/>
                <w:sz w:val="22"/>
                <w:szCs w:val="22"/>
              </w:rPr>
              <w:br/>
            </w:r>
            <w:r>
              <w:rPr>
                <w:sz w:val="22"/>
                <w:szCs w:val="22"/>
              </w:rPr>
              <w:t>●</w:t>
            </w:r>
            <w:r>
              <w:rPr>
                <w:rFonts w:ascii="Times" w:eastAsia="Times" w:hAnsi="Times" w:cs="Times"/>
                <w:sz w:val="22"/>
                <w:szCs w:val="22"/>
              </w:rPr>
              <w:t xml:space="preserve"> Last 24 hours </w:t>
            </w:r>
          </w:p>
          <w:p w14:paraId="1BE134B6"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More than 24 hours</w:t>
            </w:r>
          </w:p>
          <w:p w14:paraId="29AFE370"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I’m not sure</w:t>
            </w:r>
          </w:p>
        </w:tc>
      </w:tr>
      <w:tr w:rsidR="00240E9A" w14:paraId="4B6EFB3C" w14:textId="77777777" w:rsidTr="00326329">
        <w:tc>
          <w:tcPr>
            <w:tcW w:w="4675" w:type="dxa"/>
          </w:tcPr>
          <w:p w14:paraId="4D5F04B0"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t>Have you taken any medications or received any vaccinations since you reported last?</w:t>
            </w:r>
          </w:p>
          <w:p w14:paraId="5143BF62" w14:textId="77777777" w:rsidR="00240E9A" w:rsidRDefault="00240E9A" w:rsidP="00326329">
            <w:pPr>
              <w:jc w:val="both"/>
              <w:rPr>
                <w:rFonts w:ascii="Times" w:eastAsia="Times" w:hAnsi="Times" w:cs="Times"/>
                <w:sz w:val="22"/>
                <w:szCs w:val="22"/>
              </w:rPr>
            </w:pPr>
          </w:p>
        </w:tc>
        <w:tc>
          <w:tcPr>
            <w:tcW w:w="4675" w:type="dxa"/>
          </w:tcPr>
          <w:p w14:paraId="2F11FE93"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Yes, new medications or vaccinations...</w:t>
            </w:r>
          </w:p>
          <w:p w14:paraId="60601D6D"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COVID Vaccine</w:t>
            </w:r>
          </w:p>
          <w:p w14:paraId="6255B823" w14:textId="77777777" w:rsidR="00240E9A" w:rsidRDefault="00240E9A" w:rsidP="00240E9A">
            <w:pPr>
              <w:numPr>
                <w:ilvl w:val="0"/>
                <w:numId w:val="1"/>
              </w:numPr>
              <w:pBdr>
                <w:top w:val="nil"/>
                <w:left w:val="nil"/>
                <w:bottom w:val="nil"/>
                <w:right w:val="nil"/>
                <w:between w:val="nil"/>
              </w:pBdr>
              <w:jc w:val="both"/>
            </w:pPr>
            <w:r>
              <w:rPr>
                <w:rFonts w:ascii="Calibri" w:eastAsia="Calibri" w:hAnsi="Calibri" w:cs="Calibri"/>
                <w:sz w:val="20"/>
                <w:szCs w:val="20"/>
              </w:rPr>
              <w:t>Moderna (1</w:t>
            </w:r>
            <w:r>
              <w:rPr>
                <w:rFonts w:ascii="Calibri" w:eastAsia="Calibri" w:hAnsi="Calibri" w:cs="Calibri"/>
                <w:sz w:val="20"/>
                <w:szCs w:val="20"/>
                <w:vertAlign w:val="superscript"/>
              </w:rPr>
              <w:t>st</w:t>
            </w:r>
            <w:r>
              <w:rPr>
                <w:rFonts w:ascii="Calibri" w:eastAsia="Calibri" w:hAnsi="Calibri" w:cs="Calibri"/>
                <w:sz w:val="20"/>
                <w:szCs w:val="20"/>
              </w:rPr>
              <w:t xml:space="preserve"> of 2)</w:t>
            </w:r>
          </w:p>
          <w:p w14:paraId="0D85F2E1" w14:textId="77777777" w:rsidR="00240E9A" w:rsidRDefault="00240E9A" w:rsidP="00240E9A">
            <w:pPr>
              <w:numPr>
                <w:ilvl w:val="0"/>
                <w:numId w:val="1"/>
              </w:numPr>
              <w:pBdr>
                <w:top w:val="nil"/>
                <w:left w:val="nil"/>
                <w:bottom w:val="nil"/>
                <w:right w:val="nil"/>
                <w:between w:val="nil"/>
              </w:pBdr>
              <w:jc w:val="both"/>
            </w:pPr>
            <w:r>
              <w:rPr>
                <w:rFonts w:ascii="Calibri" w:eastAsia="Calibri" w:hAnsi="Calibri" w:cs="Calibri"/>
                <w:sz w:val="20"/>
                <w:szCs w:val="20"/>
              </w:rPr>
              <w:t>Moderna (2</w:t>
            </w:r>
            <w:r>
              <w:rPr>
                <w:rFonts w:ascii="Calibri" w:eastAsia="Calibri" w:hAnsi="Calibri" w:cs="Calibri"/>
                <w:sz w:val="20"/>
                <w:szCs w:val="20"/>
                <w:vertAlign w:val="superscript"/>
              </w:rPr>
              <w:t>nd</w:t>
            </w:r>
            <w:r>
              <w:rPr>
                <w:rFonts w:ascii="Calibri" w:eastAsia="Calibri" w:hAnsi="Calibri" w:cs="Calibri"/>
                <w:sz w:val="20"/>
                <w:szCs w:val="20"/>
              </w:rPr>
              <w:t xml:space="preserve"> of 2)</w:t>
            </w:r>
          </w:p>
          <w:p w14:paraId="66C3653F" w14:textId="77777777" w:rsidR="00240E9A" w:rsidRDefault="00240E9A" w:rsidP="00240E9A">
            <w:pPr>
              <w:numPr>
                <w:ilvl w:val="0"/>
                <w:numId w:val="1"/>
              </w:numPr>
              <w:pBdr>
                <w:top w:val="nil"/>
                <w:left w:val="nil"/>
                <w:bottom w:val="nil"/>
                <w:right w:val="nil"/>
                <w:between w:val="nil"/>
              </w:pBdr>
              <w:jc w:val="both"/>
            </w:pPr>
            <w:r>
              <w:rPr>
                <w:rFonts w:ascii="Calibri" w:eastAsia="Calibri" w:hAnsi="Calibri" w:cs="Calibri"/>
                <w:sz w:val="20"/>
                <w:szCs w:val="20"/>
              </w:rPr>
              <w:t>Pfizer (1</w:t>
            </w:r>
            <w:r>
              <w:rPr>
                <w:rFonts w:ascii="Calibri" w:eastAsia="Calibri" w:hAnsi="Calibri" w:cs="Calibri"/>
                <w:sz w:val="20"/>
                <w:szCs w:val="20"/>
                <w:vertAlign w:val="superscript"/>
              </w:rPr>
              <w:t>st</w:t>
            </w:r>
            <w:r>
              <w:rPr>
                <w:rFonts w:ascii="Calibri" w:eastAsia="Calibri" w:hAnsi="Calibri" w:cs="Calibri"/>
                <w:sz w:val="20"/>
                <w:szCs w:val="20"/>
              </w:rPr>
              <w:t xml:space="preserve"> of 2)</w:t>
            </w:r>
          </w:p>
          <w:p w14:paraId="711014F9" w14:textId="77777777" w:rsidR="00240E9A" w:rsidRDefault="00240E9A" w:rsidP="00240E9A">
            <w:pPr>
              <w:numPr>
                <w:ilvl w:val="0"/>
                <w:numId w:val="1"/>
              </w:numPr>
              <w:pBdr>
                <w:top w:val="nil"/>
                <w:left w:val="nil"/>
                <w:bottom w:val="nil"/>
                <w:right w:val="nil"/>
                <w:between w:val="nil"/>
              </w:pBdr>
              <w:jc w:val="both"/>
            </w:pPr>
            <w:r>
              <w:rPr>
                <w:rFonts w:ascii="Calibri" w:eastAsia="Calibri" w:hAnsi="Calibri" w:cs="Calibri"/>
                <w:sz w:val="20"/>
                <w:szCs w:val="20"/>
              </w:rPr>
              <w:t>Pfizer (2</w:t>
            </w:r>
            <w:r>
              <w:rPr>
                <w:rFonts w:ascii="Calibri" w:eastAsia="Calibri" w:hAnsi="Calibri" w:cs="Calibri"/>
                <w:sz w:val="20"/>
                <w:szCs w:val="20"/>
                <w:vertAlign w:val="superscript"/>
              </w:rPr>
              <w:t>nd</w:t>
            </w:r>
            <w:r>
              <w:rPr>
                <w:rFonts w:ascii="Calibri" w:eastAsia="Calibri" w:hAnsi="Calibri" w:cs="Calibri"/>
                <w:sz w:val="20"/>
                <w:szCs w:val="20"/>
              </w:rPr>
              <w:t xml:space="preserve"> of 2)</w:t>
            </w:r>
          </w:p>
          <w:p w14:paraId="110194AA" w14:textId="77777777" w:rsidR="00240E9A" w:rsidRDefault="00240E9A" w:rsidP="00240E9A">
            <w:pPr>
              <w:numPr>
                <w:ilvl w:val="0"/>
                <w:numId w:val="1"/>
              </w:numPr>
              <w:pBdr>
                <w:top w:val="nil"/>
                <w:left w:val="nil"/>
                <w:bottom w:val="nil"/>
                <w:right w:val="nil"/>
                <w:between w:val="nil"/>
              </w:pBdr>
              <w:jc w:val="both"/>
            </w:pPr>
            <w:proofErr w:type="gramStart"/>
            <w:r>
              <w:rPr>
                <w:rFonts w:ascii="Calibri" w:eastAsia="Calibri" w:hAnsi="Calibri" w:cs="Calibri"/>
                <w:sz w:val="20"/>
                <w:szCs w:val="20"/>
              </w:rPr>
              <w:t>Other</w:t>
            </w:r>
            <w:proofErr w:type="gramEnd"/>
            <w:r>
              <w:rPr>
                <w:rFonts w:ascii="Calibri" w:eastAsia="Calibri" w:hAnsi="Calibri" w:cs="Calibri"/>
                <w:sz w:val="20"/>
                <w:szCs w:val="20"/>
              </w:rPr>
              <w:t xml:space="preserve"> single dose vaccine</w:t>
            </w:r>
          </w:p>
          <w:p w14:paraId="04B0E925" w14:textId="77777777" w:rsidR="00240E9A" w:rsidRDefault="00240E9A" w:rsidP="00240E9A">
            <w:pPr>
              <w:numPr>
                <w:ilvl w:val="0"/>
                <w:numId w:val="1"/>
              </w:numPr>
              <w:pBdr>
                <w:top w:val="nil"/>
                <w:left w:val="nil"/>
                <w:bottom w:val="nil"/>
                <w:right w:val="nil"/>
                <w:between w:val="nil"/>
              </w:pBdr>
              <w:jc w:val="both"/>
            </w:pPr>
            <w:r>
              <w:rPr>
                <w:rFonts w:ascii="Calibri" w:eastAsia="Calibri" w:hAnsi="Calibri" w:cs="Calibri"/>
                <w:sz w:val="20"/>
                <w:szCs w:val="20"/>
              </w:rPr>
              <w:t>Other 2 dose vaccine (1</w:t>
            </w:r>
            <w:r>
              <w:rPr>
                <w:rFonts w:ascii="Calibri" w:eastAsia="Calibri" w:hAnsi="Calibri" w:cs="Calibri"/>
                <w:sz w:val="20"/>
                <w:szCs w:val="20"/>
                <w:vertAlign w:val="superscript"/>
              </w:rPr>
              <w:t>st</w:t>
            </w:r>
            <w:r>
              <w:rPr>
                <w:rFonts w:ascii="Calibri" w:eastAsia="Calibri" w:hAnsi="Calibri" w:cs="Calibri"/>
                <w:sz w:val="20"/>
                <w:szCs w:val="20"/>
              </w:rPr>
              <w:t xml:space="preserve"> of 2)</w:t>
            </w:r>
          </w:p>
          <w:p w14:paraId="11ECEA70" w14:textId="77777777" w:rsidR="00240E9A" w:rsidRDefault="00240E9A" w:rsidP="00240E9A">
            <w:pPr>
              <w:numPr>
                <w:ilvl w:val="0"/>
                <w:numId w:val="1"/>
              </w:numPr>
              <w:pBdr>
                <w:top w:val="nil"/>
                <w:left w:val="nil"/>
                <w:bottom w:val="nil"/>
                <w:right w:val="nil"/>
                <w:between w:val="nil"/>
              </w:pBdr>
              <w:jc w:val="both"/>
            </w:pPr>
            <w:r>
              <w:rPr>
                <w:rFonts w:ascii="Calibri" w:eastAsia="Calibri" w:hAnsi="Calibri" w:cs="Calibri"/>
                <w:sz w:val="20"/>
                <w:szCs w:val="20"/>
              </w:rPr>
              <w:t>Other 2 dose vaccine (2</w:t>
            </w:r>
            <w:r>
              <w:rPr>
                <w:rFonts w:ascii="Calibri" w:eastAsia="Calibri" w:hAnsi="Calibri" w:cs="Calibri"/>
                <w:sz w:val="20"/>
                <w:szCs w:val="20"/>
                <w:vertAlign w:val="superscript"/>
              </w:rPr>
              <w:t>nd</w:t>
            </w:r>
            <w:r>
              <w:rPr>
                <w:rFonts w:ascii="Calibri" w:eastAsia="Calibri" w:hAnsi="Calibri" w:cs="Calibri"/>
                <w:sz w:val="20"/>
                <w:szCs w:val="20"/>
              </w:rPr>
              <w:t xml:space="preserve"> of 2)</w:t>
            </w:r>
          </w:p>
          <w:p w14:paraId="48EA94CB"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Advil</w:t>
            </w:r>
            <w:r>
              <w:rPr>
                <w:rFonts w:ascii="Times" w:eastAsia="Times" w:hAnsi="Times" w:cs="Times"/>
                <w:color w:val="222222"/>
                <w:sz w:val="22"/>
                <w:szCs w:val="22"/>
                <w:highlight w:val="white"/>
              </w:rPr>
              <w:t>®</w:t>
            </w:r>
            <w:r>
              <w:rPr>
                <w:rFonts w:ascii="Times" w:eastAsia="Times" w:hAnsi="Times" w:cs="Times"/>
                <w:sz w:val="22"/>
                <w:szCs w:val="22"/>
              </w:rPr>
              <w:t>, Motrin</w:t>
            </w:r>
            <w:r>
              <w:rPr>
                <w:rFonts w:ascii="Times" w:eastAsia="Times" w:hAnsi="Times" w:cs="Times"/>
                <w:color w:val="222222"/>
                <w:sz w:val="22"/>
                <w:szCs w:val="22"/>
                <w:highlight w:val="white"/>
              </w:rPr>
              <w:t>®</w:t>
            </w:r>
            <w:r>
              <w:rPr>
                <w:rFonts w:ascii="Times" w:eastAsia="Times" w:hAnsi="Times" w:cs="Times"/>
                <w:sz w:val="22"/>
                <w:szCs w:val="22"/>
              </w:rPr>
              <w:t xml:space="preserve"> (ibuprofen)</w:t>
            </w:r>
          </w:p>
          <w:p w14:paraId="6A5AFBDF"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Tylenol</w:t>
            </w:r>
            <w:r>
              <w:rPr>
                <w:rFonts w:ascii="Times" w:eastAsia="Times" w:hAnsi="Times" w:cs="Times"/>
                <w:color w:val="222222"/>
                <w:sz w:val="22"/>
                <w:szCs w:val="22"/>
                <w:highlight w:val="white"/>
              </w:rPr>
              <w:t>®</w:t>
            </w:r>
            <w:r>
              <w:rPr>
                <w:rFonts w:ascii="Times" w:eastAsia="Times" w:hAnsi="Times" w:cs="Times"/>
                <w:sz w:val="22"/>
                <w:szCs w:val="22"/>
              </w:rPr>
              <w:t xml:space="preserve"> (acetaminophen)</w:t>
            </w:r>
          </w:p>
          <w:p w14:paraId="3F7D88D5"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Aspirin (acetylsalicylic acid)</w:t>
            </w:r>
          </w:p>
          <w:p w14:paraId="4DF71FA8"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w:t>
            </w:r>
            <w:proofErr w:type="spellStart"/>
            <w:r>
              <w:rPr>
                <w:rFonts w:ascii="Times" w:eastAsia="Times" w:hAnsi="Times" w:cs="Times"/>
                <w:sz w:val="22"/>
                <w:szCs w:val="22"/>
              </w:rPr>
              <w:t>DayQuil</w:t>
            </w:r>
            <w:proofErr w:type="spellEnd"/>
            <w:r>
              <w:rPr>
                <w:rFonts w:ascii="Times" w:eastAsia="Times" w:hAnsi="Times" w:cs="Times"/>
                <w:color w:val="222222"/>
                <w:sz w:val="22"/>
                <w:szCs w:val="22"/>
                <w:highlight w:val="white"/>
              </w:rPr>
              <w:t>®</w:t>
            </w:r>
            <w:r>
              <w:rPr>
                <w:rFonts w:ascii="Times" w:eastAsia="Times" w:hAnsi="Times" w:cs="Times"/>
                <w:sz w:val="22"/>
                <w:szCs w:val="22"/>
              </w:rPr>
              <w:t>, NyQuil</w:t>
            </w:r>
            <w:r>
              <w:rPr>
                <w:rFonts w:ascii="Times" w:eastAsia="Times" w:hAnsi="Times" w:cs="Times"/>
                <w:color w:val="222222"/>
                <w:sz w:val="22"/>
                <w:szCs w:val="22"/>
                <w:highlight w:val="white"/>
              </w:rPr>
              <w:t>®</w:t>
            </w:r>
            <w:r>
              <w:rPr>
                <w:rFonts w:ascii="Times" w:eastAsia="Times" w:hAnsi="Times" w:cs="Times"/>
                <w:sz w:val="22"/>
                <w:szCs w:val="22"/>
              </w:rPr>
              <w:t xml:space="preserve"> (Cold &amp; Flu)</w:t>
            </w:r>
          </w:p>
          <w:p w14:paraId="1C86466D" w14:textId="77777777" w:rsidR="00240E9A" w:rsidRDefault="00240E9A" w:rsidP="00326329">
            <w:pPr>
              <w:ind w:left="248" w:hanging="248"/>
              <w:jc w:val="both"/>
              <w:rPr>
                <w:rFonts w:ascii="Times" w:eastAsia="Times" w:hAnsi="Times" w:cs="Times"/>
                <w:sz w:val="22"/>
                <w:szCs w:val="22"/>
              </w:rPr>
            </w:pPr>
            <w:r>
              <w:rPr>
                <w:sz w:val="22"/>
                <w:szCs w:val="22"/>
              </w:rPr>
              <w:lastRenderedPageBreak/>
              <w:t>□</w:t>
            </w:r>
            <w:r>
              <w:rPr>
                <w:rFonts w:ascii="Times" w:eastAsia="Times" w:hAnsi="Times" w:cs="Times"/>
                <w:sz w:val="22"/>
                <w:szCs w:val="22"/>
              </w:rPr>
              <w:t>Benadryl</w:t>
            </w:r>
            <w:proofErr w:type="gramStart"/>
            <w:r>
              <w:rPr>
                <w:rFonts w:ascii="Times" w:eastAsia="Times" w:hAnsi="Times" w:cs="Times"/>
                <w:color w:val="222222"/>
                <w:sz w:val="22"/>
                <w:szCs w:val="22"/>
                <w:highlight w:val="white"/>
              </w:rPr>
              <w:t>®(</w:t>
            </w:r>
            <w:proofErr w:type="gramEnd"/>
            <w:r>
              <w:rPr>
                <w:rFonts w:ascii="Times" w:eastAsia="Times" w:hAnsi="Times" w:cs="Times"/>
                <w:color w:val="222222"/>
                <w:sz w:val="22"/>
                <w:szCs w:val="22"/>
                <w:highlight w:val="white"/>
              </w:rPr>
              <w:t>a</w:t>
            </w:r>
            <w:r>
              <w:rPr>
                <w:rFonts w:ascii="Times" w:eastAsia="Times" w:hAnsi="Times" w:cs="Times"/>
                <w:sz w:val="22"/>
                <w:szCs w:val="22"/>
              </w:rPr>
              <w:t>ntihistamine, diphenhydramine)</w:t>
            </w:r>
          </w:p>
          <w:p w14:paraId="664887A1"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Sudafed</w:t>
            </w:r>
            <w:r>
              <w:rPr>
                <w:rFonts w:ascii="Times" w:eastAsia="Times" w:hAnsi="Times" w:cs="Times"/>
                <w:color w:val="222222"/>
                <w:sz w:val="22"/>
                <w:szCs w:val="22"/>
                <w:highlight w:val="white"/>
              </w:rPr>
              <w:t>® (</w:t>
            </w:r>
            <w:r>
              <w:rPr>
                <w:rFonts w:ascii="Times" w:eastAsia="Times" w:hAnsi="Times" w:cs="Times"/>
                <w:sz w:val="22"/>
                <w:szCs w:val="22"/>
              </w:rPr>
              <w:t>pseudoephedrine)</w:t>
            </w:r>
          </w:p>
          <w:p w14:paraId="078828FF"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Antibiotics</w:t>
            </w:r>
          </w:p>
          <w:p w14:paraId="0D997BA2"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Other medication</w:t>
            </w:r>
          </w:p>
          <w:p w14:paraId="5428A3C8" w14:textId="77777777" w:rsidR="00240E9A" w:rsidRDefault="00240E9A" w:rsidP="00326329">
            <w:pPr>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Flu shot, influenza vaccination</w:t>
            </w:r>
          </w:p>
          <w:p w14:paraId="362016C2"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Other vaccination</w:t>
            </w:r>
          </w:p>
          <w:p w14:paraId="0815E7EC" w14:textId="77777777" w:rsidR="00240E9A" w:rsidRDefault="00240E9A" w:rsidP="00326329">
            <w:pPr>
              <w:tabs>
                <w:tab w:val="left" w:pos="233"/>
              </w:tabs>
              <w:jc w:val="both"/>
              <w:rPr>
                <w:rFonts w:ascii="Times" w:eastAsia="Times" w:hAnsi="Times" w:cs="Times"/>
                <w:sz w:val="22"/>
                <w:szCs w:val="22"/>
              </w:rPr>
            </w:pPr>
          </w:p>
        </w:tc>
      </w:tr>
      <w:tr w:rsidR="00240E9A" w14:paraId="29D5B537" w14:textId="77777777" w:rsidTr="00326329">
        <w:tc>
          <w:tcPr>
            <w:tcW w:w="4675" w:type="dxa"/>
            <w:shd w:val="clear" w:color="auto" w:fill="CCCCCC"/>
          </w:tcPr>
          <w:p w14:paraId="7BA916F8" w14:textId="77777777" w:rsidR="00240E9A" w:rsidRDefault="00240E9A" w:rsidP="00326329">
            <w:pPr>
              <w:tabs>
                <w:tab w:val="left" w:pos="233"/>
              </w:tabs>
              <w:jc w:val="both"/>
              <w:rPr>
                <w:rFonts w:ascii="Times" w:eastAsia="Times" w:hAnsi="Times" w:cs="Times"/>
                <w:sz w:val="22"/>
                <w:szCs w:val="22"/>
              </w:rPr>
            </w:pPr>
            <w:r>
              <w:rPr>
                <w:rFonts w:ascii="Times" w:eastAsia="Times" w:hAnsi="Times" w:cs="Times"/>
                <w:sz w:val="22"/>
                <w:szCs w:val="22"/>
              </w:rPr>
              <w:lastRenderedPageBreak/>
              <w:t>When did you take these medications or receive these vaccinations?</w:t>
            </w:r>
          </w:p>
        </w:tc>
        <w:tc>
          <w:tcPr>
            <w:tcW w:w="4675" w:type="dxa"/>
            <w:shd w:val="clear" w:color="auto" w:fill="CCCCCC"/>
          </w:tcPr>
          <w:p w14:paraId="20E310B2"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Last 1-2 hours </w:t>
            </w:r>
            <w:r>
              <w:rPr>
                <w:rFonts w:ascii="Times" w:eastAsia="Times" w:hAnsi="Times" w:cs="Times"/>
                <w:sz w:val="22"/>
                <w:szCs w:val="22"/>
              </w:rPr>
              <w:br/>
            </w:r>
            <w:r>
              <w:rPr>
                <w:sz w:val="22"/>
                <w:szCs w:val="22"/>
              </w:rPr>
              <w:t>●</w:t>
            </w:r>
            <w:r>
              <w:rPr>
                <w:rFonts w:ascii="Times" w:eastAsia="Times" w:hAnsi="Times" w:cs="Times"/>
                <w:sz w:val="22"/>
                <w:szCs w:val="22"/>
              </w:rPr>
              <w:t xml:space="preserve"> Last 12 hours</w:t>
            </w:r>
            <w:r>
              <w:rPr>
                <w:rFonts w:ascii="Times" w:eastAsia="Times" w:hAnsi="Times" w:cs="Times"/>
                <w:sz w:val="22"/>
                <w:szCs w:val="22"/>
              </w:rPr>
              <w:br/>
            </w:r>
            <w:r>
              <w:rPr>
                <w:sz w:val="22"/>
                <w:szCs w:val="22"/>
              </w:rPr>
              <w:t>●</w:t>
            </w:r>
            <w:r>
              <w:rPr>
                <w:rFonts w:ascii="Times" w:eastAsia="Times" w:hAnsi="Times" w:cs="Times"/>
                <w:sz w:val="22"/>
                <w:szCs w:val="22"/>
              </w:rPr>
              <w:t xml:space="preserve"> Last 24 hours </w:t>
            </w:r>
          </w:p>
          <w:p w14:paraId="42044605" w14:textId="77777777" w:rsidR="00240E9A" w:rsidRDefault="00240E9A" w:rsidP="00326329">
            <w:pPr>
              <w:tabs>
                <w:tab w:val="left" w:pos="233"/>
              </w:tabs>
              <w:jc w:val="both"/>
              <w:rPr>
                <w:rFonts w:ascii="Times" w:eastAsia="Times" w:hAnsi="Times" w:cs="Times"/>
                <w:sz w:val="22"/>
                <w:szCs w:val="22"/>
              </w:rPr>
            </w:pPr>
            <w:r>
              <w:rPr>
                <w:sz w:val="22"/>
                <w:szCs w:val="22"/>
              </w:rPr>
              <w:t>●</w:t>
            </w:r>
            <w:r>
              <w:rPr>
                <w:rFonts w:ascii="Times" w:eastAsia="Times" w:hAnsi="Times" w:cs="Times"/>
                <w:sz w:val="22"/>
                <w:szCs w:val="22"/>
              </w:rPr>
              <w:t xml:space="preserve"> More than 24 hours</w:t>
            </w:r>
          </w:p>
          <w:p w14:paraId="38FF00FD" w14:textId="77777777" w:rsidR="00240E9A" w:rsidRDefault="00240E9A" w:rsidP="00326329">
            <w:pPr>
              <w:keepNext/>
              <w:tabs>
                <w:tab w:val="left" w:pos="293"/>
              </w:tabs>
              <w:jc w:val="both"/>
              <w:rPr>
                <w:rFonts w:ascii="Times" w:eastAsia="Times" w:hAnsi="Times" w:cs="Times"/>
                <w:sz w:val="22"/>
                <w:szCs w:val="22"/>
              </w:rPr>
            </w:pPr>
            <w:r>
              <w:rPr>
                <w:sz w:val="22"/>
                <w:szCs w:val="22"/>
              </w:rPr>
              <w:t>●</w:t>
            </w:r>
            <w:r>
              <w:rPr>
                <w:rFonts w:ascii="Times" w:eastAsia="Times" w:hAnsi="Times" w:cs="Times"/>
                <w:sz w:val="22"/>
                <w:szCs w:val="22"/>
              </w:rPr>
              <w:t xml:space="preserve"> I’m not sure</w:t>
            </w:r>
          </w:p>
        </w:tc>
      </w:tr>
    </w:tbl>
    <w:p w14:paraId="0695C784" w14:textId="77777777" w:rsidR="00240E9A" w:rsidRDefault="00240E9A" w:rsidP="00240E9A">
      <w:pPr>
        <w:spacing w:line="240" w:lineRule="auto"/>
        <w:jc w:val="both"/>
        <w:rPr>
          <w:rFonts w:ascii="Times" w:eastAsia="Times" w:hAnsi="Times" w:cs="Times"/>
          <w:sz w:val="22"/>
          <w:szCs w:val="22"/>
        </w:rPr>
      </w:pPr>
    </w:p>
    <w:p w14:paraId="3B13BFD6" w14:textId="77777777" w:rsidR="00240E9A" w:rsidRDefault="00240E9A" w:rsidP="00240E9A">
      <w:pPr>
        <w:keepNext/>
        <w:spacing w:line="240" w:lineRule="auto"/>
        <w:jc w:val="center"/>
      </w:pPr>
      <w:r>
        <w:rPr>
          <w:rFonts w:ascii="Times" w:eastAsia="Times" w:hAnsi="Times" w:cs="Times"/>
          <w:b/>
          <w:noProof/>
          <w:sz w:val="22"/>
          <w:szCs w:val="22"/>
        </w:rPr>
        <w:drawing>
          <wp:inline distT="0" distB="0" distL="0" distR="0" wp14:anchorId="541835F6" wp14:editId="3FDAF74F">
            <wp:extent cx="4572000" cy="2442072"/>
            <wp:effectExtent l="0" t="0" r="0" b="0"/>
            <wp:docPr id="19" name="Picture 1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histo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81477" cy="2447134"/>
                    </a:xfrm>
                    <a:prstGeom prst="rect">
                      <a:avLst/>
                    </a:prstGeom>
                  </pic:spPr>
                </pic:pic>
              </a:graphicData>
            </a:graphic>
          </wp:inline>
        </w:drawing>
      </w:r>
    </w:p>
    <w:p w14:paraId="7FB34703" w14:textId="77777777" w:rsidR="00240E9A" w:rsidRPr="0030723A" w:rsidRDefault="00240E9A" w:rsidP="00240E9A">
      <w:pPr>
        <w:pStyle w:val="Caption"/>
        <w:jc w:val="both"/>
        <w:rPr>
          <w:rFonts w:ascii="Times" w:eastAsia="Times" w:hAnsi="Times" w:cs="Times"/>
          <w:sz w:val="20"/>
          <w:szCs w:val="20"/>
        </w:rPr>
      </w:pPr>
      <w:bookmarkStart w:id="3" w:name="_Ref72180645"/>
      <w:r w:rsidRPr="0030723A">
        <w:rPr>
          <w:sz w:val="20"/>
          <w:szCs w:val="20"/>
        </w:rPr>
        <w:t xml:space="preserve">Supplementary Figure </w:t>
      </w:r>
      <w:r w:rsidRPr="0030723A">
        <w:rPr>
          <w:sz w:val="20"/>
          <w:szCs w:val="20"/>
        </w:rPr>
        <w:fldChar w:fldCharType="begin"/>
      </w:r>
      <w:r w:rsidRPr="0030723A">
        <w:rPr>
          <w:sz w:val="20"/>
          <w:szCs w:val="20"/>
        </w:rPr>
        <w:instrText xml:space="preserve"> SEQ Supplementary_Figure \* ARABIC </w:instrText>
      </w:r>
      <w:r w:rsidRPr="0030723A">
        <w:rPr>
          <w:sz w:val="20"/>
          <w:szCs w:val="20"/>
        </w:rPr>
        <w:fldChar w:fldCharType="separate"/>
      </w:r>
      <w:r>
        <w:rPr>
          <w:noProof/>
          <w:sz w:val="20"/>
          <w:szCs w:val="20"/>
        </w:rPr>
        <w:t>1</w:t>
      </w:r>
      <w:r w:rsidRPr="0030723A">
        <w:rPr>
          <w:sz w:val="20"/>
          <w:szCs w:val="20"/>
        </w:rPr>
        <w:fldChar w:fldCharType="end"/>
      </w:r>
      <w:bookmarkEnd w:id="3"/>
      <w:r w:rsidRPr="0030723A">
        <w:rPr>
          <w:sz w:val="20"/>
          <w:szCs w:val="20"/>
        </w:rPr>
        <w:t>: Illustration of heart-rate variability (RMSSD) data after sleep period segmentation</w:t>
      </w:r>
      <w:r>
        <w:rPr>
          <w:sz w:val="20"/>
          <w:szCs w:val="20"/>
        </w:rPr>
        <w:t>.</w:t>
      </w:r>
    </w:p>
    <w:p w14:paraId="1BB828DD" w14:textId="77777777" w:rsidR="00240E9A" w:rsidRDefault="00240E9A" w:rsidP="00240E9A">
      <w:pPr>
        <w:spacing w:after="0" w:line="240" w:lineRule="auto"/>
        <w:jc w:val="both"/>
        <w:rPr>
          <w:rFonts w:ascii="Times" w:eastAsia="Times" w:hAnsi="Times" w:cs="Times"/>
          <w:b/>
          <w:sz w:val="22"/>
          <w:szCs w:val="22"/>
        </w:rPr>
      </w:pPr>
    </w:p>
    <w:p w14:paraId="030479FC" w14:textId="77777777" w:rsidR="00240E9A" w:rsidRDefault="00240E9A" w:rsidP="00240E9A">
      <w:pPr>
        <w:keepNext/>
        <w:spacing w:after="0" w:line="240" w:lineRule="auto"/>
        <w:jc w:val="center"/>
      </w:pPr>
      <w:r>
        <w:rPr>
          <w:noProof/>
          <w:color w:val="000000"/>
        </w:rPr>
        <w:lastRenderedPageBreak/>
        <w:drawing>
          <wp:inline distT="0" distB="0" distL="0" distR="0" wp14:anchorId="4E4E5C7A" wp14:editId="2F3E98CD">
            <wp:extent cx="5290457" cy="2474686"/>
            <wp:effectExtent l="0" t="0" r="5715" b="0"/>
            <wp:docPr id="23" name="image10.png" descr="Graphical user interface, text, application, chat or text message&#10;&#10;Description automatically generated"/>
            <wp:cNvGraphicFramePr/>
            <a:graphic xmlns:a="http://schemas.openxmlformats.org/drawingml/2006/main">
              <a:graphicData uri="http://schemas.openxmlformats.org/drawingml/2006/picture">
                <pic:pic xmlns:pic="http://schemas.openxmlformats.org/drawingml/2006/picture">
                  <pic:nvPicPr>
                    <pic:cNvPr id="1762272354" name="image10.png" descr="Graphical user interface, text, application, chat or text message&#10;&#10;Description automatically generated"/>
                    <pic:cNvPicPr preferRelativeResize="0"/>
                  </pic:nvPicPr>
                  <pic:blipFill>
                    <a:blip r:embed="rId7"/>
                    <a:srcRect/>
                    <a:stretch>
                      <a:fillRect/>
                    </a:stretch>
                  </pic:blipFill>
                  <pic:spPr>
                    <a:xfrm>
                      <a:off x="0" y="0"/>
                      <a:ext cx="5304513" cy="2481261"/>
                    </a:xfrm>
                    <a:prstGeom prst="rect">
                      <a:avLst/>
                    </a:prstGeom>
                    <a:ln/>
                  </pic:spPr>
                </pic:pic>
              </a:graphicData>
            </a:graphic>
          </wp:inline>
        </w:drawing>
      </w:r>
    </w:p>
    <w:p w14:paraId="5DC867E6" w14:textId="77777777" w:rsidR="00240E9A" w:rsidRPr="0030723A" w:rsidRDefault="00240E9A" w:rsidP="00240E9A">
      <w:pPr>
        <w:pStyle w:val="Caption"/>
        <w:jc w:val="both"/>
        <w:rPr>
          <w:rFonts w:ascii="Times" w:eastAsia="Times" w:hAnsi="Times" w:cs="Times"/>
          <w:b/>
          <w:sz w:val="20"/>
          <w:szCs w:val="20"/>
        </w:rPr>
      </w:pPr>
      <w:bookmarkStart w:id="4" w:name="_Ref72181386"/>
      <w:r w:rsidRPr="0030723A">
        <w:rPr>
          <w:sz w:val="20"/>
          <w:szCs w:val="20"/>
        </w:rPr>
        <w:t xml:space="preserve">Supplementary Figure </w:t>
      </w:r>
      <w:r w:rsidRPr="0030723A">
        <w:rPr>
          <w:sz w:val="20"/>
          <w:szCs w:val="20"/>
        </w:rPr>
        <w:fldChar w:fldCharType="begin"/>
      </w:r>
      <w:r w:rsidRPr="0030723A">
        <w:rPr>
          <w:sz w:val="20"/>
          <w:szCs w:val="20"/>
        </w:rPr>
        <w:instrText xml:space="preserve"> SEQ Supplementary_Figure \* ARABIC </w:instrText>
      </w:r>
      <w:r w:rsidRPr="0030723A">
        <w:rPr>
          <w:sz w:val="20"/>
          <w:szCs w:val="20"/>
        </w:rPr>
        <w:fldChar w:fldCharType="separate"/>
      </w:r>
      <w:r>
        <w:rPr>
          <w:noProof/>
          <w:sz w:val="20"/>
          <w:szCs w:val="20"/>
        </w:rPr>
        <w:t>2</w:t>
      </w:r>
      <w:r w:rsidRPr="0030723A">
        <w:rPr>
          <w:sz w:val="20"/>
          <w:szCs w:val="20"/>
        </w:rPr>
        <w:fldChar w:fldCharType="end"/>
      </w:r>
      <w:bookmarkEnd w:id="4"/>
      <w:r w:rsidRPr="0030723A">
        <w:rPr>
          <w:sz w:val="20"/>
          <w:szCs w:val="20"/>
        </w:rPr>
        <w:t xml:space="preserve">: </w:t>
      </w:r>
      <w:r w:rsidRPr="00605AFF">
        <w:rPr>
          <w:sz w:val="20"/>
          <w:szCs w:val="20"/>
        </w:rPr>
        <w:t>The study platform was designed to facilitate efficient development and deployment of new machine learning models into the runtime execution environment</w:t>
      </w:r>
      <w:r>
        <w:rPr>
          <w:sz w:val="20"/>
          <w:szCs w:val="20"/>
        </w:rPr>
        <w:t>.</w:t>
      </w:r>
    </w:p>
    <w:p w14:paraId="6C46DAF7" w14:textId="77777777" w:rsidR="00240E9A" w:rsidRDefault="00240E9A" w:rsidP="00240E9A">
      <w:pPr>
        <w:spacing w:after="0" w:line="240" w:lineRule="auto"/>
        <w:jc w:val="both"/>
        <w:rPr>
          <w:rFonts w:ascii="Times" w:eastAsia="Times" w:hAnsi="Times" w:cs="Times"/>
          <w:b/>
          <w:sz w:val="22"/>
          <w:szCs w:val="22"/>
        </w:rPr>
      </w:pPr>
    </w:p>
    <w:p w14:paraId="754B2299" w14:textId="77777777" w:rsidR="00240E9A" w:rsidRDefault="00240E9A" w:rsidP="00240E9A"/>
    <w:p w14:paraId="5E7B44EF" w14:textId="77777777" w:rsidR="00240E9A" w:rsidRPr="00BB3B1E" w:rsidRDefault="00240E9A" w:rsidP="00240E9A">
      <w:pPr>
        <w:pStyle w:val="Caption"/>
        <w:rPr>
          <w:rFonts w:eastAsia="Times"/>
          <w:sz w:val="20"/>
          <w:szCs w:val="20"/>
        </w:rPr>
      </w:pPr>
      <w:r w:rsidRPr="00BB3B1E">
        <w:rPr>
          <w:noProof/>
          <w:sz w:val="20"/>
          <w:szCs w:val="20"/>
        </w:rPr>
        <w:drawing>
          <wp:anchor distT="0" distB="0" distL="114300" distR="114300" simplePos="0" relativeHeight="251659264" behindDoc="0" locked="0" layoutInCell="1" allowOverlap="1" wp14:anchorId="0F78BA35" wp14:editId="258C2C8B">
            <wp:simplePos x="0" y="0"/>
            <wp:positionH relativeFrom="column">
              <wp:posOffset>0</wp:posOffset>
            </wp:positionH>
            <wp:positionV relativeFrom="paragraph">
              <wp:posOffset>153670</wp:posOffset>
            </wp:positionV>
            <wp:extent cx="2990850" cy="2276475"/>
            <wp:effectExtent l="0" t="0" r="0" b="9525"/>
            <wp:wrapTopAndBottom/>
            <wp:docPr id="13" name="Picture 1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pie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90850" cy="2276475"/>
                    </a:xfrm>
                    <a:prstGeom prst="rect">
                      <a:avLst/>
                    </a:prstGeom>
                    <a:noFill/>
                    <a:ln>
                      <a:noFill/>
                    </a:ln>
                  </pic:spPr>
                </pic:pic>
              </a:graphicData>
            </a:graphic>
          </wp:anchor>
        </w:drawing>
      </w:r>
      <w:r w:rsidRPr="00BB3B1E">
        <w:rPr>
          <w:sz w:val="20"/>
          <w:szCs w:val="20"/>
        </w:rPr>
        <w:t xml:space="preserve">Supplementary Figure 3a: Survey results (Most responses were collected in March 2021). Principal investigators (24) commented about their preference for selection of wearable(s) for use with the RATE service. The actual survey question was, "Do you prefer the ring, watch or both?"  Responses of "watch" or "ring" are </w:t>
      </w:r>
      <w:proofErr w:type="gramStart"/>
      <w:r w:rsidRPr="00BB3B1E">
        <w:rPr>
          <w:sz w:val="20"/>
          <w:szCs w:val="20"/>
        </w:rPr>
        <w:t>commercially-sensitive</w:t>
      </w:r>
      <w:proofErr w:type="gramEnd"/>
      <w:r w:rsidRPr="00BB3B1E">
        <w:rPr>
          <w:sz w:val="20"/>
          <w:szCs w:val="20"/>
        </w:rPr>
        <w:t xml:space="preserve"> and coded here without a key as "Device A" and "Device B." Results highlight a strong individual differences effect with no clear one-size-fits-all wearable solution.  About 46% responded that they prefer both, and the remaining 54% disagree over which single wearable they favor.</w:t>
      </w:r>
    </w:p>
    <w:p w14:paraId="3A1080AE" w14:textId="77777777" w:rsidR="00240E9A" w:rsidRDefault="00240E9A" w:rsidP="00240E9A"/>
    <w:p w14:paraId="262576B8" w14:textId="77777777" w:rsidR="00240E9A" w:rsidRPr="00BB3B1E" w:rsidRDefault="00240E9A" w:rsidP="00240E9A">
      <w:pPr>
        <w:pStyle w:val="Caption"/>
        <w:rPr>
          <w:sz w:val="20"/>
          <w:szCs w:val="20"/>
        </w:rPr>
      </w:pPr>
      <w:r w:rsidRPr="00BB3B1E">
        <w:rPr>
          <w:noProof/>
          <w:sz w:val="20"/>
          <w:szCs w:val="20"/>
        </w:rPr>
        <w:lastRenderedPageBreak/>
        <w:drawing>
          <wp:anchor distT="0" distB="0" distL="114300" distR="114300" simplePos="0" relativeHeight="251660288" behindDoc="0" locked="0" layoutInCell="1" allowOverlap="1" wp14:anchorId="0D958732" wp14:editId="3C705392">
            <wp:simplePos x="0" y="0"/>
            <wp:positionH relativeFrom="column">
              <wp:posOffset>0</wp:posOffset>
            </wp:positionH>
            <wp:positionV relativeFrom="paragraph">
              <wp:posOffset>153670</wp:posOffset>
            </wp:positionV>
            <wp:extent cx="5934075" cy="5219700"/>
            <wp:effectExtent l="0" t="0" r="9525" b="0"/>
            <wp:wrapTopAndBottom/>
            <wp:docPr id="18" name="Picture 1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5219700"/>
                    </a:xfrm>
                    <a:prstGeom prst="rect">
                      <a:avLst/>
                    </a:prstGeom>
                    <a:noFill/>
                    <a:ln>
                      <a:noFill/>
                    </a:ln>
                  </pic:spPr>
                </pic:pic>
              </a:graphicData>
            </a:graphic>
          </wp:anchor>
        </w:drawing>
      </w:r>
      <w:r w:rsidRPr="00BB3B1E">
        <w:rPr>
          <w:sz w:val="20"/>
          <w:szCs w:val="20"/>
        </w:rPr>
        <w:t xml:space="preserve">Supplementary Figure 3b: Survey results (Most responses were collected in March 2021). Principal investigators (24) were asked to share their ideas for future use of RATE after the end of the current COVID-19 pandemic. The actual survey question </w:t>
      </w:r>
      <w:proofErr w:type="gramStart"/>
      <w:r w:rsidRPr="00BB3B1E">
        <w:rPr>
          <w:sz w:val="20"/>
          <w:szCs w:val="20"/>
        </w:rPr>
        <w:t>was,,</w:t>
      </w:r>
      <w:proofErr w:type="gramEnd"/>
      <w:r w:rsidRPr="00BB3B1E">
        <w:rPr>
          <w:sz w:val="20"/>
          <w:szCs w:val="20"/>
        </w:rPr>
        <w:t xml:space="preserve"> "How would you use this capability in a non-pandemic environment?" Results highlight the broad potential utility for RATE in supporting maintenance of workforce readiness.  Ideas for use include general monitoring, tracking, and early warning for physiological changes related </w:t>
      </w:r>
      <w:proofErr w:type="gramStart"/>
      <w:r w:rsidRPr="00BB3B1E">
        <w:rPr>
          <w:sz w:val="20"/>
          <w:szCs w:val="20"/>
        </w:rPr>
        <w:t>to:</w:t>
      </w:r>
      <w:proofErr w:type="gramEnd"/>
      <w:r w:rsidRPr="00BB3B1E">
        <w:rPr>
          <w:sz w:val="20"/>
          <w:szCs w:val="20"/>
        </w:rPr>
        <w:t xml:space="preserve"> infection, physical fitness, activity, wellness, health, and illness.</w:t>
      </w:r>
    </w:p>
    <w:p w14:paraId="06482CB7" w14:textId="77777777" w:rsidR="00240E9A" w:rsidRDefault="00240E9A" w:rsidP="00240E9A"/>
    <w:p w14:paraId="19E820FB" w14:textId="77777777" w:rsidR="00240E9A" w:rsidRDefault="00240E9A" w:rsidP="00240E9A">
      <w:r>
        <w:rPr>
          <w:noProof/>
        </w:rPr>
        <w:lastRenderedPageBreak/>
        <w:drawing>
          <wp:inline distT="0" distB="0" distL="0" distR="0" wp14:anchorId="3C42C9AD" wp14:editId="693FD02E">
            <wp:extent cx="3164205" cy="2286000"/>
            <wp:effectExtent l="0" t="0" r="0" b="0"/>
            <wp:docPr id="20" name="Picture 20"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pie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4205" cy="2286000"/>
                    </a:xfrm>
                    <a:prstGeom prst="rect">
                      <a:avLst/>
                    </a:prstGeom>
                    <a:noFill/>
                  </pic:spPr>
                </pic:pic>
              </a:graphicData>
            </a:graphic>
          </wp:inline>
        </w:drawing>
      </w:r>
    </w:p>
    <w:p w14:paraId="7945EF02" w14:textId="77777777" w:rsidR="00240E9A" w:rsidRPr="00BB3B1E" w:rsidRDefault="00240E9A" w:rsidP="00240E9A">
      <w:pPr>
        <w:pStyle w:val="Caption"/>
        <w:rPr>
          <w:sz w:val="20"/>
          <w:szCs w:val="20"/>
        </w:rPr>
      </w:pPr>
      <w:r w:rsidRPr="00BB3B1E">
        <w:rPr>
          <w:sz w:val="20"/>
          <w:szCs w:val="20"/>
        </w:rPr>
        <w:t>Supplementary Figure 3c: Survey results (Most responses were collected in March 2021). Principal investigators (24) commented about their preference for how often they would like to use the RATE UI for principal investigators (the "RATE Tracker Dashboard"). This question was asked within the context of an envisioned future version of the RATE UIs that alerts users to important changes with a 'push' interaction (something not included in the version used for this study). The actual survey question was, "How often would users want to interact with RATE?" From this context of a future 'push' capability, the question being asked could be more precisely described as, "If the RATE UI continuously alerted you to important changes, how often would you like to additionally open the RATE UI and review the information?" Results highlight a strong individual differences effect with about 86% of respondents indicating either "Daily" or "Weekly.</w:t>
      </w:r>
    </w:p>
    <w:p w14:paraId="0AEF17EA" w14:textId="77777777" w:rsidR="00240E9A" w:rsidRDefault="00240E9A" w:rsidP="00240E9A">
      <w:r>
        <w:rPr>
          <w:noProof/>
        </w:rPr>
        <w:drawing>
          <wp:anchor distT="0" distB="0" distL="114300" distR="114300" simplePos="0" relativeHeight="251662336" behindDoc="0" locked="0" layoutInCell="1" allowOverlap="1" wp14:anchorId="502268D9" wp14:editId="531D3B80">
            <wp:simplePos x="0" y="0"/>
            <wp:positionH relativeFrom="column">
              <wp:posOffset>0</wp:posOffset>
            </wp:positionH>
            <wp:positionV relativeFrom="paragraph">
              <wp:posOffset>327660</wp:posOffset>
            </wp:positionV>
            <wp:extent cx="2852928" cy="2276856"/>
            <wp:effectExtent l="0" t="0" r="5080" b="0"/>
            <wp:wrapTopAndBottom/>
            <wp:docPr id="15" name="Picture 15"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pie chart&#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859"/>
                    <a:stretch/>
                  </pic:blipFill>
                  <pic:spPr bwMode="auto">
                    <a:xfrm>
                      <a:off x="0" y="0"/>
                      <a:ext cx="2852928" cy="227685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752CF9" w14:textId="77777777" w:rsidR="00240E9A" w:rsidRPr="00BB3B1E" w:rsidRDefault="00240E9A" w:rsidP="00240E9A">
      <w:pPr>
        <w:pStyle w:val="Caption"/>
        <w:rPr>
          <w:sz w:val="20"/>
          <w:szCs w:val="20"/>
        </w:rPr>
      </w:pPr>
      <w:r w:rsidRPr="00BB3B1E">
        <w:rPr>
          <w:sz w:val="20"/>
          <w:szCs w:val="20"/>
        </w:rPr>
        <w:t>Supplementary Figure 3d: Survey results (Most responses were collected in March 2021). Principal investigators (24) commented about their preference for whether to enable individual military servicemembers to use the RATE UI (the "RATE Tracker" UI), as was the case for this study. The actual survey question was, "Would you like to only keep RATE at site coordinator level?"  Results highlight a strong individual differences effect with disagreement on this question.</w:t>
      </w:r>
    </w:p>
    <w:p w14:paraId="574B1270" w14:textId="77777777" w:rsidR="00240E9A" w:rsidRDefault="00240E9A" w:rsidP="00240E9A"/>
    <w:p w14:paraId="760F458D" w14:textId="77777777" w:rsidR="00240E9A" w:rsidRPr="00BB3B1E" w:rsidRDefault="00240E9A" w:rsidP="00240E9A">
      <w:pPr>
        <w:pStyle w:val="Caption"/>
        <w:rPr>
          <w:sz w:val="20"/>
          <w:szCs w:val="20"/>
        </w:rPr>
      </w:pPr>
      <w:r w:rsidRPr="00BB3B1E">
        <w:rPr>
          <w:noProof/>
          <w:sz w:val="20"/>
          <w:szCs w:val="20"/>
        </w:rPr>
        <w:lastRenderedPageBreak/>
        <w:drawing>
          <wp:anchor distT="0" distB="0" distL="114300" distR="114300" simplePos="0" relativeHeight="251661312" behindDoc="0" locked="0" layoutInCell="1" allowOverlap="1" wp14:anchorId="23808235" wp14:editId="140FE387">
            <wp:simplePos x="0" y="0"/>
            <wp:positionH relativeFrom="column">
              <wp:posOffset>0</wp:posOffset>
            </wp:positionH>
            <wp:positionV relativeFrom="paragraph">
              <wp:posOffset>153670</wp:posOffset>
            </wp:positionV>
            <wp:extent cx="2552700" cy="2295525"/>
            <wp:effectExtent l="0" t="0" r="0" b="9525"/>
            <wp:wrapTopAndBottom/>
            <wp:docPr id="16" name="Picture 16"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pie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2700" cy="2295525"/>
                    </a:xfrm>
                    <a:prstGeom prst="rect">
                      <a:avLst/>
                    </a:prstGeom>
                    <a:noFill/>
                    <a:ln>
                      <a:noFill/>
                    </a:ln>
                  </pic:spPr>
                </pic:pic>
              </a:graphicData>
            </a:graphic>
          </wp:anchor>
        </w:drawing>
      </w:r>
      <w:r w:rsidRPr="00BB3B1E">
        <w:rPr>
          <w:sz w:val="20"/>
          <w:szCs w:val="20"/>
        </w:rPr>
        <w:t>Supplementary Figure 3e: Survey results (Most responses were collected in March 2021). Principal investigators (24) commented about whether they had concerns about the operational security (OPSEC) relative to using the RATE service. The actual survey question was, "Do you have any OPSEC concerns with RATE?"  Results highlight that most respondents (80%) had no OPSEC concerns for the use of RATE.  This is a strong positive result given the US military's extreme sensitivities and requirements for high OPSEC.</w:t>
      </w:r>
    </w:p>
    <w:p w14:paraId="36AFBF57" w14:textId="77777777" w:rsidR="00240E9A" w:rsidRDefault="00240E9A"/>
    <w:sectPr w:rsidR="00240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F69B0"/>
    <w:multiLevelType w:val="multilevel"/>
    <w:tmpl w:val="96EED5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E9A"/>
    <w:rsid w:val="00240E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73A20"/>
  <w15:chartTrackingRefBased/>
  <w15:docId w15:val="{C6CE5AFB-0C66-44DE-A900-2FB8D06B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E9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40E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0E9A"/>
    <w:rPr>
      <w:rFonts w:asciiTheme="majorHAnsi" w:eastAsiaTheme="majorEastAsia" w:hAnsiTheme="majorHAnsi" w:cstheme="majorBidi"/>
      <w:color w:val="2F5496" w:themeColor="accent1" w:themeShade="BF"/>
      <w:sz w:val="32"/>
      <w:szCs w:val="32"/>
    </w:rPr>
  </w:style>
  <w:style w:type="paragraph" w:styleId="Caption">
    <w:name w:val="caption"/>
    <w:basedOn w:val="Normal"/>
    <w:next w:val="Normal"/>
    <w:uiPriority w:val="35"/>
    <w:unhideWhenUsed/>
    <w:qFormat/>
    <w:rsid w:val="00240E9A"/>
    <w:pPr>
      <w:spacing w:after="200" w:line="240" w:lineRule="auto"/>
    </w:pPr>
    <w:rPr>
      <w:rFonts w:asciiTheme="minorHAnsi" w:hAnsiTheme="minorHAnsi"/>
      <w:i/>
      <w:iCs/>
      <w:color w:val="44546A"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8458</Words>
  <Characters>48215</Characters>
  <Application>Microsoft Office Word</Application>
  <DocSecurity>0</DocSecurity>
  <Lines>401</Lines>
  <Paragraphs>113</Paragraphs>
  <ScaleCrop>false</ScaleCrop>
  <Company/>
  <LinksUpToDate>false</LinksUpToDate>
  <CharactersWithSpaces>56560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2021-08-13T02:27:00Z</dcterms:created>
  <dcterms:modified xsi:type="dcterms:W3CDTF">2021-08-13T02:27:00Z</dcterms:modified>
</cp:coreProperties>
</file>