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43BB1A" w14:textId="77777777" w:rsidR="00101329" w:rsidRDefault="00101329" w:rsidP="00101329">
      <w:pPr>
        <w:spacing w:line="240" w:lineRule="auto"/>
        <w:jc w:val="center"/>
        <w:rPr>
          <w:rFonts w:eastAsiaTheme="majorEastAsia" w:cstheme="majorBidi"/>
          <w:b/>
          <w:color w:val="000000" w:themeColor="text1"/>
          <w:spacing w:val="-10"/>
          <w:kern w:val="28"/>
          <w:sz w:val="36"/>
          <w:szCs w:val="56"/>
        </w:rPr>
      </w:pPr>
      <w:r w:rsidRPr="003F7A65">
        <w:rPr>
          <w:rFonts w:eastAsiaTheme="majorEastAsia" w:cstheme="majorBidi"/>
          <w:b/>
          <w:color w:val="000000" w:themeColor="text1"/>
          <w:spacing w:val="-10"/>
          <w:kern w:val="28"/>
          <w:sz w:val="36"/>
          <w:szCs w:val="56"/>
        </w:rPr>
        <w:t xml:space="preserve">Blood-Based </w:t>
      </w:r>
      <w:r w:rsidRPr="003A7F62">
        <w:rPr>
          <w:rFonts w:eastAsiaTheme="majorEastAsia" w:cstheme="majorBidi"/>
          <w:b/>
          <w:color w:val="000000" w:themeColor="text1"/>
          <w:spacing w:val="-10"/>
          <w:kern w:val="28"/>
          <w:sz w:val="36"/>
          <w:szCs w:val="56"/>
        </w:rPr>
        <w:t>Circular RNAs Enable Early and Accurate Alzheimer’s Disease Diagnosis</w:t>
      </w:r>
    </w:p>
    <w:p w14:paraId="7C6DDA7D" w14:textId="698FFAC2" w:rsidR="00101329" w:rsidRPr="00C225BA" w:rsidRDefault="00101329" w:rsidP="00101329">
      <w:pPr>
        <w:spacing w:line="240" w:lineRule="auto"/>
        <w:jc w:val="center"/>
        <w:rPr>
          <w:color w:val="000000" w:themeColor="text1"/>
        </w:rPr>
      </w:pPr>
      <w:r w:rsidRPr="00C225BA">
        <w:rPr>
          <w:color w:val="000000" w:themeColor="text1"/>
        </w:rPr>
        <w:t>Bridget Phillips</w:t>
      </w:r>
      <w:r w:rsidRPr="00C225BA">
        <w:rPr>
          <w:color w:val="000000" w:themeColor="text1"/>
          <w:vertAlign w:val="superscript"/>
        </w:rPr>
        <w:t>1,2</w:t>
      </w:r>
      <w:r w:rsidRPr="00C225BA">
        <w:rPr>
          <w:color w:val="000000" w:themeColor="text1"/>
        </w:rPr>
        <w:t xml:space="preserve">, </w:t>
      </w:r>
      <w:r w:rsidRPr="00C225BA">
        <w:rPr>
          <w:rFonts w:cs="Times New Roman"/>
          <w:color w:val="000000" w:themeColor="text1"/>
        </w:rPr>
        <w:t>Jessie Sanford</w:t>
      </w:r>
      <w:r w:rsidRPr="00C225BA">
        <w:rPr>
          <w:rFonts w:cs="Times New Roman"/>
          <w:color w:val="000000" w:themeColor="text1"/>
          <w:vertAlign w:val="superscript"/>
        </w:rPr>
        <w:t>1,2</w:t>
      </w:r>
      <w:r w:rsidRPr="00C225BA">
        <w:rPr>
          <w:rFonts w:cs="Times New Roman"/>
          <w:color w:val="000000" w:themeColor="text1"/>
        </w:rPr>
        <w:t>, Menghan Liu</w:t>
      </w:r>
      <w:r w:rsidRPr="00C225BA">
        <w:rPr>
          <w:rFonts w:cs="Times New Roman"/>
          <w:color w:val="000000" w:themeColor="text1"/>
          <w:vertAlign w:val="superscript"/>
        </w:rPr>
        <w:t>1,2</w:t>
      </w:r>
      <w:r w:rsidRPr="00C225BA">
        <w:rPr>
          <w:rFonts w:cs="Times New Roman"/>
          <w:color w:val="000000" w:themeColor="text1"/>
        </w:rPr>
        <w:t>, Matt Johnson</w:t>
      </w:r>
      <w:r w:rsidRPr="00C225BA">
        <w:rPr>
          <w:rFonts w:cs="Times New Roman"/>
          <w:color w:val="000000" w:themeColor="text1"/>
          <w:vertAlign w:val="superscript"/>
        </w:rPr>
        <w:t>1,2</w:t>
      </w:r>
      <w:r w:rsidRPr="00C225BA">
        <w:rPr>
          <w:rFonts w:cs="Times New Roman"/>
          <w:color w:val="000000" w:themeColor="text1"/>
        </w:rPr>
        <w:t>, Katherine Gong</w:t>
      </w:r>
      <w:r w:rsidRPr="00C225BA">
        <w:rPr>
          <w:rFonts w:cs="Times New Roman"/>
          <w:color w:val="000000" w:themeColor="text1"/>
          <w:vertAlign w:val="superscript"/>
        </w:rPr>
        <w:t>1,2</w:t>
      </w:r>
      <w:r w:rsidRPr="00C225BA">
        <w:rPr>
          <w:rFonts w:cs="Times New Roman"/>
          <w:color w:val="000000" w:themeColor="text1"/>
        </w:rPr>
        <w:t>, Kristy Bergmann</w:t>
      </w:r>
      <w:r w:rsidRPr="00C225BA">
        <w:rPr>
          <w:rFonts w:cs="Times New Roman"/>
          <w:color w:val="000000" w:themeColor="text1"/>
          <w:vertAlign w:val="superscript"/>
        </w:rPr>
        <w:t>1,2</w:t>
      </w:r>
      <w:r w:rsidRPr="00C225BA">
        <w:rPr>
          <w:rFonts w:cs="Times New Roman"/>
          <w:color w:val="000000" w:themeColor="text1"/>
        </w:rPr>
        <w:t>, Joseph Lowery</w:t>
      </w:r>
      <w:r w:rsidRPr="00C225BA">
        <w:rPr>
          <w:rFonts w:cs="Times New Roman"/>
          <w:color w:val="000000" w:themeColor="text1"/>
          <w:vertAlign w:val="superscript"/>
        </w:rPr>
        <w:t>1,2</w:t>
      </w:r>
      <w:r w:rsidRPr="00C225BA">
        <w:rPr>
          <w:rFonts w:cs="Times New Roman"/>
          <w:color w:val="000000" w:themeColor="text1"/>
        </w:rPr>
        <w:t>, Allison Flynn</w:t>
      </w:r>
      <w:r w:rsidRPr="00C225BA">
        <w:rPr>
          <w:rFonts w:cs="Times New Roman"/>
          <w:color w:val="000000" w:themeColor="text1"/>
          <w:vertAlign w:val="superscript"/>
        </w:rPr>
        <w:t>1,2</w:t>
      </w:r>
      <w:r w:rsidRPr="00C225BA">
        <w:rPr>
          <w:rFonts w:cs="Times New Roman"/>
          <w:color w:val="000000" w:themeColor="text1"/>
        </w:rPr>
        <w:t>, William Brock</w:t>
      </w:r>
      <w:r w:rsidRPr="00C225BA">
        <w:rPr>
          <w:rFonts w:cs="Times New Roman"/>
          <w:color w:val="000000" w:themeColor="text1"/>
          <w:vertAlign w:val="superscript"/>
        </w:rPr>
        <w:t>1,2</w:t>
      </w:r>
      <w:r w:rsidRPr="00C225BA">
        <w:rPr>
          <w:rFonts w:cs="Times New Roman"/>
          <w:color w:val="000000" w:themeColor="text1"/>
        </w:rPr>
        <w:t>, Brenda Sanchez Montejo</w:t>
      </w:r>
      <w:r w:rsidRPr="00C225BA">
        <w:rPr>
          <w:rFonts w:cs="Times New Roman"/>
          <w:color w:val="000000" w:themeColor="text1"/>
          <w:vertAlign w:val="superscript"/>
        </w:rPr>
        <w:t>1,2</w:t>
      </w:r>
      <w:r w:rsidRPr="00C225BA">
        <w:rPr>
          <w:rFonts w:cs="Times New Roman"/>
          <w:color w:val="000000" w:themeColor="text1"/>
        </w:rPr>
        <w:t>, Nicholas Sykora</w:t>
      </w:r>
      <w:r w:rsidRPr="00C225BA">
        <w:rPr>
          <w:rFonts w:cs="Times New Roman"/>
          <w:color w:val="000000" w:themeColor="text1"/>
          <w:vertAlign w:val="superscript"/>
        </w:rPr>
        <w:t>1,2</w:t>
      </w:r>
      <w:r w:rsidRPr="00C225BA">
        <w:rPr>
          <w:rFonts w:cs="Times New Roman"/>
          <w:color w:val="000000" w:themeColor="text1"/>
        </w:rPr>
        <w:t>,</w:t>
      </w:r>
      <w:r w:rsidRPr="00C225BA">
        <w:rPr>
          <w:color w:val="000000" w:themeColor="text1"/>
        </w:rPr>
        <w:t xml:space="preserve"> John Budde</w:t>
      </w:r>
      <w:r w:rsidRPr="00C225BA">
        <w:rPr>
          <w:rFonts w:cs="Times New Roman"/>
          <w:color w:val="000000" w:themeColor="text1"/>
          <w:vertAlign w:val="superscript"/>
        </w:rPr>
        <w:t>1,2</w:t>
      </w:r>
      <w:r w:rsidRPr="00C225BA">
        <w:rPr>
          <w:color w:val="000000" w:themeColor="text1"/>
        </w:rPr>
        <w:t>, Nikolaos Mellios</w:t>
      </w:r>
      <w:r>
        <w:rPr>
          <w:color w:val="000000" w:themeColor="text1"/>
          <w:vertAlign w:val="superscript"/>
        </w:rPr>
        <w:t>3</w:t>
      </w:r>
      <w:r w:rsidRPr="00C225BA">
        <w:rPr>
          <w:color w:val="000000" w:themeColor="text1"/>
        </w:rPr>
        <w:t>, Timothy J. Hohman</w:t>
      </w:r>
      <w:r>
        <w:rPr>
          <w:color w:val="000000" w:themeColor="text1"/>
          <w:vertAlign w:val="superscript"/>
        </w:rPr>
        <w:t>4</w:t>
      </w:r>
      <w:r w:rsidRPr="00C225BA">
        <w:rPr>
          <w:color w:val="000000" w:themeColor="text1"/>
          <w:vertAlign w:val="superscript"/>
        </w:rPr>
        <w:t>,</w:t>
      </w:r>
      <w:r>
        <w:rPr>
          <w:color w:val="000000" w:themeColor="text1"/>
          <w:vertAlign w:val="superscript"/>
        </w:rPr>
        <w:t>5</w:t>
      </w:r>
      <w:r w:rsidRPr="00C225BA">
        <w:rPr>
          <w:color w:val="000000" w:themeColor="text1"/>
        </w:rPr>
        <w:t xml:space="preserve">, </w:t>
      </w:r>
      <w:r w:rsidRPr="00A414D2">
        <w:rPr>
          <w:color w:val="000000" w:themeColor="text1"/>
        </w:rPr>
        <w:t>Vaibhav A. Janve</w:t>
      </w:r>
      <w:r>
        <w:rPr>
          <w:color w:val="000000" w:themeColor="text1"/>
          <w:vertAlign w:val="superscript"/>
        </w:rPr>
        <w:t>4</w:t>
      </w:r>
      <w:r>
        <w:rPr>
          <w:color w:val="000000" w:themeColor="text1"/>
        </w:rPr>
        <w:t xml:space="preserve">, </w:t>
      </w:r>
      <w:r w:rsidRPr="00C225BA">
        <w:rPr>
          <w:color w:val="000000" w:themeColor="text1"/>
        </w:rPr>
        <w:t>Reisa A. Sperling</w:t>
      </w:r>
      <w:r>
        <w:rPr>
          <w:color w:val="000000" w:themeColor="text1"/>
          <w:vertAlign w:val="superscript"/>
        </w:rPr>
        <w:t>6</w:t>
      </w:r>
      <w:r w:rsidRPr="00C225BA">
        <w:rPr>
          <w:color w:val="000000" w:themeColor="text1"/>
        </w:rPr>
        <w:t>, Rachel F. Buckley</w:t>
      </w:r>
      <w:r>
        <w:rPr>
          <w:color w:val="000000" w:themeColor="text1"/>
          <w:vertAlign w:val="superscript"/>
        </w:rPr>
        <w:t>6,7,8</w:t>
      </w:r>
      <w:r w:rsidRPr="00C225BA">
        <w:rPr>
          <w:color w:val="000000" w:themeColor="text1"/>
        </w:rPr>
        <w:t xml:space="preserve">, </w:t>
      </w:r>
      <w:r>
        <w:rPr>
          <w:color w:val="000000" w:themeColor="text1"/>
        </w:rPr>
        <w:t>Mabel Seto</w:t>
      </w:r>
      <w:r>
        <w:rPr>
          <w:color w:val="000000" w:themeColor="text1"/>
          <w:vertAlign w:val="superscript"/>
        </w:rPr>
        <w:t>7</w:t>
      </w:r>
      <w:r>
        <w:rPr>
          <w:color w:val="000000" w:themeColor="text1"/>
        </w:rPr>
        <w:t xml:space="preserve">, </w:t>
      </w:r>
      <w:r w:rsidRPr="00C225BA">
        <w:rPr>
          <w:color w:val="000000" w:themeColor="text1"/>
        </w:rPr>
        <w:t>John C. Morris</w:t>
      </w:r>
      <w:r>
        <w:rPr>
          <w:color w:val="000000" w:themeColor="text1"/>
          <w:vertAlign w:val="superscript"/>
        </w:rPr>
        <w:t>9</w:t>
      </w:r>
      <w:r w:rsidRPr="00C225BA">
        <w:rPr>
          <w:color w:val="000000" w:themeColor="text1"/>
          <w:vertAlign w:val="superscript"/>
        </w:rPr>
        <w:t>,</w:t>
      </w:r>
      <w:r>
        <w:rPr>
          <w:color w:val="000000" w:themeColor="text1"/>
          <w:vertAlign w:val="superscript"/>
        </w:rPr>
        <w:t>10,</w:t>
      </w:r>
      <w:r w:rsidRPr="00C225BA">
        <w:rPr>
          <w:color w:val="000000" w:themeColor="text1"/>
          <w:vertAlign w:val="superscript"/>
        </w:rPr>
        <w:t>1</w:t>
      </w:r>
      <w:r>
        <w:rPr>
          <w:color w:val="000000" w:themeColor="text1"/>
          <w:vertAlign w:val="superscript"/>
        </w:rPr>
        <w:t>1</w:t>
      </w:r>
      <w:r w:rsidRPr="00C225BA">
        <w:rPr>
          <w:color w:val="000000" w:themeColor="text1"/>
        </w:rPr>
        <w:t xml:space="preserve">,  </w:t>
      </w:r>
      <w:r w:rsidRPr="00DB0CC1">
        <w:rPr>
          <w:color w:val="000000" w:themeColor="text1"/>
        </w:rPr>
        <w:t>Joel S. Perlmutter</w:t>
      </w:r>
      <w:r>
        <w:rPr>
          <w:color w:val="000000" w:themeColor="text1"/>
          <w:vertAlign w:val="superscript"/>
        </w:rPr>
        <w:t>9,12</w:t>
      </w:r>
      <w:r w:rsidRPr="00DB0CC1">
        <w:rPr>
          <w:color w:val="000000" w:themeColor="text1"/>
        </w:rPr>
        <w:t>, Paul T. Kotzbauer</w:t>
      </w:r>
      <w:r>
        <w:rPr>
          <w:color w:val="000000" w:themeColor="text1"/>
          <w:vertAlign w:val="superscript"/>
        </w:rPr>
        <w:t>9</w:t>
      </w:r>
      <w:r w:rsidRPr="00DB0CC1">
        <w:rPr>
          <w:color w:val="000000" w:themeColor="text1"/>
        </w:rPr>
        <w:t>,</w:t>
      </w:r>
      <w:r>
        <w:rPr>
          <w:color w:val="000000" w:themeColor="text1"/>
        </w:rPr>
        <w:t xml:space="preserve"> </w:t>
      </w:r>
      <w:r w:rsidRPr="00C225BA">
        <w:rPr>
          <w:bCs/>
          <w:color w:val="000000" w:themeColor="text1"/>
          <w:szCs w:val="24"/>
        </w:rPr>
        <w:t>Richard J. Perrin</w:t>
      </w:r>
      <w:r>
        <w:rPr>
          <w:color w:val="000000" w:themeColor="text1"/>
          <w:vertAlign w:val="superscript"/>
        </w:rPr>
        <w:t>9,10,11</w:t>
      </w:r>
      <w:r w:rsidRPr="00C225BA">
        <w:rPr>
          <w:color w:val="000000" w:themeColor="text1"/>
        </w:rPr>
        <w:t>, Laura Ibanez</w:t>
      </w:r>
      <w:r w:rsidRPr="00C225BA">
        <w:rPr>
          <w:color w:val="000000" w:themeColor="text1"/>
          <w:vertAlign w:val="superscript"/>
        </w:rPr>
        <w:t>1,2,</w:t>
      </w:r>
      <w:r>
        <w:rPr>
          <w:color w:val="000000" w:themeColor="text1"/>
          <w:vertAlign w:val="superscript"/>
        </w:rPr>
        <w:t>9</w:t>
      </w:r>
      <w:r w:rsidRPr="00C225BA">
        <w:rPr>
          <w:color w:val="000000" w:themeColor="text1"/>
        </w:rPr>
        <w:t>, Carlos Cruchaga</w:t>
      </w:r>
      <w:r w:rsidRPr="00C225BA">
        <w:rPr>
          <w:color w:val="000000" w:themeColor="text1"/>
          <w:vertAlign w:val="superscript"/>
        </w:rPr>
        <w:t>1,2,</w:t>
      </w:r>
      <w:r>
        <w:rPr>
          <w:color w:val="000000" w:themeColor="text1"/>
          <w:vertAlign w:val="superscript"/>
        </w:rPr>
        <w:t>10,12</w:t>
      </w:r>
    </w:p>
    <w:p w14:paraId="1D63EBF7" w14:textId="77777777" w:rsidR="00101329" w:rsidRPr="003A7F62" w:rsidRDefault="00101329" w:rsidP="00101329">
      <w:pPr>
        <w:spacing w:after="0" w:line="240" w:lineRule="auto"/>
        <w:jc w:val="left"/>
        <w:rPr>
          <w:b/>
          <w:color w:val="000000" w:themeColor="text1"/>
          <w:sz w:val="22"/>
          <w:szCs w:val="20"/>
        </w:rPr>
      </w:pPr>
      <w:r w:rsidRPr="003A7F62">
        <w:rPr>
          <w:b/>
          <w:color w:val="000000" w:themeColor="text1"/>
          <w:sz w:val="22"/>
          <w:szCs w:val="20"/>
        </w:rPr>
        <w:t>Author affiliations:</w:t>
      </w:r>
    </w:p>
    <w:p w14:paraId="1D6034A1" w14:textId="77777777" w:rsidR="00101329" w:rsidRPr="003A7F62" w:rsidRDefault="00101329" w:rsidP="00101329">
      <w:pPr>
        <w:spacing w:after="0" w:line="240" w:lineRule="auto"/>
        <w:jc w:val="left"/>
        <w:rPr>
          <w:color w:val="000000" w:themeColor="text1"/>
          <w:sz w:val="22"/>
          <w:szCs w:val="20"/>
        </w:rPr>
      </w:pPr>
      <w:r w:rsidRPr="003A7F62">
        <w:rPr>
          <w:color w:val="000000" w:themeColor="text1"/>
          <w:sz w:val="22"/>
          <w:szCs w:val="20"/>
          <w:vertAlign w:val="superscript"/>
        </w:rPr>
        <w:t>1</w:t>
      </w:r>
      <w:r w:rsidRPr="003A7F62">
        <w:rPr>
          <w:color w:val="000000" w:themeColor="text1"/>
          <w:sz w:val="22"/>
          <w:szCs w:val="20"/>
        </w:rPr>
        <w:t xml:space="preserve">Department of Psychiatry, Washington University School of Medicine, St. Louis, MO 63110, USA </w:t>
      </w:r>
    </w:p>
    <w:p w14:paraId="0ECFCC6C" w14:textId="77777777" w:rsidR="00101329" w:rsidRPr="003A7F62" w:rsidRDefault="00101329" w:rsidP="00101329">
      <w:pPr>
        <w:spacing w:after="0" w:line="240" w:lineRule="auto"/>
        <w:jc w:val="left"/>
        <w:rPr>
          <w:color w:val="000000" w:themeColor="text1"/>
          <w:sz w:val="22"/>
          <w:szCs w:val="20"/>
        </w:rPr>
      </w:pPr>
      <w:r w:rsidRPr="003A7F62">
        <w:rPr>
          <w:color w:val="000000" w:themeColor="text1"/>
          <w:sz w:val="22"/>
          <w:szCs w:val="20"/>
          <w:vertAlign w:val="superscript"/>
        </w:rPr>
        <w:t>2</w:t>
      </w:r>
      <w:r w:rsidRPr="003A7F62">
        <w:rPr>
          <w:color w:val="000000" w:themeColor="text1"/>
          <w:sz w:val="22"/>
          <w:szCs w:val="20"/>
        </w:rPr>
        <w:t>NeuroGenomics and Informatics Center, Washington University School of Medicine, St. Louis, MO 63110, USA</w:t>
      </w:r>
    </w:p>
    <w:p w14:paraId="54E20D18" w14:textId="77777777" w:rsidR="00101329" w:rsidRPr="003A7F62" w:rsidRDefault="00101329" w:rsidP="00101329">
      <w:pPr>
        <w:spacing w:after="0" w:line="240" w:lineRule="auto"/>
        <w:jc w:val="left"/>
        <w:rPr>
          <w:color w:val="000000" w:themeColor="text1"/>
          <w:sz w:val="22"/>
          <w:szCs w:val="20"/>
          <w:lang w:val="es-MX"/>
        </w:rPr>
      </w:pPr>
      <w:r w:rsidRPr="003A7F62">
        <w:rPr>
          <w:color w:val="000000" w:themeColor="text1"/>
          <w:sz w:val="22"/>
          <w:szCs w:val="20"/>
          <w:vertAlign w:val="superscript"/>
          <w:lang w:val="es-ES"/>
        </w:rPr>
        <w:t>3</w:t>
      </w:r>
      <w:r w:rsidRPr="003A7F62">
        <w:rPr>
          <w:color w:val="000000" w:themeColor="text1"/>
          <w:sz w:val="22"/>
          <w:szCs w:val="20"/>
          <w:lang w:val="es-MX"/>
        </w:rPr>
        <w:t>Circular Genomics Inc, San Diego, CA 92121</w:t>
      </w:r>
    </w:p>
    <w:p w14:paraId="7F1D44F4" w14:textId="77777777" w:rsidR="00101329" w:rsidRPr="003A7F62" w:rsidRDefault="00101329" w:rsidP="00101329">
      <w:pPr>
        <w:spacing w:after="0" w:line="240" w:lineRule="auto"/>
        <w:jc w:val="left"/>
        <w:rPr>
          <w:color w:val="000000" w:themeColor="text1"/>
          <w:sz w:val="22"/>
          <w:szCs w:val="20"/>
          <w:lang w:val="en-US"/>
        </w:rPr>
      </w:pPr>
      <w:r w:rsidRPr="003A7F62">
        <w:rPr>
          <w:color w:val="000000" w:themeColor="text1"/>
          <w:sz w:val="22"/>
          <w:szCs w:val="20"/>
          <w:vertAlign w:val="superscript"/>
          <w:lang w:val="en-US"/>
        </w:rPr>
        <w:t>4</w:t>
      </w:r>
      <w:r w:rsidRPr="003A7F62">
        <w:rPr>
          <w:color w:val="000000" w:themeColor="text1"/>
          <w:sz w:val="22"/>
          <w:szCs w:val="20"/>
          <w:lang w:val="en-US"/>
        </w:rPr>
        <w:t>Vanderbilt Memory and Alzheimer’s Center, Vanderbilt University Medical Center, Nashville, TN, USA 37232</w:t>
      </w:r>
    </w:p>
    <w:p w14:paraId="20EB52C8" w14:textId="77777777" w:rsidR="00101329" w:rsidRPr="003A7F62" w:rsidRDefault="00101329" w:rsidP="00101329">
      <w:pPr>
        <w:spacing w:after="0" w:line="240" w:lineRule="auto"/>
        <w:jc w:val="left"/>
        <w:rPr>
          <w:color w:val="000000" w:themeColor="text1"/>
          <w:sz w:val="22"/>
          <w:szCs w:val="20"/>
          <w:lang w:val="en-US"/>
        </w:rPr>
      </w:pPr>
      <w:r w:rsidRPr="003A7F62">
        <w:rPr>
          <w:color w:val="000000" w:themeColor="text1"/>
          <w:sz w:val="22"/>
          <w:szCs w:val="20"/>
          <w:vertAlign w:val="superscript"/>
          <w:lang w:val="en-US"/>
        </w:rPr>
        <w:t>5</w:t>
      </w:r>
      <w:r w:rsidRPr="003A7F62">
        <w:rPr>
          <w:color w:val="000000" w:themeColor="text1"/>
          <w:sz w:val="22"/>
          <w:szCs w:val="20"/>
          <w:lang w:val="en-US"/>
        </w:rPr>
        <w:t>Department of Neurology, Vanderbilt University Medical Center, Nashville, TN, USA</w:t>
      </w:r>
    </w:p>
    <w:p w14:paraId="7ED38C28" w14:textId="77777777" w:rsidR="00101329" w:rsidRPr="003A7F62" w:rsidRDefault="00101329" w:rsidP="00101329">
      <w:pPr>
        <w:spacing w:after="0" w:line="240" w:lineRule="auto"/>
        <w:jc w:val="left"/>
        <w:rPr>
          <w:color w:val="000000" w:themeColor="text1"/>
          <w:sz w:val="22"/>
          <w:szCs w:val="20"/>
          <w:lang w:val="en-US"/>
        </w:rPr>
      </w:pPr>
      <w:r w:rsidRPr="003A7F62">
        <w:rPr>
          <w:color w:val="000000" w:themeColor="text1"/>
          <w:sz w:val="22"/>
          <w:szCs w:val="20"/>
          <w:vertAlign w:val="superscript"/>
          <w:lang w:val="en-US"/>
        </w:rPr>
        <w:t>6</w:t>
      </w:r>
      <w:r w:rsidRPr="003A7F62">
        <w:rPr>
          <w:color w:val="000000" w:themeColor="text1"/>
          <w:sz w:val="22"/>
          <w:szCs w:val="20"/>
          <w:lang w:val="en-US"/>
        </w:rPr>
        <w:t>Department of Neurology, Massachusetts General Hospital, Harvard Medical School, Boston, MA 02115</w:t>
      </w:r>
    </w:p>
    <w:p w14:paraId="14B4E201" w14:textId="77777777" w:rsidR="00101329" w:rsidRPr="003A7F62" w:rsidRDefault="00101329" w:rsidP="00101329">
      <w:pPr>
        <w:spacing w:after="0" w:line="240" w:lineRule="auto"/>
        <w:jc w:val="left"/>
        <w:rPr>
          <w:color w:val="000000" w:themeColor="text1"/>
          <w:sz w:val="22"/>
          <w:szCs w:val="20"/>
          <w:lang w:val="en-US"/>
        </w:rPr>
      </w:pPr>
      <w:r w:rsidRPr="003A7F62">
        <w:rPr>
          <w:color w:val="000000" w:themeColor="text1"/>
          <w:sz w:val="22"/>
          <w:szCs w:val="20"/>
          <w:vertAlign w:val="superscript"/>
          <w:lang w:val="en-US"/>
        </w:rPr>
        <w:t>7</w:t>
      </w:r>
      <w:r w:rsidRPr="003A7F62">
        <w:rPr>
          <w:color w:val="000000" w:themeColor="text1"/>
          <w:sz w:val="22"/>
          <w:szCs w:val="20"/>
          <w:lang w:val="en-US"/>
        </w:rPr>
        <w:t>Center for Alzheimer’s Research and Treatment, Brigham and Women’s Hospital, Harvard Medical School, Boston, MA</w:t>
      </w:r>
    </w:p>
    <w:p w14:paraId="7A4F036C" w14:textId="77777777" w:rsidR="00101329" w:rsidRPr="003A7F62" w:rsidRDefault="00101329" w:rsidP="00101329">
      <w:pPr>
        <w:spacing w:after="0" w:line="240" w:lineRule="auto"/>
        <w:jc w:val="left"/>
        <w:rPr>
          <w:color w:val="000000" w:themeColor="text1"/>
          <w:sz w:val="22"/>
          <w:szCs w:val="20"/>
          <w:lang w:val="en-US"/>
        </w:rPr>
      </w:pPr>
      <w:r w:rsidRPr="003A7F62">
        <w:rPr>
          <w:color w:val="000000" w:themeColor="text1"/>
          <w:sz w:val="22"/>
          <w:szCs w:val="20"/>
          <w:vertAlign w:val="superscript"/>
          <w:lang w:val="en-US"/>
        </w:rPr>
        <w:t>8</w:t>
      </w:r>
      <w:r w:rsidRPr="003A7F62">
        <w:rPr>
          <w:color w:val="000000" w:themeColor="text1"/>
          <w:sz w:val="22"/>
          <w:szCs w:val="20"/>
          <w:lang w:val="en-US"/>
        </w:rPr>
        <w:t>School of Psychological Sciences, University of Melbourne, Melbourne, Victoria, Australia</w:t>
      </w:r>
    </w:p>
    <w:p w14:paraId="444335E1" w14:textId="77777777" w:rsidR="00101329" w:rsidRPr="003A7F62" w:rsidRDefault="00101329" w:rsidP="00101329">
      <w:pPr>
        <w:spacing w:after="0" w:line="240" w:lineRule="auto"/>
        <w:jc w:val="left"/>
        <w:rPr>
          <w:color w:val="000000" w:themeColor="text1"/>
          <w:sz w:val="22"/>
          <w:szCs w:val="20"/>
          <w:lang w:val="en-US"/>
        </w:rPr>
      </w:pPr>
      <w:r w:rsidRPr="003A7F62">
        <w:rPr>
          <w:color w:val="000000" w:themeColor="text1"/>
          <w:sz w:val="22"/>
          <w:szCs w:val="20"/>
          <w:vertAlign w:val="superscript"/>
          <w:lang w:val="en-US"/>
        </w:rPr>
        <w:t>9</w:t>
      </w:r>
      <w:r w:rsidRPr="003A7F62">
        <w:rPr>
          <w:color w:val="000000" w:themeColor="text1"/>
          <w:sz w:val="22"/>
          <w:szCs w:val="20"/>
          <w:lang w:val="en-US"/>
        </w:rPr>
        <w:t>Department of Neurology, Washington University School of Medicine, St. Louis, MO 63110, USA</w:t>
      </w:r>
    </w:p>
    <w:p w14:paraId="6176C4F0" w14:textId="77777777" w:rsidR="00101329" w:rsidRPr="003A7F62" w:rsidRDefault="00101329" w:rsidP="00101329">
      <w:pPr>
        <w:spacing w:after="0" w:line="240" w:lineRule="auto"/>
        <w:jc w:val="left"/>
        <w:rPr>
          <w:color w:val="000000" w:themeColor="text1"/>
          <w:sz w:val="22"/>
          <w:szCs w:val="20"/>
          <w:lang w:val="en-US"/>
        </w:rPr>
      </w:pPr>
      <w:r w:rsidRPr="003A7F62">
        <w:rPr>
          <w:color w:val="000000" w:themeColor="text1"/>
          <w:sz w:val="22"/>
          <w:szCs w:val="20"/>
          <w:vertAlign w:val="superscript"/>
          <w:lang w:val="en-US"/>
        </w:rPr>
        <w:t>10</w:t>
      </w:r>
      <w:r w:rsidRPr="003A7F62">
        <w:rPr>
          <w:color w:val="000000" w:themeColor="text1"/>
          <w:sz w:val="22"/>
          <w:szCs w:val="20"/>
          <w:lang w:val="en-US"/>
        </w:rPr>
        <w:t>Department of Pathology and Immunology, Washington University School of Medicine, St. Louis, MO 63110, USA</w:t>
      </w:r>
    </w:p>
    <w:p w14:paraId="246E20FA" w14:textId="77777777" w:rsidR="00101329" w:rsidRPr="003A7F62" w:rsidRDefault="00101329" w:rsidP="00101329">
      <w:pPr>
        <w:spacing w:after="0" w:line="240" w:lineRule="auto"/>
        <w:jc w:val="left"/>
        <w:rPr>
          <w:color w:val="000000" w:themeColor="text1"/>
          <w:sz w:val="22"/>
          <w:szCs w:val="20"/>
          <w:lang w:val="en-US"/>
        </w:rPr>
      </w:pPr>
      <w:r w:rsidRPr="003A7F62">
        <w:rPr>
          <w:color w:val="000000" w:themeColor="text1"/>
          <w:sz w:val="22"/>
          <w:szCs w:val="20"/>
          <w:vertAlign w:val="superscript"/>
          <w:lang w:val="en-US"/>
        </w:rPr>
        <w:t>11</w:t>
      </w:r>
      <w:r w:rsidRPr="003A7F62">
        <w:rPr>
          <w:color w:val="000000" w:themeColor="text1"/>
          <w:sz w:val="22"/>
          <w:szCs w:val="20"/>
          <w:lang w:val="en-US"/>
        </w:rPr>
        <w:t>Knight Alzheimer Disease Research Center, Washington University School of Medicine, St. Louis, MO, USA</w:t>
      </w:r>
    </w:p>
    <w:p w14:paraId="2FF3DEFA" w14:textId="77777777" w:rsidR="00101329" w:rsidRPr="003A7F62" w:rsidRDefault="00101329" w:rsidP="00101329">
      <w:pPr>
        <w:spacing w:after="0" w:line="240" w:lineRule="auto"/>
        <w:jc w:val="left"/>
        <w:rPr>
          <w:color w:val="000000" w:themeColor="text1"/>
          <w:sz w:val="22"/>
          <w:szCs w:val="20"/>
          <w:lang w:val="en-US"/>
        </w:rPr>
      </w:pPr>
      <w:r w:rsidRPr="003A7F62">
        <w:rPr>
          <w:color w:val="000000" w:themeColor="text1"/>
          <w:sz w:val="22"/>
          <w:szCs w:val="20"/>
          <w:vertAlign w:val="superscript"/>
          <w:lang w:val="en-US"/>
        </w:rPr>
        <w:t>12</w:t>
      </w:r>
      <w:r w:rsidRPr="003A7F62">
        <w:rPr>
          <w:color w:val="000000" w:themeColor="text1"/>
          <w:sz w:val="22"/>
          <w:szCs w:val="20"/>
          <w:lang w:val="en-US"/>
        </w:rPr>
        <w:t>Department of Radiology, Washington University School of Medicine, St. Louis, MO, USA</w:t>
      </w:r>
    </w:p>
    <w:p w14:paraId="39BDF397" w14:textId="77777777" w:rsidR="00101329" w:rsidRPr="00C225BA" w:rsidRDefault="00101329" w:rsidP="00101329">
      <w:pPr>
        <w:spacing w:after="0" w:line="240" w:lineRule="auto"/>
        <w:jc w:val="left"/>
        <w:rPr>
          <w:color w:val="000000" w:themeColor="text1"/>
          <w:sz w:val="28"/>
          <w:szCs w:val="24"/>
          <w:lang w:val="en-US"/>
        </w:rPr>
      </w:pPr>
    </w:p>
    <w:p w14:paraId="4736A85E" w14:textId="77777777" w:rsidR="00101329" w:rsidRPr="00C225BA" w:rsidRDefault="00101329" w:rsidP="00101329">
      <w:pPr>
        <w:spacing w:after="0" w:line="240" w:lineRule="auto"/>
        <w:jc w:val="left"/>
        <w:rPr>
          <w:color w:val="000000" w:themeColor="text1"/>
        </w:rPr>
      </w:pPr>
      <w:r w:rsidRPr="00C225BA">
        <w:rPr>
          <w:b/>
          <w:bCs/>
          <w:color w:val="000000" w:themeColor="text1"/>
        </w:rPr>
        <w:t>Correspondence to:</w:t>
      </w:r>
      <w:r w:rsidRPr="00C225BA">
        <w:rPr>
          <w:color w:val="000000" w:themeColor="text1"/>
        </w:rPr>
        <w:t xml:space="preserve"> Carlos Cruchaga, PhD</w:t>
      </w:r>
    </w:p>
    <w:p w14:paraId="16E6070D" w14:textId="77777777" w:rsidR="00101329" w:rsidRPr="00C225BA" w:rsidRDefault="00101329" w:rsidP="00101329">
      <w:pPr>
        <w:spacing w:after="0" w:line="240" w:lineRule="auto"/>
        <w:jc w:val="left"/>
        <w:rPr>
          <w:color w:val="000000" w:themeColor="text1"/>
        </w:rPr>
      </w:pPr>
      <w:r w:rsidRPr="00C225BA">
        <w:rPr>
          <w:color w:val="000000" w:themeColor="text1"/>
        </w:rPr>
        <w:t>4444 Forest Park Ave, Washington University School of Medicine, St. Louis, MO 63110, USA</w:t>
      </w:r>
    </w:p>
    <w:p w14:paraId="11A93C97" w14:textId="77777777" w:rsidR="00101329" w:rsidRPr="00C225BA" w:rsidRDefault="00101329" w:rsidP="00101329">
      <w:pPr>
        <w:spacing w:after="0" w:line="240" w:lineRule="auto"/>
        <w:jc w:val="left"/>
        <w:rPr>
          <w:color w:val="000000" w:themeColor="text1"/>
        </w:rPr>
      </w:pPr>
      <w:r w:rsidRPr="00C225BA">
        <w:rPr>
          <w:color w:val="000000" w:themeColor="text1"/>
        </w:rPr>
        <w:t>E-mail: cruchagac@wustl.edu</w:t>
      </w:r>
    </w:p>
    <w:p w14:paraId="2CB8C58E" w14:textId="280373AA" w:rsidR="00A06BE9" w:rsidRDefault="00A06BE9">
      <w:pPr>
        <w:spacing w:line="278" w:lineRule="auto"/>
        <w:jc w:val="left"/>
        <w:rPr>
          <w:color w:val="000000" w:themeColor="text1"/>
        </w:rPr>
      </w:pPr>
      <w:r>
        <w:rPr>
          <w:color w:val="000000" w:themeColor="text1"/>
        </w:rPr>
        <w:br w:type="page"/>
      </w:r>
    </w:p>
    <w:p w14:paraId="27790C36" w14:textId="7C9B7AF0" w:rsidR="00123993" w:rsidRDefault="00D1702C" w:rsidP="005C1710">
      <w:pPr>
        <w:spacing w:after="0" w:line="240" w:lineRule="auto"/>
        <w:jc w:val="center"/>
        <w:rPr>
          <w:color w:val="000000" w:themeColor="text1"/>
        </w:rPr>
      </w:pPr>
      <w:r>
        <w:rPr>
          <w:noProof/>
          <w:color w:val="000000" w:themeColor="text1"/>
          <w14:ligatures w14:val="standardContextual"/>
        </w:rPr>
        <w:lastRenderedPageBreak/>
        <w:drawing>
          <wp:inline distT="0" distB="0" distL="0" distR="0" wp14:anchorId="73C851EE" wp14:editId="59093E57">
            <wp:extent cx="5943420" cy="2046514"/>
            <wp:effectExtent l="0" t="0" r="635" b="0"/>
            <wp:docPr id="1332039248" name="Picture 1" descr="A diagram of blood samp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039248" name="Picture 1" descr="A diagram of blood samples&#10;&#10;AI-generated content may be incorrect."/>
                    <pic:cNvPicPr/>
                  </pic:nvPicPr>
                  <pic:blipFill rotWithShape="1">
                    <a:blip r:embed="rId4">
                      <a:extLst>
                        <a:ext uri="{28A0092B-C50C-407E-A947-70E740481C1C}">
                          <a14:useLocalDpi xmlns:a14="http://schemas.microsoft.com/office/drawing/2010/main" val="0"/>
                        </a:ext>
                      </a:extLst>
                    </a:blip>
                    <a:srcRect t="10159" b="28626"/>
                    <a:stretch>
                      <a:fillRect/>
                    </a:stretch>
                  </pic:blipFill>
                  <pic:spPr bwMode="auto">
                    <a:xfrm>
                      <a:off x="0" y="0"/>
                      <a:ext cx="5943600" cy="2046576"/>
                    </a:xfrm>
                    <a:prstGeom prst="rect">
                      <a:avLst/>
                    </a:prstGeom>
                    <a:ln>
                      <a:noFill/>
                    </a:ln>
                    <a:extLst>
                      <a:ext uri="{53640926-AAD7-44D8-BBD7-CCE9431645EC}">
                        <a14:shadowObscured xmlns:a14="http://schemas.microsoft.com/office/drawing/2010/main"/>
                      </a:ext>
                    </a:extLst>
                  </pic:spPr>
                </pic:pic>
              </a:graphicData>
            </a:graphic>
          </wp:inline>
        </w:drawing>
      </w:r>
    </w:p>
    <w:p w14:paraId="0222A1ED" w14:textId="4370116A" w:rsidR="00D1702C" w:rsidRDefault="00D1702C" w:rsidP="00D1702C">
      <w:pPr>
        <w:spacing w:after="0" w:line="240" w:lineRule="auto"/>
        <w:jc w:val="left"/>
        <w:rPr>
          <w:color w:val="000000" w:themeColor="text1"/>
          <w:lang w:val="en-US"/>
        </w:rPr>
      </w:pPr>
      <w:r w:rsidRPr="00D1702C">
        <w:rPr>
          <w:b/>
          <w:bCs/>
          <w:color w:val="000000" w:themeColor="text1"/>
          <w:lang w:val="en-US"/>
        </w:rPr>
        <w:t xml:space="preserve">Supp. Figure 1 Correlation of circRNAs in AD blood.  </w:t>
      </w:r>
      <w:r w:rsidRPr="00D1702C">
        <w:rPr>
          <w:color w:val="000000" w:themeColor="text1"/>
          <w:lang w:val="en-US"/>
        </w:rPr>
        <w:t>(</w:t>
      </w:r>
      <w:r w:rsidRPr="00D1702C">
        <w:rPr>
          <w:b/>
          <w:bCs/>
          <w:color w:val="000000" w:themeColor="text1"/>
          <w:lang w:val="en-US"/>
        </w:rPr>
        <w:t>a</w:t>
      </w:r>
      <w:r w:rsidRPr="00D1702C">
        <w:rPr>
          <w:color w:val="000000" w:themeColor="text1"/>
          <w:lang w:val="en-US"/>
        </w:rPr>
        <w:t>) Differential expression of AD vs CU status in Knight ADRC blood samples.</w:t>
      </w:r>
      <w:r w:rsidRPr="00D1702C">
        <w:rPr>
          <w:b/>
          <w:bCs/>
          <w:color w:val="000000" w:themeColor="text1"/>
          <w:lang w:val="en-US"/>
        </w:rPr>
        <w:t xml:space="preserve"> </w:t>
      </w:r>
      <w:r w:rsidRPr="00D1702C">
        <w:rPr>
          <w:color w:val="000000" w:themeColor="text1"/>
          <w:lang w:val="en-US"/>
        </w:rPr>
        <w:t>Volcano plots have circRNA passing FDR correction as dots colored blue (down-regulated) and red (up-regulated).</w:t>
      </w:r>
      <w:r>
        <w:rPr>
          <w:color w:val="000000" w:themeColor="text1"/>
          <w:lang w:val="en-US"/>
        </w:rPr>
        <w:t xml:space="preserve"> </w:t>
      </w:r>
      <w:r w:rsidRPr="00D1702C">
        <w:rPr>
          <w:color w:val="000000" w:themeColor="text1"/>
          <w:lang w:val="en-US"/>
        </w:rPr>
        <w:t>(</w:t>
      </w:r>
      <w:r w:rsidRPr="00D1702C">
        <w:rPr>
          <w:b/>
          <w:bCs/>
          <w:color w:val="000000" w:themeColor="text1"/>
          <w:lang w:val="en-US"/>
        </w:rPr>
        <w:t>b</w:t>
      </w:r>
      <w:r w:rsidRPr="00D1702C">
        <w:rPr>
          <w:color w:val="000000" w:themeColor="text1"/>
          <w:lang w:val="en-US"/>
        </w:rPr>
        <w:t>) Effect size (log</w:t>
      </w:r>
      <w:r w:rsidRPr="00D1702C">
        <w:rPr>
          <w:color w:val="000000" w:themeColor="text1"/>
          <w:vertAlign w:val="subscript"/>
          <w:lang w:val="en-US"/>
        </w:rPr>
        <w:t>2</w:t>
      </w:r>
      <w:r w:rsidRPr="00D1702C">
        <w:rPr>
          <w:color w:val="000000" w:themeColor="text1"/>
          <w:lang w:val="en-US"/>
        </w:rPr>
        <w:t>FC) correlation of the 203 blood circRNAs nominal in DCC using DCC and CIRI2. CircRNA count correlation between DCC and CIRI2 of the average 34 circRNA read count in the blood samples</w:t>
      </w:r>
      <w:r>
        <w:rPr>
          <w:color w:val="000000" w:themeColor="text1"/>
          <w:lang w:val="en-US"/>
        </w:rPr>
        <w:t>.</w:t>
      </w:r>
    </w:p>
    <w:p w14:paraId="10C3DEF8" w14:textId="454D8B23" w:rsidR="002315AE" w:rsidRDefault="002315AE">
      <w:pPr>
        <w:spacing w:line="278" w:lineRule="auto"/>
        <w:jc w:val="left"/>
        <w:rPr>
          <w:color w:val="000000" w:themeColor="text1"/>
          <w:lang w:val="en-US"/>
        </w:rPr>
      </w:pPr>
      <w:r>
        <w:rPr>
          <w:color w:val="000000" w:themeColor="text1"/>
          <w:lang w:val="en-US"/>
        </w:rPr>
        <w:br w:type="page"/>
      </w:r>
    </w:p>
    <w:p w14:paraId="4ADF9CA6" w14:textId="51ADE497" w:rsidR="002315AE" w:rsidRDefault="005C1710" w:rsidP="005C1710">
      <w:pPr>
        <w:spacing w:after="0" w:line="240" w:lineRule="auto"/>
        <w:jc w:val="center"/>
        <w:rPr>
          <w:color w:val="000000" w:themeColor="text1"/>
          <w:lang w:val="en-US"/>
        </w:rPr>
      </w:pPr>
      <w:r>
        <w:rPr>
          <w:noProof/>
          <w:color w:val="000000" w:themeColor="text1"/>
          <w:lang w:val="en-US"/>
          <w14:ligatures w14:val="standardContextual"/>
        </w:rPr>
        <w:lastRenderedPageBreak/>
        <w:drawing>
          <wp:inline distT="0" distB="0" distL="0" distR="0" wp14:anchorId="17274AA7" wp14:editId="23CDFF31">
            <wp:extent cx="5007523" cy="2721600"/>
            <wp:effectExtent l="0" t="0" r="0" b="0"/>
            <wp:docPr id="169146194" name="Picture 2" descr="A comparison of biomarker resul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46194" name="Picture 2" descr="A comparison of biomarker results&#10;&#10;AI-generated content may be incorrect."/>
                    <pic:cNvPicPr/>
                  </pic:nvPicPr>
                  <pic:blipFill rotWithShape="1">
                    <a:blip r:embed="rId5">
                      <a:extLst>
                        <a:ext uri="{28A0092B-C50C-407E-A947-70E740481C1C}">
                          <a14:useLocalDpi xmlns:a14="http://schemas.microsoft.com/office/drawing/2010/main" val="0"/>
                        </a:ext>
                      </a:extLst>
                    </a:blip>
                    <a:srcRect l="6788" t="2585" r="15649" b="22471"/>
                    <a:stretch>
                      <a:fillRect/>
                    </a:stretch>
                  </pic:blipFill>
                  <pic:spPr bwMode="auto">
                    <a:xfrm>
                      <a:off x="0" y="0"/>
                      <a:ext cx="5024114" cy="2730617"/>
                    </a:xfrm>
                    <a:prstGeom prst="rect">
                      <a:avLst/>
                    </a:prstGeom>
                    <a:ln>
                      <a:noFill/>
                    </a:ln>
                    <a:extLst>
                      <a:ext uri="{53640926-AAD7-44D8-BBD7-CCE9431645EC}">
                        <a14:shadowObscured xmlns:a14="http://schemas.microsoft.com/office/drawing/2010/main"/>
                      </a:ext>
                    </a:extLst>
                  </pic:spPr>
                </pic:pic>
              </a:graphicData>
            </a:graphic>
          </wp:inline>
        </w:drawing>
      </w:r>
    </w:p>
    <w:p w14:paraId="22D4E92E" w14:textId="77777777" w:rsidR="005C1710" w:rsidRPr="005C1710" w:rsidRDefault="005C1710" w:rsidP="005C1710">
      <w:pPr>
        <w:spacing w:after="0" w:line="240" w:lineRule="auto"/>
        <w:jc w:val="left"/>
        <w:rPr>
          <w:color w:val="000000" w:themeColor="text1"/>
          <w:lang w:val="en-US"/>
        </w:rPr>
      </w:pPr>
      <w:r w:rsidRPr="005C1710">
        <w:rPr>
          <w:b/>
          <w:bCs/>
          <w:color w:val="000000" w:themeColor="text1"/>
          <w:lang w:val="en-US"/>
        </w:rPr>
        <w:t xml:space="preserve">Supp. Figure 2 Blood circRNAs predict biomarker-confirmed status. </w:t>
      </w:r>
      <w:r w:rsidRPr="005C1710">
        <w:rPr>
          <w:color w:val="000000" w:themeColor="text1"/>
          <w:lang w:val="en-US"/>
        </w:rPr>
        <w:t xml:space="preserve">ROC curve analysis of logistic models predicting biomarker-confirmed-status </w:t>
      </w:r>
      <w:r w:rsidRPr="005C1710">
        <w:rPr>
          <w:color w:val="000000" w:themeColor="text1"/>
        </w:rPr>
        <w:t>(75 AT+ AD, 238 AT- CU) using</w:t>
      </w:r>
      <w:r w:rsidRPr="005C1710">
        <w:rPr>
          <w:color w:val="000000" w:themeColor="text1"/>
          <w:lang w:val="en-US"/>
        </w:rPr>
        <w:t xml:space="preserve"> (</w:t>
      </w:r>
      <w:r w:rsidRPr="005C1710">
        <w:rPr>
          <w:b/>
          <w:bCs/>
          <w:color w:val="000000" w:themeColor="text1"/>
          <w:lang w:val="en-US"/>
        </w:rPr>
        <w:t>a</w:t>
      </w:r>
      <w:r w:rsidRPr="005C1710">
        <w:rPr>
          <w:color w:val="000000" w:themeColor="text1"/>
          <w:lang w:val="en-US"/>
        </w:rPr>
        <w:t xml:space="preserve">) </w:t>
      </w:r>
      <w:r w:rsidRPr="005C1710">
        <w:rPr>
          <w:color w:val="000000" w:themeColor="text1"/>
        </w:rPr>
        <w:t>34 FDR blood circRNAs and</w:t>
      </w:r>
      <w:r w:rsidRPr="005C1710">
        <w:rPr>
          <w:color w:val="000000" w:themeColor="text1"/>
          <w:lang w:val="en-US"/>
        </w:rPr>
        <w:t xml:space="preserve"> (</w:t>
      </w:r>
      <w:r w:rsidRPr="005C1710">
        <w:rPr>
          <w:b/>
          <w:bCs/>
          <w:color w:val="000000" w:themeColor="text1"/>
          <w:lang w:val="en-US"/>
        </w:rPr>
        <w:t>b</w:t>
      </w:r>
      <w:r w:rsidRPr="005C1710">
        <w:rPr>
          <w:color w:val="000000" w:themeColor="text1"/>
          <w:lang w:val="en-US"/>
        </w:rPr>
        <w:t xml:space="preserve">) plasma </w:t>
      </w:r>
      <w:r w:rsidRPr="005C1710">
        <w:rPr>
          <w:color w:val="000000" w:themeColor="text1"/>
        </w:rPr>
        <w:t xml:space="preserve">pTau217 positivity alone. </w:t>
      </w:r>
      <w:r w:rsidRPr="005C1710">
        <w:rPr>
          <w:color w:val="000000" w:themeColor="text1"/>
          <w:lang w:val="en-US"/>
        </w:rPr>
        <w:t xml:space="preserve">The circRNA models included circRNA counts and the covariates (age at draw, sex, median TIN, number of </w:t>
      </w:r>
      <w:r w:rsidRPr="005C1710">
        <w:rPr>
          <w:i/>
          <w:iCs/>
          <w:color w:val="000000" w:themeColor="text1"/>
          <w:lang w:val="en-US"/>
        </w:rPr>
        <w:t>APOE4</w:t>
      </w:r>
      <w:r w:rsidRPr="005C1710">
        <w:rPr>
          <w:color w:val="000000" w:themeColor="text1"/>
          <w:lang w:val="en-US"/>
        </w:rPr>
        <w:t xml:space="preserve"> alleles).</w:t>
      </w:r>
    </w:p>
    <w:p w14:paraId="731ECED4" w14:textId="77777777" w:rsidR="005C1710" w:rsidRDefault="005C1710" w:rsidP="005C1710">
      <w:pPr>
        <w:spacing w:after="0" w:line="240" w:lineRule="auto"/>
        <w:jc w:val="left"/>
        <w:rPr>
          <w:color w:val="000000" w:themeColor="text1"/>
          <w:lang w:val="en-US"/>
        </w:rPr>
      </w:pPr>
    </w:p>
    <w:p w14:paraId="3F221491" w14:textId="197BC350" w:rsidR="005C1710" w:rsidRDefault="005C1710">
      <w:pPr>
        <w:spacing w:line="278" w:lineRule="auto"/>
        <w:jc w:val="left"/>
        <w:rPr>
          <w:color w:val="000000" w:themeColor="text1"/>
          <w:lang w:val="en-US"/>
        </w:rPr>
      </w:pPr>
      <w:r>
        <w:rPr>
          <w:color w:val="000000" w:themeColor="text1"/>
          <w:lang w:val="en-US"/>
        </w:rPr>
        <w:br w:type="page"/>
      </w:r>
    </w:p>
    <w:p w14:paraId="3C00963A" w14:textId="613CA57E" w:rsidR="005C1710" w:rsidRDefault="005C1710" w:rsidP="005C1710">
      <w:pPr>
        <w:spacing w:after="0" w:line="240" w:lineRule="auto"/>
        <w:jc w:val="center"/>
        <w:rPr>
          <w:color w:val="000000" w:themeColor="text1"/>
          <w:lang w:val="en-US"/>
        </w:rPr>
      </w:pPr>
      <w:r>
        <w:rPr>
          <w:noProof/>
          <w:color w:val="000000" w:themeColor="text1"/>
          <w:lang w:val="en-US"/>
          <w14:ligatures w14:val="standardContextual"/>
        </w:rPr>
        <w:lastRenderedPageBreak/>
        <w:drawing>
          <wp:inline distT="0" distB="0" distL="0" distR="0" wp14:anchorId="6EA5C064" wp14:editId="2ADBC426">
            <wp:extent cx="5942561" cy="2001215"/>
            <wp:effectExtent l="0" t="0" r="1270" b="5715"/>
            <wp:docPr id="1817982012" name="Picture 3" descr="A graph of a number of positive and negative resul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982012" name="Picture 3" descr="A graph of a number of positive and negative results&#10;&#10;AI-generated content may be incorrect."/>
                    <pic:cNvPicPr/>
                  </pic:nvPicPr>
                  <pic:blipFill rotWithShape="1">
                    <a:blip r:embed="rId6">
                      <a:extLst>
                        <a:ext uri="{28A0092B-C50C-407E-A947-70E740481C1C}">
                          <a14:useLocalDpi xmlns:a14="http://schemas.microsoft.com/office/drawing/2010/main" val="0"/>
                        </a:ext>
                      </a:extLst>
                    </a:blip>
                    <a:srcRect t="6031" b="34100"/>
                    <a:stretch>
                      <a:fillRect/>
                    </a:stretch>
                  </pic:blipFill>
                  <pic:spPr bwMode="auto">
                    <a:xfrm>
                      <a:off x="0" y="0"/>
                      <a:ext cx="5943600" cy="2001565"/>
                    </a:xfrm>
                    <a:prstGeom prst="rect">
                      <a:avLst/>
                    </a:prstGeom>
                    <a:ln>
                      <a:noFill/>
                    </a:ln>
                    <a:extLst>
                      <a:ext uri="{53640926-AAD7-44D8-BBD7-CCE9431645EC}">
                        <a14:shadowObscured xmlns:a14="http://schemas.microsoft.com/office/drawing/2010/main"/>
                      </a:ext>
                    </a:extLst>
                  </pic:spPr>
                </pic:pic>
              </a:graphicData>
            </a:graphic>
          </wp:inline>
        </w:drawing>
      </w:r>
    </w:p>
    <w:p w14:paraId="64651D3F" w14:textId="77777777" w:rsidR="005C1710" w:rsidRPr="005C1710" w:rsidRDefault="005C1710" w:rsidP="005C1710">
      <w:pPr>
        <w:spacing w:after="0" w:line="240" w:lineRule="auto"/>
        <w:jc w:val="left"/>
        <w:rPr>
          <w:color w:val="000000" w:themeColor="text1"/>
          <w:lang w:val="en-US"/>
        </w:rPr>
      </w:pPr>
      <w:r w:rsidRPr="005C1710">
        <w:rPr>
          <w:b/>
          <w:bCs/>
          <w:color w:val="000000" w:themeColor="text1"/>
          <w:lang w:val="en-US"/>
        </w:rPr>
        <w:t>Supp. Figure 3 Blood circRNAs predict AD biomarker status</w:t>
      </w:r>
      <w:r w:rsidRPr="005C1710">
        <w:rPr>
          <w:color w:val="000000" w:themeColor="text1"/>
          <w:lang w:val="en-US"/>
        </w:rPr>
        <w:t>. ROC curve analysis using the 34 status circRNAs with status as (</w:t>
      </w:r>
      <w:r w:rsidRPr="005C1710">
        <w:rPr>
          <w:b/>
          <w:bCs/>
          <w:color w:val="000000" w:themeColor="text1"/>
          <w:lang w:val="en-US"/>
        </w:rPr>
        <w:t>a</w:t>
      </w:r>
      <w:r w:rsidRPr="005C1710">
        <w:rPr>
          <w:color w:val="000000" w:themeColor="text1"/>
          <w:lang w:val="en-US"/>
        </w:rPr>
        <w:t>) CSF A</w:t>
      </w:r>
      <w:r w:rsidRPr="005C1710">
        <w:rPr>
          <w:color w:val="000000" w:themeColor="text1"/>
          <w:lang w:val="el-GR"/>
        </w:rPr>
        <w:t>β42</w:t>
      </w:r>
      <w:r w:rsidRPr="005C1710">
        <w:rPr>
          <w:color w:val="000000" w:themeColor="text1"/>
          <w:lang w:val="en-US"/>
        </w:rPr>
        <w:t>/pTau181 positivity regardless of status (181 A+T+, 283 A-T-), (</w:t>
      </w:r>
      <w:r w:rsidRPr="005C1710">
        <w:rPr>
          <w:b/>
          <w:bCs/>
          <w:color w:val="000000" w:themeColor="text1"/>
          <w:lang w:val="en-US"/>
        </w:rPr>
        <w:t>b</w:t>
      </w:r>
      <w:r w:rsidRPr="005C1710">
        <w:rPr>
          <w:color w:val="000000" w:themeColor="text1"/>
          <w:lang w:val="en-US"/>
        </w:rPr>
        <w:t>) CSF A</w:t>
      </w:r>
      <w:r w:rsidRPr="005C1710">
        <w:rPr>
          <w:color w:val="000000" w:themeColor="text1"/>
          <w:lang w:val="el-GR"/>
        </w:rPr>
        <w:t>β</w:t>
      </w:r>
      <w:r w:rsidRPr="005C1710">
        <w:rPr>
          <w:color w:val="000000" w:themeColor="text1"/>
          <w:lang w:val="en-US"/>
        </w:rPr>
        <w:t>42 (408 A-, 309 A+), (</w:t>
      </w:r>
      <w:r w:rsidRPr="005C1710">
        <w:rPr>
          <w:b/>
          <w:bCs/>
          <w:color w:val="000000" w:themeColor="text1"/>
          <w:lang w:val="en-US"/>
        </w:rPr>
        <w:t>c</w:t>
      </w:r>
      <w:r w:rsidRPr="005C1710">
        <w:rPr>
          <w:color w:val="000000" w:themeColor="text1"/>
          <w:lang w:val="en-US"/>
        </w:rPr>
        <w:t>) CSF pTau181 (418 T-, 299 T+), and (</w:t>
      </w:r>
      <w:r w:rsidRPr="005C1710">
        <w:rPr>
          <w:b/>
          <w:bCs/>
          <w:color w:val="000000" w:themeColor="text1"/>
          <w:lang w:val="en-US"/>
        </w:rPr>
        <w:t>d</w:t>
      </w:r>
      <w:r w:rsidRPr="005C1710">
        <w:rPr>
          <w:color w:val="000000" w:themeColor="text1"/>
          <w:lang w:val="en-US"/>
        </w:rPr>
        <w:t xml:space="preserve">) Tau-PET positivity (292 T-, 233 T+). The circRNA+covariate model included library-size normalized counts of the top status circRNAs and the covariates (age at draw, sex, median TIN, number of </w:t>
      </w:r>
      <w:r w:rsidRPr="005C1710">
        <w:rPr>
          <w:i/>
          <w:iCs/>
          <w:color w:val="000000" w:themeColor="text1"/>
          <w:lang w:val="en-US"/>
        </w:rPr>
        <w:t>APOE4</w:t>
      </w:r>
      <w:r w:rsidRPr="005C1710">
        <w:rPr>
          <w:color w:val="000000" w:themeColor="text1"/>
          <w:lang w:val="en-US"/>
        </w:rPr>
        <w:t xml:space="preserve"> alleles). </w:t>
      </w:r>
    </w:p>
    <w:p w14:paraId="53B96F21" w14:textId="73F05D65" w:rsidR="00527262" w:rsidRDefault="00527262">
      <w:pPr>
        <w:spacing w:line="278" w:lineRule="auto"/>
        <w:jc w:val="left"/>
        <w:rPr>
          <w:color w:val="000000" w:themeColor="text1"/>
          <w:lang w:val="en-US"/>
        </w:rPr>
      </w:pPr>
      <w:r>
        <w:rPr>
          <w:color w:val="000000" w:themeColor="text1"/>
          <w:lang w:val="en-US"/>
        </w:rPr>
        <w:br w:type="page"/>
      </w:r>
    </w:p>
    <w:p w14:paraId="673BF063" w14:textId="1E597791" w:rsidR="005C1710" w:rsidRDefault="00527262" w:rsidP="00527262">
      <w:pPr>
        <w:spacing w:after="0" w:line="240" w:lineRule="auto"/>
        <w:jc w:val="center"/>
        <w:rPr>
          <w:color w:val="000000" w:themeColor="text1"/>
          <w:lang w:val="en-US"/>
        </w:rPr>
      </w:pPr>
      <w:r>
        <w:rPr>
          <w:noProof/>
          <w:color w:val="000000" w:themeColor="text1"/>
          <w:lang w:val="en-US"/>
          <w14:ligatures w14:val="standardContextual"/>
        </w:rPr>
        <w:lastRenderedPageBreak/>
        <w:drawing>
          <wp:inline distT="0" distB="0" distL="0" distR="0" wp14:anchorId="694CB463" wp14:editId="037247A9">
            <wp:extent cx="3002400" cy="3398224"/>
            <wp:effectExtent l="0" t="0" r="0" b="5715"/>
            <wp:docPr id="256558491" name="Picture 4"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558491" name="Picture 4" descr="A diagram of a graph&#10;&#10;AI-generated content may be incorrect."/>
                    <pic:cNvPicPr/>
                  </pic:nvPicPr>
                  <pic:blipFill rotWithShape="1">
                    <a:blip r:embed="rId7">
                      <a:extLst>
                        <a:ext uri="{28A0092B-C50C-407E-A947-70E740481C1C}">
                          <a14:useLocalDpi xmlns:a14="http://schemas.microsoft.com/office/drawing/2010/main" val="0"/>
                        </a:ext>
                      </a:extLst>
                    </a:blip>
                    <a:srcRect l="32120" t="3231" r="30314" b="21179"/>
                    <a:stretch>
                      <a:fillRect/>
                    </a:stretch>
                  </pic:blipFill>
                  <pic:spPr bwMode="auto">
                    <a:xfrm>
                      <a:off x="0" y="0"/>
                      <a:ext cx="3013161" cy="3410404"/>
                    </a:xfrm>
                    <a:prstGeom prst="rect">
                      <a:avLst/>
                    </a:prstGeom>
                    <a:ln>
                      <a:noFill/>
                    </a:ln>
                    <a:extLst>
                      <a:ext uri="{53640926-AAD7-44D8-BBD7-CCE9431645EC}">
                        <a14:shadowObscured xmlns:a14="http://schemas.microsoft.com/office/drawing/2010/main"/>
                      </a:ext>
                    </a:extLst>
                  </pic:spPr>
                </pic:pic>
              </a:graphicData>
            </a:graphic>
          </wp:inline>
        </w:drawing>
      </w:r>
    </w:p>
    <w:p w14:paraId="47FFDD53" w14:textId="77777777" w:rsidR="00527262" w:rsidRDefault="00527262" w:rsidP="00527262">
      <w:pPr>
        <w:spacing w:after="0" w:line="240" w:lineRule="auto"/>
        <w:jc w:val="left"/>
        <w:rPr>
          <w:color w:val="000000" w:themeColor="text1"/>
          <w:lang w:val="en-US"/>
        </w:rPr>
      </w:pPr>
      <w:r w:rsidRPr="00527262">
        <w:rPr>
          <w:b/>
          <w:bCs/>
          <w:color w:val="000000" w:themeColor="text1"/>
          <w:lang w:val="en-US"/>
        </w:rPr>
        <w:t>Supp. Figure 4 Specificity of AD prediction</w:t>
      </w:r>
      <w:r w:rsidRPr="00527262">
        <w:rPr>
          <w:color w:val="000000" w:themeColor="text1"/>
          <w:lang w:val="en-US"/>
        </w:rPr>
        <w:t>. Violin plot of AD vs CU prediction values over non-AD dementias from estimated onset. Dotted line of the 0.342 AUC threshold for AD vs CU classification using the 34 blood circRNAs.</w:t>
      </w:r>
    </w:p>
    <w:p w14:paraId="3306F96F" w14:textId="2D9BF3B6" w:rsidR="00527262" w:rsidRDefault="00527262">
      <w:pPr>
        <w:spacing w:line="278" w:lineRule="auto"/>
        <w:jc w:val="left"/>
        <w:rPr>
          <w:color w:val="000000" w:themeColor="text1"/>
          <w:lang w:val="en-US"/>
        </w:rPr>
      </w:pPr>
      <w:r>
        <w:rPr>
          <w:color w:val="000000" w:themeColor="text1"/>
          <w:lang w:val="en-US"/>
        </w:rPr>
        <w:br w:type="page"/>
      </w:r>
    </w:p>
    <w:p w14:paraId="52E16588" w14:textId="63F32E6C" w:rsidR="00527262" w:rsidRDefault="00527262" w:rsidP="00527262">
      <w:pPr>
        <w:spacing w:after="0" w:line="240" w:lineRule="auto"/>
        <w:jc w:val="center"/>
        <w:rPr>
          <w:color w:val="000000" w:themeColor="text1"/>
          <w:lang w:val="en-US"/>
        </w:rPr>
      </w:pPr>
      <w:r>
        <w:rPr>
          <w:noProof/>
          <w:color w:val="000000" w:themeColor="text1"/>
          <w:lang w:val="en-US"/>
          <w14:ligatures w14:val="standardContextual"/>
        </w:rPr>
        <w:lastRenderedPageBreak/>
        <w:drawing>
          <wp:inline distT="0" distB="0" distL="0" distR="0" wp14:anchorId="0348C526" wp14:editId="13B20E57">
            <wp:extent cx="2742519" cy="2347200"/>
            <wp:effectExtent l="0" t="0" r="1270" b="2540"/>
            <wp:docPr id="215839332" name="Picture 5" descr="A diagram of blood circrna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839332" name="Picture 5" descr="A diagram of blood circrnas&#10;&#10;AI-generated content may be incorrect."/>
                    <pic:cNvPicPr/>
                  </pic:nvPicPr>
                  <pic:blipFill rotWithShape="1">
                    <a:blip r:embed="rId8">
                      <a:extLst>
                        <a:ext uri="{28A0092B-C50C-407E-A947-70E740481C1C}">
                          <a14:useLocalDpi xmlns:a14="http://schemas.microsoft.com/office/drawing/2010/main" val="0"/>
                        </a:ext>
                      </a:extLst>
                    </a:blip>
                    <a:srcRect l="21688" t="6677" r="32156" b="23096"/>
                    <a:stretch>
                      <a:fillRect/>
                    </a:stretch>
                  </pic:blipFill>
                  <pic:spPr bwMode="auto">
                    <a:xfrm>
                      <a:off x="0" y="0"/>
                      <a:ext cx="2743359" cy="2347919"/>
                    </a:xfrm>
                    <a:prstGeom prst="rect">
                      <a:avLst/>
                    </a:prstGeom>
                    <a:ln>
                      <a:noFill/>
                    </a:ln>
                    <a:extLst>
                      <a:ext uri="{53640926-AAD7-44D8-BBD7-CCE9431645EC}">
                        <a14:shadowObscured xmlns:a14="http://schemas.microsoft.com/office/drawing/2010/main"/>
                      </a:ext>
                    </a:extLst>
                  </pic:spPr>
                </pic:pic>
              </a:graphicData>
            </a:graphic>
          </wp:inline>
        </w:drawing>
      </w:r>
    </w:p>
    <w:p w14:paraId="2491A7AC" w14:textId="77777777" w:rsidR="00527262" w:rsidRPr="00527262" w:rsidRDefault="00527262" w:rsidP="00527262">
      <w:pPr>
        <w:spacing w:after="0" w:line="240" w:lineRule="auto"/>
        <w:jc w:val="left"/>
        <w:rPr>
          <w:color w:val="000000" w:themeColor="text1"/>
          <w:lang w:val="en-US"/>
        </w:rPr>
      </w:pPr>
    </w:p>
    <w:p w14:paraId="690F49EA" w14:textId="77777777" w:rsidR="00527262" w:rsidRPr="00527262" w:rsidRDefault="00527262" w:rsidP="00527262">
      <w:pPr>
        <w:spacing w:after="0" w:line="240" w:lineRule="auto"/>
        <w:jc w:val="left"/>
        <w:rPr>
          <w:color w:val="000000" w:themeColor="text1"/>
          <w:lang w:val="en-US"/>
        </w:rPr>
      </w:pPr>
      <w:r w:rsidRPr="00527262">
        <w:rPr>
          <w:b/>
          <w:bCs/>
          <w:color w:val="000000" w:themeColor="text1"/>
          <w:lang w:val="en-US"/>
        </w:rPr>
        <w:t>Supp. Figure 5 AD-specificity of blood circRNAs</w:t>
      </w:r>
      <w:r w:rsidRPr="00527262">
        <w:rPr>
          <w:color w:val="000000" w:themeColor="text1"/>
          <w:lang w:val="en-US"/>
        </w:rPr>
        <w:t>. Venn Diagrams of the circRNA transcripts in AD, PD, DLB, and FTD vs the same controls that were (</w:t>
      </w:r>
      <w:r w:rsidRPr="00527262">
        <w:rPr>
          <w:b/>
          <w:bCs/>
          <w:color w:val="000000" w:themeColor="text1"/>
          <w:lang w:val="en-US"/>
        </w:rPr>
        <w:t>a</w:t>
      </w:r>
      <w:r w:rsidRPr="00527262">
        <w:rPr>
          <w:color w:val="000000" w:themeColor="text1"/>
          <w:lang w:val="en-US"/>
        </w:rPr>
        <w:t>) nominally significant (</w:t>
      </w:r>
      <w:r w:rsidRPr="00527262">
        <w:rPr>
          <w:i/>
          <w:iCs/>
          <w:color w:val="000000" w:themeColor="text1"/>
          <w:lang w:val="en-US"/>
        </w:rPr>
        <w:t>P</w:t>
      </w:r>
      <w:r w:rsidRPr="00527262">
        <w:rPr>
          <w:color w:val="000000" w:themeColor="text1"/>
          <w:lang w:val="en-US"/>
        </w:rPr>
        <w:t xml:space="preserve"> &lt; 0.05) and (</w:t>
      </w:r>
      <w:r w:rsidRPr="00527262">
        <w:rPr>
          <w:b/>
          <w:bCs/>
          <w:color w:val="000000" w:themeColor="text1"/>
          <w:lang w:val="en-US"/>
        </w:rPr>
        <w:t>b</w:t>
      </w:r>
      <w:r w:rsidRPr="00527262">
        <w:rPr>
          <w:color w:val="000000" w:themeColor="text1"/>
          <w:lang w:val="en-US"/>
        </w:rPr>
        <w:t>) passed FDR correction. Correlation of effect sizes per disease for the (</w:t>
      </w:r>
      <w:r w:rsidRPr="00527262">
        <w:rPr>
          <w:b/>
          <w:bCs/>
          <w:color w:val="000000" w:themeColor="text1"/>
          <w:lang w:val="en-US"/>
        </w:rPr>
        <w:t>c</w:t>
      </w:r>
      <w:r w:rsidRPr="00527262">
        <w:rPr>
          <w:color w:val="000000" w:themeColor="text1"/>
          <w:lang w:val="en-US"/>
        </w:rPr>
        <w:t>) 431 nominal circRNA in at least one disease and (</w:t>
      </w:r>
      <w:r w:rsidRPr="00527262">
        <w:rPr>
          <w:b/>
          <w:bCs/>
          <w:color w:val="000000" w:themeColor="text1"/>
          <w:lang w:val="en-US"/>
        </w:rPr>
        <w:t>d</w:t>
      </w:r>
      <w:r w:rsidRPr="00527262">
        <w:rPr>
          <w:color w:val="000000" w:themeColor="text1"/>
          <w:lang w:val="en-US"/>
        </w:rPr>
        <w:t>) 166 nominal circRNA in AD status.</w:t>
      </w:r>
    </w:p>
    <w:p w14:paraId="60493136" w14:textId="13486938" w:rsidR="00527262" w:rsidRDefault="00527262">
      <w:pPr>
        <w:spacing w:line="278" w:lineRule="auto"/>
        <w:jc w:val="left"/>
        <w:rPr>
          <w:color w:val="000000" w:themeColor="text1"/>
          <w:lang w:val="en-US"/>
        </w:rPr>
      </w:pPr>
      <w:r>
        <w:rPr>
          <w:color w:val="000000" w:themeColor="text1"/>
          <w:lang w:val="en-US"/>
        </w:rPr>
        <w:br w:type="page"/>
      </w:r>
    </w:p>
    <w:p w14:paraId="5BF9510C" w14:textId="561791E8" w:rsidR="00527262" w:rsidRDefault="00527262" w:rsidP="00527262">
      <w:pPr>
        <w:spacing w:after="0" w:line="240" w:lineRule="auto"/>
        <w:jc w:val="center"/>
        <w:rPr>
          <w:color w:val="000000" w:themeColor="text1"/>
          <w:lang w:val="en-US"/>
        </w:rPr>
      </w:pPr>
      <w:r>
        <w:rPr>
          <w:noProof/>
          <w:color w:val="000000" w:themeColor="text1"/>
          <w:lang w:val="en-US"/>
          <w14:ligatures w14:val="standardContextual"/>
        </w:rPr>
        <w:lastRenderedPageBreak/>
        <w:drawing>
          <wp:inline distT="0" distB="0" distL="0" distR="0" wp14:anchorId="61455F93" wp14:editId="13B0B691">
            <wp:extent cx="4355840" cy="2318309"/>
            <wp:effectExtent l="0" t="0" r="635" b="6350"/>
            <wp:docPr id="2080354179" name="Picture 6" descr="A comparison of a number of blood cranial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354179" name="Picture 6" descr="A comparison of a number of blood cranial lines&#10;&#10;AI-generated content may be incorrect."/>
                    <pic:cNvPicPr/>
                  </pic:nvPicPr>
                  <pic:blipFill rotWithShape="1">
                    <a:blip r:embed="rId9">
                      <a:extLst>
                        <a:ext uri="{28A0092B-C50C-407E-A947-70E740481C1C}">
                          <a14:useLocalDpi xmlns:a14="http://schemas.microsoft.com/office/drawing/2010/main" val="0"/>
                        </a:ext>
                      </a:extLst>
                    </a:blip>
                    <a:srcRect l="9449" r="17262" b="30655"/>
                    <a:stretch>
                      <a:fillRect/>
                    </a:stretch>
                  </pic:blipFill>
                  <pic:spPr bwMode="auto">
                    <a:xfrm>
                      <a:off x="0" y="0"/>
                      <a:ext cx="4356010" cy="2318400"/>
                    </a:xfrm>
                    <a:prstGeom prst="rect">
                      <a:avLst/>
                    </a:prstGeom>
                    <a:ln>
                      <a:noFill/>
                    </a:ln>
                    <a:extLst>
                      <a:ext uri="{53640926-AAD7-44D8-BBD7-CCE9431645EC}">
                        <a14:shadowObscured xmlns:a14="http://schemas.microsoft.com/office/drawing/2010/main"/>
                      </a:ext>
                    </a:extLst>
                  </pic:spPr>
                </pic:pic>
              </a:graphicData>
            </a:graphic>
          </wp:inline>
        </w:drawing>
      </w:r>
    </w:p>
    <w:p w14:paraId="0BF38325" w14:textId="77777777" w:rsidR="00527262" w:rsidRPr="00527262" w:rsidRDefault="00527262" w:rsidP="00527262">
      <w:pPr>
        <w:spacing w:after="0" w:line="240" w:lineRule="auto"/>
        <w:jc w:val="left"/>
        <w:rPr>
          <w:color w:val="000000" w:themeColor="text1"/>
          <w:lang w:val="en-US"/>
        </w:rPr>
      </w:pPr>
      <w:r w:rsidRPr="00527262">
        <w:rPr>
          <w:b/>
          <w:bCs/>
          <w:color w:val="000000" w:themeColor="text1"/>
          <w:lang w:val="en-US"/>
        </w:rPr>
        <w:t>Supp. Figure 6 Blood circRNAs were more predictive of AD progression than pTau217.</w:t>
      </w:r>
      <w:r w:rsidRPr="00527262">
        <w:rPr>
          <w:color w:val="000000" w:themeColor="text1"/>
          <w:lang w:val="en-US"/>
        </w:rPr>
        <w:t xml:space="preserve"> ROC curve analysis of logistic models predicting AD progression within 5-years </w:t>
      </w:r>
      <w:r w:rsidRPr="00527262">
        <w:rPr>
          <w:color w:val="000000" w:themeColor="text1"/>
        </w:rPr>
        <w:t>in Knight ADRC blood control samples (</w:t>
      </w:r>
      <w:r w:rsidRPr="00527262">
        <w:rPr>
          <w:i/>
          <w:iCs/>
          <w:color w:val="000000" w:themeColor="text1"/>
        </w:rPr>
        <w:t>n</w:t>
      </w:r>
      <w:r w:rsidRPr="00527262">
        <w:rPr>
          <w:color w:val="000000" w:themeColor="text1"/>
        </w:rPr>
        <w:t>=688; 78 progressors, 610 CU)</w:t>
      </w:r>
      <w:r w:rsidRPr="00527262">
        <w:rPr>
          <w:color w:val="000000" w:themeColor="text1"/>
          <w:lang w:val="en-US"/>
        </w:rPr>
        <w:t xml:space="preserve"> </w:t>
      </w:r>
      <w:r w:rsidRPr="00527262">
        <w:rPr>
          <w:color w:val="000000" w:themeColor="text1"/>
        </w:rPr>
        <w:t>using</w:t>
      </w:r>
      <w:r w:rsidRPr="00527262">
        <w:rPr>
          <w:color w:val="000000" w:themeColor="text1"/>
          <w:lang w:val="en-US"/>
        </w:rPr>
        <w:t xml:space="preserve"> (</w:t>
      </w:r>
      <w:r w:rsidRPr="00527262">
        <w:rPr>
          <w:b/>
          <w:bCs/>
          <w:color w:val="000000" w:themeColor="text1"/>
          <w:lang w:val="en-US"/>
        </w:rPr>
        <w:t>a</w:t>
      </w:r>
      <w:r w:rsidRPr="00527262">
        <w:rPr>
          <w:color w:val="000000" w:themeColor="text1"/>
          <w:lang w:val="en-US"/>
        </w:rPr>
        <w:t xml:space="preserve">) </w:t>
      </w:r>
      <w:r w:rsidRPr="00527262">
        <w:rPr>
          <w:color w:val="000000" w:themeColor="text1"/>
        </w:rPr>
        <w:t>34 FDR blood circRNAs and</w:t>
      </w:r>
      <w:r w:rsidRPr="00527262">
        <w:rPr>
          <w:color w:val="000000" w:themeColor="text1"/>
          <w:lang w:val="en-US"/>
        </w:rPr>
        <w:t xml:space="preserve"> (</w:t>
      </w:r>
      <w:r w:rsidRPr="00527262">
        <w:rPr>
          <w:b/>
          <w:bCs/>
          <w:color w:val="000000" w:themeColor="text1"/>
          <w:lang w:val="en-US"/>
        </w:rPr>
        <w:t>b</w:t>
      </w:r>
      <w:r w:rsidRPr="00527262">
        <w:rPr>
          <w:color w:val="000000" w:themeColor="text1"/>
          <w:lang w:val="en-US"/>
        </w:rPr>
        <w:t xml:space="preserve">) </w:t>
      </w:r>
      <w:r w:rsidRPr="00527262">
        <w:rPr>
          <w:color w:val="000000" w:themeColor="text1"/>
        </w:rPr>
        <w:t xml:space="preserve">pTau217 alone. </w:t>
      </w:r>
      <w:r w:rsidRPr="00527262">
        <w:rPr>
          <w:color w:val="000000" w:themeColor="text1"/>
          <w:lang w:val="en-US"/>
        </w:rPr>
        <w:t xml:space="preserve">The circRNA models included circRNA counts and the covariates (age at draw, sex, median TIN, number of </w:t>
      </w:r>
      <w:r w:rsidRPr="00527262">
        <w:rPr>
          <w:i/>
          <w:iCs/>
          <w:color w:val="000000" w:themeColor="text1"/>
          <w:lang w:val="en-US"/>
        </w:rPr>
        <w:t>APOE4</w:t>
      </w:r>
      <w:r w:rsidRPr="00527262">
        <w:rPr>
          <w:color w:val="000000" w:themeColor="text1"/>
          <w:lang w:val="en-US"/>
        </w:rPr>
        <w:t xml:space="preserve"> alleles). </w:t>
      </w:r>
    </w:p>
    <w:p w14:paraId="47EBD283" w14:textId="1737E8E6" w:rsidR="00527262" w:rsidRDefault="00527262">
      <w:pPr>
        <w:spacing w:line="278" w:lineRule="auto"/>
        <w:jc w:val="left"/>
        <w:rPr>
          <w:color w:val="000000" w:themeColor="text1"/>
          <w:lang w:val="en-US"/>
        </w:rPr>
      </w:pPr>
      <w:r>
        <w:rPr>
          <w:color w:val="000000" w:themeColor="text1"/>
          <w:lang w:val="en-US"/>
        </w:rPr>
        <w:br w:type="page"/>
      </w:r>
    </w:p>
    <w:p w14:paraId="56EE7893" w14:textId="4EFE99B2" w:rsidR="00527262" w:rsidRDefault="00527262" w:rsidP="00527262">
      <w:pPr>
        <w:spacing w:after="0" w:line="240" w:lineRule="auto"/>
        <w:jc w:val="center"/>
        <w:rPr>
          <w:color w:val="000000" w:themeColor="text1"/>
          <w:lang w:val="en-US"/>
        </w:rPr>
      </w:pPr>
      <w:r>
        <w:rPr>
          <w:noProof/>
          <w:color w:val="000000" w:themeColor="text1"/>
          <w:lang w:val="en-US"/>
          <w14:ligatures w14:val="standardContextual"/>
        </w:rPr>
        <w:lastRenderedPageBreak/>
        <w:drawing>
          <wp:inline distT="0" distB="0" distL="0" distR="0" wp14:anchorId="185B3222" wp14:editId="4168A39C">
            <wp:extent cx="5943600" cy="2628000"/>
            <wp:effectExtent l="0" t="0" r="0" b="1270"/>
            <wp:docPr id="1169160657" name="Picture 7" descr="A diagram of a diagram showing the effects of cd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160657" name="Picture 7" descr="A diagram of a diagram showing the effects of cdr&#10;&#10;AI-generated content may be incorrect."/>
                    <pic:cNvPicPr/>
                  </pic:nvPicPr>
                  <pic:blipFill rotWithShape="1">
                    <a:blip r:embed="rId10">
                      <a:extLst>
                        <a:ext uri="{28A0092B-C50C-407E-A947-70E740481C1C}">
                          <a14:useLocalDpi xmlns:a14="http://schemas.microsoft.com/office/drawing/2010/main" val="0"/>
                        </a:ext>
                      </a:extLst>
                    </a:blip>
                    <a:srcRect b="21395"/>
                    <a:stretch>
                      <a:fillRect/>
                    </a:stretch>
                  </pic:blipFill>
                  <pic:spPr bwMode="auto">
                    <a:xfrm>
                      <a:off x="0" y="0"/>
                      <a:ext cx="5943600" cy="2628000"/>
                    </a:xfrm>
                    <a:prstGeom prst="rect">
                      <a:avLst/>
                    </a:prstGeom>
                    <a:ln>
                      <a:noFill/>
                    </a:ln>
                    <a:extLst>
                      <a:ext uri="{53640926-AAD7-44D8-BBD7-CCE9431645EC}">
                        <a14:shadowObscured xmlns:a14="http://schemas.microsoft.com/office/drawing/2010/main"/>
                      </a:ext>
                    </a:extLst>
                  </pic:spPr>
                </pic:pic>
              </a:graphicData>
            </a:graphic>
          </wp:inline>
        </w:drawing>
      </w:r>
    </w:p>
    <w:p w14:paraId="0874C227" w14:textId="77777777" w:rsidR="00527262" w:rsidRDefault="00527262" w:rsidP="00527262">
      <w:pPr>
        <w:spacing w:after="0" w:line="240" w:lineRule="auto"/>
        <w:jc w:val="left"/>
        <w:rPr>
          <w:color w:val="000000" w:themeColor="text1"/>
          <w:lang w:val="en-US"/>
        </w:rPr>
      </w:pPr>
      <w:r w:rsidRPr="00527262">
        <w:rPr>
          <w:b/>
          <w:bCs/>
          <w:color w:val="000000" w:themeColor="text1"/>
          <w:lang w:val="en-US"/>
        </w:rPr>
        <w:t>Supp. Figure 7 Prediction of CDR Progression</w:t>
      </w:r>
      <w:r w:rsidRPr="00527262">
        <w:rPr>
          <w:color w:val="000000" w:themeColor="text1"/>
          <w:lang w:val="en-US"/>
        </w:rPr>
        <w:t>. ROC curve analysis using the 34 status circRNAs with status as CDR progression using samples with CDR 0 at draw (42 progressors (CDR at last &gt; 0), 737 CU). (</w:t>
      </w:r>
      <w:r w:rsidRPr="00527262">
        <w:rPr>
          <w:b/>
          <w:bCs/>
          <w:color w:val="000000" w:themeColor="text1"/>
          <w:lang w:val="en-US"/>
        </w:rPr>
        <w:t>b</w:t>
      </w:r>
      <w:r w:rsidRPr="00527262">
        <w:rPr>
          <w:color w:val="000000" w:themeColor="text1"/>
          <w:lang w:val="en-US"/>
        </w:rPr>
        <w:t>) Violin plot of AD prediction values per subset of CDR progression. (</w:t>
      </w:r>
      <w:r w:rsidRPr="00527262">
        <w:rPr>
          <w:b/>
          <w:bCs/>
          <w:color w:val="000000" w:themeColor="text1"/>
          <w:lang w:val="en-US"/>
        </w:rPr>
        <w:t>c</w:t>
      </w:r>
      <w:r w:rsidRPr="00527262">
        <w:rPr>
          <w:color w:val="000000" w:themeColor="text1"/>
          <w:lang w:val="en-US"/>
        </w:rPr>
        <w:t xml:space="preserve">) Violin plot of sporadic AD progressor prediction values over estimated time to onset (TTO) subsets. Dotted line of the 0.342 AUC threshold for AD vs CU classification using the 34 blood circRNAs. TTO was calculated based on the age at onset (AAO) subtracted from age at blood draw. </w:t>
      </w:r>
    </w:p>
    <w:p w14:paraId="115E1679" w14:textId="6190E32A" w:rsidR="00527262" w:rsidRDefault="00527262">
      <w:pPr>
        <w:spacing w:line="278" w:lineRule="auto"/>
        <w:jc w:val="left"/>
        <w:rPr>
          <w:color w:val="000000" w:themeColor="text1"/>
          <w:lang w:val="en-US"/>
        </w:rPr>
      </w:pPr>
      <w:r>
        <w:rPr>
          <w:color w:val="000000" w:themeColor="text1"/>
          <w:lang w:val="en-US"/>
        </w:rPr>
        <w:br w:type="page"/>
      </w:r>
    </w:p>
    <w:p w14:paraId="0E67BFD7" w14:textId="19B235B7" w:rsidR="00527262" w:rsidRPr="00527262" w:rsidRDefault="00527262" w:rsidP="00527262">
      <w:pPr>
        <w:spacing w:after="0" w:line="240" w:lineRule="auto"/>
        <w:jc w:val="center"/>
        <w:rPr>
          <w:color w:val="000000" w:themeColor="text1"/>
          <w:lang w:val="en-US"/>
        </w:rPr>
      </w:pPr>
      <w:r>
        <w:rPr>
          <w:noProof/>
          <w:color w:val="000000" w:themeColor="text1"/>
          <w:lang w:val="en-US"/>
          <w14:ligatures w14:val="standardContextual"/>
        </w:rPr>
        <w:lastRenderedPageBreak/>
        <w:drawing>
          <wp:inline distT="0" distB="0" distL="0" distR="0" wp14:anchorId="64C363A7" wp14:editId="4377E6BC">
            <wp:extent cx="5942545" cy="2109205"/>
            <wp:effectExtent l="0" t="0" r="1270" b="0"/>
            <wp:docPr id="819566709" name="Picture 8" descr="A graph of data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66709" name="Picture 8" descr="A graph of data on a white background&#10;&#10;AI-generated content may be incorrect."/>
                    <pic:cNvPicPr/>
                  </pic:nvPicPr>
                  <pic:blipFill rotWithShape="1">
                    <a:blip r:embed="rId11">
                      <a:extLst>
                        <a:ext uri="{28A0092B-C50C-407E-A947-70E740481C1C}">
                          <a14:useLocalDpi xmlns:a14="http://schemas.microsoft.com/office/drawing/2010/main" val="0"/>
                        </a:ext>
                      </a:extLst>
                    </a:blip>
                    <a:srcRect t="3446" b="33454"/>
                    <a:stretch>
                      <a:fillRect/>
                    </a:stretch>
                  </pic:blipFill>
                  <pic:spPr bwMode="auto">
                    <a:xfrm>
                      <a:off x="0" y="0"/>
                      <a:ext cx="5943600" cy="2109580"/>
                    </a:xfrm>
                    <a:prstGeom prst="rect">
                      <a:avLst/>
                    </a:prstGeom>
                    <a:ln>
                      <a:noFill/>
                    </a:ln>
                    <a:extLst>
                      <a:ext uri="{53640926-AAD7-44D8-BBD7-CCE9431645EC}">
                        <a14:shadowObscured xmlns:a14="http://schemas.microsoft.com/office/drawing/2010/main"/>
                      </a:ext>
                    </a:extLst>
                  </pic:spPr>
                </pic:pic>
              </a:graphicData>
            </a:graphic>
          </wp:inline>
        </w:drawing>
      </w:r>
    </w:p>
    <w:p w14:paraId="6B319032" w14:textId="77777777" w:rsidR="00527262" w:rsidRPr="00527262" w:rsidRDefault="00527262" w:rsidP="00527262">
      <w:pPr>
        <w:spacing w:after="0" w:line="240" w:lineRule="auto"/>
        <w:jc w:val="left"/>
        <w:rPr>
          <w:color w:val="000000" w:themeColor="text1"/>
          <w:lang w:val="en-US"/>
        </w:rPr>
      </w:pPr>
      <w:r w:rsidRPr="00527262">
        <w:rPr>
          <w:b/>
          <w:bCs/>
          <w:color w:val="000000" w:themeColor="text1"/>
          <w:lang w:val="en-US"/>
        </w:rPr>
        <w:t>Supp. Figure 8 Blood circRNAs prediction of CDR at draw</w:t>
      </w:r>
      <w:r w:rsidRPr="00527262">
        <w:rPr>
          <w:color w:val="000000" w:themeColor="text1"/>
          <w:lang w:val="en-US"/>
        </w:rPr>
        <w:t>. (</w:t>
      </w:r>
      <w:r w:rsidRPr="00527262">
        <w:rPr>
          <w:b/>
          <w:bCs/>
          <w:color w:val="000000" w:themeColor="text1"/>
          <w:lang w:val="en-US"/>
        </w:rPr>
        <w:t>a</w:t>
      </w:r>
      <w:r w:rsidRPr="00527262">
        <w:rPr>
          <w:color w:val="000000" w:themeColor="text1"/>
          <w:lang w:val="en-US"/>
        </w:rPr>
        <w:t>) ROC curve analysis using the 34 status circRNAs with cross-sectional CDR (Clinical Dementia Rating) scores of CDR 0 vs 0.5 (779 CDR=0, 115 CDR=0.5), CDR 0 vs 1 (779 CDR=0, 84 CDR=1), and CDR 0 vs 0.5+ (779 CDR=0, 120 CDR &gt; 0.5). The circRNA+covariate model included library-size normalized counts of the top status circRNAs and the covariates (age at draw, sex, median TIN, number of APOE4 alleles). (</w:t>
      </w:r>
      <w:r w:rsidRPr="00527262">
        <w:rPr>
          <w:b/>
          <w:bCs/>
          <w:color w:val="000000" w:themeColor="text1"/>
          <w:lang w:val="en-US"/>
        </w:rPr>
        <w:t>b</w:t>
      </w:r>
      <w:r w:rsidRPr="00527262">
        <w:rPr>
          <w:color w:val="000000" w:themeColor="text1"/>
          <w:lang w:val="en-US"/>
        </w:rPr>
        <w:t>) Violin plot of AD prediction value per subset of CDR. Dotted line of the 0.342 AUC threshold for AD vs CU classification using the 34 blood circRNAs. Red line of lowess curve.</w:t>
      </w:r>
    </w:p>
    <w:p w14:paraId="0E7EB61F" w14:textId="40411D41" w:rsidR="00527262" w:rsidRDefault="00527262">
      <w:pPr>
        <w:spacing w:line="278" w:lineRule="auto"/>
        <w:jc w:val="left"/>
        <w:rPr>
          <w:color w:val="000000" w:themeColor="text1"/>
          <w:lang w:val="en-US"/>
        </w:rPr>
      </w:pPr>
      <w:r>
        <w:rPr>
          <w:color w:val="000000" w:themeColor="text1"/>
          <w:lang w:val="en-US"/>
        </w:rPr>
        <w:br w:type="page"/>
      </w:r>
    </w:p>
    <w:p w14:paraId="1D0C130B" w14:textId="400D36EF" w:rsidR="00527262" w:rsidRDefault="00527262" w:rsidP="00527262">
      <w:pPr>
        <w:spacing w:after="0" w:line="240" w:lineRule="auto"/>
        <w:jc w:val="left"/>
        <w:rPr>
          <w:color w:val="000000" w:themeColor="text1"/>
          <w:lang w:val="en-US"/>
        </w:rPr>
      </w:pPr>
      <w:r>
        <w:rPr>
          <w:noProof/>
          <w:color w:val="000000" w:themeColor="text1"/>
          <w:lang w:val="en-US"/>
          <w14:ligatures w14:val="standardContextual"/>
        </w:rPr>
        <w:lastRenderedPageBreak/>
        <w:drawing>
          <wp:inline distT="0" distB="0" distL="0" distR="0" wp14:anchorId="56015720" wp14:editId="0EE130C7">
            <wp:extent cx="5943600" cy="2772000"/>
            <wp:effectExtent l="0" t="0" r="0" b="0"/>
            <wp:docPr id="586056316" name="Picture 9" descr="A graph of a number of statistical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056316" name="Picture 9" descr="A graph of a number of statistical data&#10;&#10;AI-generated content may be incorrect."/>
                    <pic:cNvPicPr/>
                  </pic:nvPicPr>
                  <pic:blipFill rotWithShape="1">
                    <a:blip r:embed="rId12">
                      <a:extLst>
                        <a:ext uri="{28A0092B-C50C-407E-A947-70E740481C1C}">
                          <a14:useLocalDpi xmlns:a14="http://schemas.microsoft.com/office/drawing/2010/main" val="0"/>
                        </a:ext>
                      </a:extLst>
                    </a:blip>
                    <a:srcRect b="17087"/>
                    <a:stretch>
                      <a:fillRect/>
                    </a:stretch>
                  </pic:blipFill>
                  <pic:spPr bwMode="auto">
                    <a:xfrm>
                      <a:off x="0" y="0"/>
                      <a:ext cx="5943600" cy="2772000"/>
                    </a:xfrm>
                    <a:prstGeom prst="rect">
                      <a:avLst/>
                    </a:prstGeom>
                    <a:ln>
                      <a:noFill/>
                    </a:ln>
                    <a:extLst>
                      <a:ext uri="{53640926-AAD7-44D8-BBD7-CCE9431645EC}">
                        <a14:shadowObscured xmlns:a14="http://schemas.microsoft.com/office/drawing/2010/main"/>
                      </a:ext>
                    </a:extLst>
                  </pic:spPr>
                </pic:pic>
              </a:graphicData>
            </a:graphic>
          </wp:inline>
        </w:drawing>
      </w:r>
    </w:p>
    <w:p w14:paraId="08C7562C" w14:textId="604EF056" w:rsidR="00527262" w:rsidRDefault="00527262" w:rsidP="00527262">
      <w:pPr>
        <w:spacing w:after="0" w:line="240" w:lineRule="auto"/>
        <w:jc w:val="left"/>
        <w:rPr>
          <w:color w:val="000000" w:themeColor="text1"/>
        </w:rPr>
      </w:pPr>
      <w:r w:rsidRPr="00527262">
        <w:rPr>
          <w:b/>
          <w:bCs/>
          <w:color w:val="000000" w:themeColor="text1"/>
        </w:rPr>
        <w:t>Supp. Figure 9 Bioinformatics replication of prediction models using CIRI2 counts</w:t>
      </w:r>
      <w:r w:rsidRPr="00527262">
        <w:rPr>
          <w:color w:val="000000" w:themeColor="text1"/>
        </w:rPr>
        <w:t>. ROC curve analysis using DCC (top) and CIRI2 (bottom) read counts of the 34 circRNAs with status as (</w:t>
      </w:r>
      <w:r w:rsidRPr="00527262">
        <w:rPr>
          <w:b/>
          <w:bCs/>
          <w:color w:val="000000" w:themeColor="text1"/>
        </w:rPr>
        <w:t>a</w:t>
      </w:r>
      <w:r w:rsidRPr="00527262">
        <w:rPr>
          <w:color w:val="000000" w:themeColor="text1"/>
        </w:rPr>
        <w:t>) AD vs CU (405 AD, 816 CU), (</w:t>
      </w:r>
      <w:r w:rsidRPr="00527262">
        <w:rPr>
          <w:b/>
          <w:bCs/>
          <w:color w:val="000000" w:themeColor="text1"/>
        </w:rPr>
        <w:t>b</w:t>
      </w:r>
      <w:r w:rsidRPr="00527262">
        <w:rPr>
          <w:color w:val="000000" w:themeColor="text1"/>
        </w:rPr>
        <w:t>) biomarker-confirmed status (79 AT+ AD, 252 AT- CU), and (</w:t>
      </w:r>
      <w:r w:rsidRPr="00527262">
        <w:rPr>
          <w:b/>
          <w:bCs/>
          <w:color w:val="000000" w:themeColor="text1"/>
        </w:rPr>
        <w:t>c</w:t>
      </w:r>
      <w:r w:rsidRPr="00527262">
        <w:rPr>
          <w:color w:val="000000" w:themeColor="text1"/>
        </w:rPr>
        <w:t>) AD progression within 5-years (78 progressors, 610 CU). (</w:t>
      </w:r>
      <w:r w:rsidRPr="00527262">
        <w:rPr>
          <w:b/>
          <w:bCs/>
          <w:color w:val="000000" w:themeColor="text1"/>
        </w:rPr>
        <w:t>d</w:t>
      </w:r>
      <w:r w:rsidRPr="00527262">
        <w:rPr>
          <w:color w:val="000000" w:themeColor="text1"/>
        </w:rPr>
        <w:t>) Whisker plot of AD prediction using DCC and CIRI2 read counts of the 34 blood circRNAs in Knight ADRC blood (WU) compared to plasma pTau217 alone.</w:t>
      </w:r>
    </w:p>
    <w:p w14:paraId="78BDA914" w14:textId="1F0C6931" w:rsidR="00527262" w:rsidRDefault="00527262">
      <w:pPr>
        <w:spacing w:line="278" w:lineRule="auto"/>
        <w:jc w:val="left"/>
        <w:rPr>
          <w:color w:val="000000" w:themeColor="text1"/>
        </w:rPr>
      </w:pPr>
      <w:r>
        <w:rPr>
          <w:color w:val="000000" w:themeColor="text1"/>
        </w:rPr>
        <w:br w:type="page"/>
      </w:r>
    </w:p>
    <w:p w14:paraId="3A2C391E" w14:textId="6911F538" w:rsidR="00527262" w:rsidRDefault="00527262" w:rsidP="00527262">
      <w:pPr>
        <w:spacing w:after="0" w:line="240" w:lineRule="auto"/>
        <w:jc w:val="center"/>
        <w:rPr>
          <w:color w:val="000000" w:themeColor="text1"/>
          <w:lang w:val="en-US"/>
        </w:rPr>
      </w:pPr>
      <w:r>
        <w:rPr>
          <w:noProof/>
          <w:color w:val="000000" w:themeColor="text1"/>
          <w:lang w:val="en-US"/>
          <w14:ligatures w14:val="standardContextual"/>
        </w:rPr>
        <w:lastRenderedPageBreak/>
        <w:drawing>
          <wp:inline distT="0" distB="0" distL="0" distR="0" wp14:anchorId="70F94F71" wp14:editId="3F40007B">
            <wp:extent cx="2397600" cy="3721281"/>
            <wp:effectExtent l="0" t="0" r="3175" b="0"/>
            <wp:docPr id="418965193" name="Picture 10" descr="A diagram of a mode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965193" name="Picture 10" descr="A diagram of a model&#10;&#10;AI-generated content may be incorrect."/>
                    <pic:cNvPicPr/>
                  </pic:nvPicPr>
                  <pic:blipFill rotWithShape="1">
                    <a:blip r:embed="rId13">
                      <a:extLst>
                        <a:ext uri="{28A0092B-C50C-407E-A947-70E740481C1C}">
                          <a14:useLocalDpi xmlns:a14="http://schemas.microsoft.com/office/drawing/2010/main" val="0"/>
                        </a:ext>
                      </a:extLst>
                    </a:blip>
                    <a:srcRect l="30164" r="38460" b="13426"/>
                    <a:stretch>
                      <a:fillRect/>
                    </a:stretch>
                  </pic:blipFill>
                  <pic:spPr bwMode="auto">
                    <a:xfrm>
                      <a:off x="0" y="0"/>
                      <a:ext cx="2404010" cy="3731230"/>
                    </a:xfrm>
                    <a:prstGeom prst="rect">
                      <a:avLst/>
                    </a:prstGeom>
                    <a:ln>
                      <a:noFill/>
                    </a:ln>
                    <a:extLst>
                      <a:ext uri="{53640926-AAD7-44D8-BBD7-CCE9431645EC}">
                        <a14:shadowObscured xmlns:a14="http://schemas.microsoft.com/office/drawing/2010/main"/>
                      </a:ext>
                    </a:extLst>
                  </pic:spPr>
                </pic:pic>
              </a:graphicData>
            </a:graphic>
          </wp:inline>
        </w:drawing>
      </w:r>
    </w:p>
    <w:p w14:paraId="61ECB508" w14:textId="511BAD3F" w:rsidR="00527262" w:rsidRDefault="00527262" w:rsidP="00527262">
      <w:pPr>
        <w:spacing w:after="0" w:line="240" w:lineRule="auto"/>
        <w:jc w:val="left"/>
        <w:rPr>
          <w:color w:val="000000" w:themeColor="text1"/>
        </w:rPr>
      </w:pPr>
      <w:r w:rsidRPr="00527262">
        <w:rPr>
          <w:b/>
          <w:bCs/>
          <w:color w:val="000000" w:themeColor="text1"/>
        </w:rPr>
        <w:t>Supp. Figure 10 Prediction model replication in the independent A4 dataset</w:t>
      </w:r>
      <w:r w:rsidRPr="00527262">
        <w:rPr>
          <w:color w:val="000000" w:themeColor="text1"/>
        </w:rPr>
        <w:t>. Whisker plot of AD prediction using DCC and CIRI2 read counts of the 34 blood circRNAs in A4 compared to pTau217 alone. Models includes Amyloid-PET A- vs A+ (457 A+, 1,310 A-), Plasma pTau217 (120 T+, 469 T-), A-T- vs A+T+ (131 A+T+, 285 A-T-), and hazard ratios (HR) of AD progression within 5 years (97 progressors, 221 CU).</w:t>
      </w:r>
    </w:p>
    <w:p w14:paraId="7CBA6840" w14:textId="163E6167" w:rsidR="00527262" w:rsidRDefault="00527262">
      <w:pPr>
        <w:spacing w:line="278" w:lineRule="auto"/>
        <w:jc w:val="left"/>
        <w:rPr>
          <w:color w:val="000000" w:themeColor="text1"/>
        </w:rPr>
      </w:pPr>
      <w:r>
        <w:rPr>
          <w:color w:val="000000" w:themeColor="text1"/>
        </w:rPr>
        <w:br w:type="page"/>
      </w:r>
    </w:p>
    <w:p w14:paraId="722B7386" w14:textId="54EB7A79" w:rsidR="00527262" w:rsidRDefault="00527262" w:rsidP="00527262">
      <w:pPr>
        <w:spacing w:after="0" w:line="240" w:lineRule="auto"/>
        <w:jc w:val="center"/>
        <w:rPr>
          <w:color w:val="000000" w:themeColor="text1"/>
          <w:lang w:val="en-US"/>
        </w:rPr>
      </w:pPr>
      <w:r>
        <w:rPr>
          <w:noProof/>
          <w:color w:val="000000" w:themeColor="text1"/>
          <w:lang w:val="en-US"/>
          <w14:ligatures w14:val="standardContextual"/>
        </w:rPr>
        <w:lastRenderedPageBreak/>
        <w:drawing>
          <wp:inline distT="0" distB="0" distL="0" distR="0" wp14:anchorId="68C6640C" wp14:editId="428ED1A3">
            <wp:extent cx="3837179" cy="2952000"/>
            <wp:effectExtent l="0" t="0" r="0" b="0"/>
            <wp:docPr id="1923376066" name="Picture 11" descr="A comparison of a number of different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376066" name="Picture 11" descr="A comparison of a number of different numbers&#10;&#10;AI-generated content may be incorrect."/>
                    <pic:cNvPicPr/>
                  </pic:nvPicPr>
                  <pic:blipFill rotWithShape="1">
                    <a:blip r:embed="rId14">
                      <a:extLst>
                        <a:ext uri="{28A0092B-C50C-407E-A947-70E740481C1C}">
                          <a14:useLocalDpi xmlns:a14="http://schemas.microsoft.com/office/drawing/2010/main" val="0"/>
                        </a:ext>
                      </a:extLst>
                    </a:blip>
                    <a:srcRect l="16232" r="19195" b="11687"/>
                    <a:stretch>
                      <a:fillRect/>
                    </a:stretch>
                  </pic:blipFill>
                  <pic:spPr bwMode="auto">
                    <a:xfrm>
                      <a:off x="0" y="0"/>
                      <a:ext cx="3837908" cy="2952561"/>
                    </a:xfrm>
                    <a:prstGeom prst="rect">
                      <a:avLst/>
                    </a:prstGeom>
                    <a:ln>
                      <a:noFill/>
                    </a:ln>
                    <a:extLst>
                      <a:ext uri="{53640926-AAD7-44D8-BBD7-CCE9431645EC}">
                        <a14:shadowObscured xmlns:a14="http://schemas.microsoft.com/office/drawing/2010/main"/>
                      </a:ext>
                    </a:extLst>
                  </pic:spPr>
                </pic:pic>
              </a:graphicData>
            </a:graphic>
          </wp:inline>
        </w:drawing>
      </w:r>
    </w:p>
    <w:p w14:paraId="1FE3A229" w14:textId="1AB68B6E" w:rsidR="00527262" w:rsidRPr="00D1702C" w:rsidRDefault="00527262" w:rsidP="00527262">
      <w:pPr>
        <w:spacing w:after="0" w:line="240" w:lineRule="auto"/>
        <w:jc w:val="left"/>
        <w:rPr>
          <w:color w:val="000000" w:themeColor="text1"/>
          <w:lang w:val="en-US"/>
        </w:rPr>
      </w:pPr>
      <w:r w:rsidRPr="00527262">
        <w:rPr>
          <w:b/>
          <w:bCs/>
          <w:color w:val="000000" w:themeColor="text1"/>
        </w:rPr>
        <w:t>Supp. Figure 11 Prediction value comparisons in the independent A4 dataset</w:t>
      </w:r>
      <w:r w:rsidRPr="00527262">
        <w:rPr>
          <w:color w:val="000000" w:themeColor="text1"/>
        </w:rPr>
        <w:t>. Violin plot of AD prediction value per subset of amyloid and tau biomarkers in (</w:t>
      </w:r>
      <w:r w:rsidRPr="00527262">
        <w:rPr>
          <w:b/>
          <w:bCs/>
          <w:color w:val="000000" w:themeColor="text1"/>
        </w:rPr>
        <w:t>a</w:t>
      </w:r>
      <w:r w:rsidRPr="00527262">
        <w:rPr>
          <w:color w:val="000000" w:themeColor="text1"/>
        </w:rPr>
        <w:t>) Knight ADRC and (</w:t>
      </w:r>
      <w:r w:rsidRPr="00527262">
        <w:rPr>
          <w:b/>
          <w:bCs/>
          <w:color w:val="000000" w:themeColor="text1"/>
        </w:rPr>
        <w:t>b</w:t>
      </w:r>
      <w:r w:rsidRPr="00527262">
        <w:rPr>
          <w:color w:val="000000" w:themeColor="text1"/>
        </w:rPr>
        <w:t>) A4. Dotted line of the 0.342 AUC threshold for AD vs CU classification. Violin plot of AD progression value in (</w:t>
      </w:r>
      <w:r w:rsidRPr="00527262">
        <w:rPr>
          <w:b/>
          <w:bCs/>
          <w:color w:val="000000" w:themeColor="text1"/>
        </w:rPr>
        <w:t>c</w:t>
      </w:r>
      <w:r w:rsidRPr="00527262">
        <w:rPr>
          <w:color w:val="000000" w:themeColor="text1"/>
        </w:rPr>
        <w:t>) Knight ADRC and (</w:t>
      </w:r>
      <w:r w:rsidRPr="00527262">
        <w:rPr>
          <w:b/>
          <w:bCs/>
          <w:color w:val="000000" w:themeColor="text1"/>
        </w:rPr>
        <w:t>d</w:t>
      </w:r>
      <w:r w:rsidRPr="00527262">
        <w:rPr>
          <w:color w:val="000000" w:themeColor="text1"/>
        </w:rPr>
        <w:t>) A4. Dotted line of the 0.071 AUC threshold for progressor vs non-progressor classification.</w:t>
      </w:r>
    </w:p>
    <w:sectPr w:rsidR="00527262" w:rsidRPr="00D1702C" w:rsidSect="00EA21B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329"/>
    <w:rsid w:val="00020C88"/>
    <w:rsid w:val="00101329"/>
    <w:rsid w:val="00123993"/>
    <w:rsid w:val="002079E4"/>
    <w:rsid w:val="002315AE"/>
    <w:rsid w:val="004E2052"/>
    <w:rsid w:val="00527262"/>
    <w:rsid w:val="005C1710"/>
    <w:rsid w:val="00917F2F"/>
    <w:rsid w:val="00A06BE9"/>
    <w:rsid w:val="00A71717"/>
    <w:rsid w:val="00A92C56"/>
    <w:rsid w:val="00D1702C"/>
    <w:rsid w:val="00EA21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236545F"/>
  <w14:defaultImageDpi w14:val="32767"/>
  <w15:chartTrackingRefBased/>
  <w15:docId w15:val="{DB7B0445-0695-C749-8228-C9D89BCA60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01329"/>
    <w:pPr>
      <w:spacing w:line="480" w:lineRule="auto"/>
      <w:jc w:val="both"/>
    </w:pPr>
    <w:rPr>
      <w:rFonts w:cstheme="minorBidi"/>
      <w:kern w:val="0"/>
      <w:szCs w:val="22"/>
      <w:lang w:val="en-CA"/>
      <w14:ligatures w14:val="none"/>
    </w:rPr>
  </w:style>
  <w:style w:type="paragraph" w:styleId="Heading1">
    <w:name w:val="heading 1"/>
    <w:basedOn w:val="Normal"/>
    <w:next w:val="Normal"/>
    <w:link w:val="Heading1Char"/>
    <w:uiPriority w:val="9"/>
    <w:qFormat/>
    <w:rsid w:val="00101329"/>
    <w:pPr>
      <w:keepNext/>
      <w:keepLines/>
      <w:spacing w:before="360" w:after="80" w:line="278" w:lineRule="auto"/>
      <w:jc w:val="left"/>
      <w:outlineLvl w:val="0"/>
    </w:pPr>
    <w:rPr>
      <w:rFonts w:asciiTheme="majorHAnsi" w:eastAsiaTheme="majorEastAsia" w:hAnsiTheme="majorHAnsi" w:cstheme="majorBidi"/>
      <w:color w:val="0F4761" w:themeColor="accent1" w:themeShade="BF"/>
      <w:kern w:val="2"/>
      <w:sz w:val="40"/>
      <w:szCs w:val="40"/>
      <w:lang w:val="en-US"/>
      <w14:ligatures w14:val="standardContextual"/>
    </w:rPr>
  </w:style>
  <w:style w:type="paragraph" w:styleId="Heading2">
    <w:name w:val="heading 2"/>
    <w:basedOn w:val="Normal"/>
    <w:next w:val="Normal"/>
    <w:link w:val="Heading2Char"/>
    <w:uiPriority w:val="9"/>
    <w:semiHidden/>
    <w:unhideWhenUsed/>
    <w:qFormat/>
    <w:rsid w:val="00101329"/>
    <w:pPr>
      <w:keepNext/>
      <w:keepLines/>
      <w:spacing w:before="160" w:after="80" w:line="278" w:lineRule="auto"/>
      <w:jc w:val="left"/>
      <w:outlineLvl w:val="1"/>
    </w:pPr>
    <w:rPr>
      <w:rFonts w:asciiTheme="majorHAnsi" w:eastAsiaTheme="majorEastAsia" w:hAnsiTheme="majorHAnsi" w:cstheme="majorBidi"/>
      <w:color w:val="0F4761" w:themeColor="accent1" w:themeShade="BF"/>
      <w:kern w:val="2"/>
      <w:sz w:val="32"/>
      <w:szCs w:val="32"/>
      <w:lang w:val="en-US"/>
      <w14:ligatures w14:val="standardContextual"/>
    </w:rPr>
  </w:style>
  <w:style w:type="paragraph" w:styleId="Heading3">
    <w:name w:val="heading 3"/>
    <w:basedOn w:val="Normal"/>
    <w:next w:val="Normal"/>
    <w:link w:val="Heading3Char"/>
    <w:uiPriority w:val="9"/>
    <w:semiHidden/>
    <w:unhideWhenUsed/>
    <w:qFormat/>
    <w:rsid w:val="00101329"/>
    <w:pPr>
      <w:keepNext/>
      <w:keepLines/>
      <w:spacing w:before="160" w:after="80" w:line="278" w:lineRule="auto"/>
      <w:jc w:val="left"/>
      <w:outlineLvl w:val="2"/>
    </w:pPr>
    <w:rPr>
      <w:rFonts w:asciiTheme="minorHAnsi" w:eastAsiaTheme="majorEastAsia" w:hAnsiTheme="minorHAnsi" w:cstheme="majorBidi"/>
      <w:color w:val="0F4761" w:themeColor="accent1" w:themeShade="BF"/>
      <w:kern w:val="2"/>
      <w:sz w:val="28"/>
      <w:szCs w:val="28"/>
      <w:lang w:val="en-US"/>
      <w14:ligatures w14:val="standardContextual"/>
    </w:rPr>
  </w:style>
  <w:style w:type="paragraph" w:styleId="Heading4">
    <w:name w:val="heading 4"/>
    <w:basedOn w:val="Normal"/>
    <w:next w:val="Normal"/>
    <w:link w:val="Heading4Char"/>
    <w:uiPriority w:val="9"/>
    <w:semiHidden/>
    <w:unhideWhenUsed/>
    <w:qFormat/>
    <w:rsid w:val="00101329"/>
    <w:pPr>
      <w:keepNext/>
      <w:keepLines/>
      <w:spacing w:before="80" w:after="40" w:line="278" w:lineRule="auto"/>
      <w:jc w:val="left"/>
      <w:outlineLvl w:val="3"/>
    </w:pPr>
    <w:rPr>
      <w:rFonts w:asciiTheme="minorHAnsi" w:eastAsiaTheme="majorEastAsia" w:hAnsiTheme="minorHAnsi" w:cstheme="majorBidi"/>
      <w:i/>
      <w:iCs/>
      <w:color w:val="0F4761" w:themeColor="accent1" w:themeShade="BF"/>
      <w:kern w:val="2"/>
      <w:szCs w:val="24"/>
      <w:lang w:val="en-US"/>
      <w14:ligatures w14:val="standardContextual"/>
    </w:rPr>
  </w:style>
  <w:style w:type="paragraph" w:styleId="Heading5">
    <w:name w:val="heading 5"/>
    <w:basedOn w:val="Normal"/>
    <w:next w:val="Normal"/>
    <w:link w:val="Heading5Char"/>
    <w:uiPriority w:val="9"/>
    <w:semiHidden/>
    <w:unhideWhenUsed/>
    <w:qFormat/>
    <w:rsid w:val="00101329"/>
    <w:pPr>
      <w:keepNext/>
      <w:keepLines/>
      <w:spacing w:before="80" w:after="40" w:line="278" w:lineRule="auto"/>
      <w:jc w:val="left"/>
      <w:outlineLvl w:val="4"/>
    </w:pPr>
    <w:rPr>
      <w:rFonts w:asciiTheme="minorHAnsi" w:eastAsiaTheme="majorEastAsia" w:hAnsiTheme="minorHAnsi" w:cstheme="majorBidi"/>
      <w:color w:val="0F4761" w:themeColor="accent1" w:themeShade="BF"/>
      <w:kern w:val="2"/>
      <w:szCs w:val="24"/>
      <w:lang w:val="en-US"/>
      <w14:ligatures w14:val="standardContextual"/>
    </w:rPr>
  </w:style>
  <w:style w:type="paragraph" w:styleId="Heading6">
    <w:name w:val="heading 6"/>
    <w:basedOn w:val="Normal"/>
    <w:next w:val="Normal"/>
    <w:link w:val="Heading6Char"/>
    <w:uiPriority w:val="9"/>
    <w:semiHidden/>
    <w:unhideWhenUsed/>
    <w:qFormat/>
    <w:rsid w:val="00101329"/>
    <w:pPr>
      <w:keepNext/>
      <w:keepLines/>
      <w:spacing w:before="40" w:after="0" w:line="278" w:lineRule="auto"/>
      <w:jc w:val="left"/>
      <w:outlineLvl w:val="5"/>
    </w:pPr>
    <w:rPr>
      <w:rFonts w:asciiTheme="minorHAnsi" w:eastAsiaTheme="majorEastAsia" w:hAnsiTheme="minorHAnsi" w:cstheme="majorBidi"/>
      <w:i/>
      <w:iCs/>
      <w:color w:val="595959" w:themeColor="text1" w:themeTint="A6"/>
      <w:kern w:val="2"/>
      <w:szCs w:val="24"/>
      <w:lang w:val="en-US"/>
      <w14:ligatures w14:val="standardContextual"/>
    </w:rPr>
  </w:style>
  <w:style w:type="paragraph" w:styleId="Heading7">
    <w:name w:val="heading 7"/>
    <w:basedOn w:val="Normal"/>
    <w:next w:val="Normal"/>
    <w:link w:val="Heading7Char"/>
    <w:uiPriority w:val="9"/>
    <w:semiHidden/>
    <w:unhideWhenUsed/>
    <w:qFormat/>
    <w:rsid w:val="00101329"/>
    <w:pPr>
      <w:keepNext/>
      <w:keepLines/>
      <w:spacing w:before="40" w:after="0" w:line="278" w:lineRule="auto"/>
      <w:jc w:val="left"/>
      <w:outlineLvl w:val="6"/>
    </w:pPr>
    <w:rPr>
      <w:rFonts w:asciiTheme="minorHAnsi" w:eastAsiaTheme="majorEastAsia" w:hAnsiTheme="minorHAnsi" w:cstheme="majorBidi"/>
      <w:color w:val="595959" w:themeColor="text1" w:themeTint="A6"/>
      <w:kern w:val="2"/>
      <w:szCs w:val="24"/>
      <w:lang w:val="en-US"/>
      <w14:ligatures w14:val="standardContextual"/>
    </w:rPr>
  </w:style>
  <w:style w:type="paragraph" w:styleId="Heading8">
    <w:name w:val="heading 8"/>
    <w:basedOn w:val="Normal"/>
    <w:next w:val="Normal"/>
    <w:link w:val="Heading8Char"/>
    <w:uiPriority w:val="9"/>
    <w:semiHidden/>
    <w:unhideWhenUsed/>
    <w:qFormat/>
    <w:rsid w:val="00101329"/>
    <w:pPr>
      <w:keepNext/>
      <w:keepLines/>
      <w:spacing w:after="0" w:line="278" w:lineRule="auto"/>
      <w:jc w:val="left"/>
      <w:outlineLvl w:val="7"/>
    </w:pPr>
    <w:rPr>
      <w:rFonts w:asciiTheme="minorHAnsi" w:eastAsiaTheme="majorEastAsia" w:hAnsiTheme="minorHAnsi" w:cstheme="majorBidi"/>
      <w:i/>
      <w:iCs/>
      <w:color w:val="272727" w:themeColor="text1" w:themeTint="D8"/>
      <w:kern w:val="2"/>
      <w:szCs w:val="24"/>
      <w:lang w:val="en-US"/>
      <w14:ligatures w14:val="standardContextual"/>
    </w:rPr>
  </w:style>
  <w:style w:type="paragraph" w:styleId="Heading9">
    <w:name w:val="heading 9"/>
    <w:basedOn w:val="Normal"/>
    <w:next w:val="Normal"/>
    <w:link w:val="Heading9Char"/>
    <w:uiPriority w:val="9"/>
    <w:semiHidden/>
    <w:unhideWhenUsed/>
    <w:qFormat/>
    <w:rsid w:val="00101329"/>
    <w:pPr>
      <w:keepNext/>
      <w:keepLines/>
      <w:spacing w:after="0" w:line="278" w:lineRule="auto"/>
      <w:jc w:val="left"/>
      <w:outlineLvl w:val="8"/>
    </w:pPr>
    <w:rPr>
      <w:rFonts w:asciiTheme="minorHAnsi" w:eastAsiaTheme="majorEastAsia" w:hAnsiTheme="minorHAnsi" w:cstheme="majorBidi"/>
      <w:color w:val="272727" w:themeColor="text1" w:themeTint="D8"/>
      <w:kern w:val="2"/>
      <w:szCs w:val="24"/>
      <w:lang w:val="en-US"/>
      <w14:ligatures w14:val="standardContextu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132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0132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01329"/>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01329"/>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101329"/>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101329"/>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101329"/>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101329"/>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101329"/>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101329"/>
    <w:pPr>
      <w:spacing w:after="80" w:line="240" w:lineRule="auto"/>
      <w:contextualSpacing/>
      <w:jc w:val="left"/>
    </w:pPr>
    <w:rPr>
      <w:rFonts w:asciiTheme="majorHAnsi" w:eastAsiaTheme="majorEastAsia" w:hAnsiTheme="majorHAnsi" w:cstheme="majorBidi"/>
      <w:spacing w:val="-10"/>
      <w:kern w:val="28"/>
      <w:sz w:val="56"/>
      <w:szCs w:val="56"/>
      <w:lang w:val="en-US"/>
      <w14:ligatures w14:val="standardContextual"/>
    </w:rPr>
  </w:style>
  <w:style w:type="character" w:customStyle="1" w:styleId="TitleChar">
    <w:name w:val="Title Char"/>
    <w:basedOn w:val="DefaultParagraphFont"/>
    <w:link w:val="Title"/>
    <w:uiPriority w:val="10"/>
    <w:rsid w:val="0010132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01329"/>
    <w:pPr>
      <w:numPr>
        <w:ilvl w:val="1"/>
      </w:numPr>
      <w:spacing w:line="278" w:lineRule="auto"/>
      <w:jc w:val="left"/>
    </w:pPr>
    <w:rPr>
      <w:rFonts w:asciiTheme="minorHAnsi" w:eastAsiaTheme="majorEastAsia" w:hAnsiTheme="minorHAnsi" w:cstheme="majorBidi"/>
      <w:color w:val="595959" w:themeColor="text1" w:themeTint="A6"/>
      <w:spacing w:val="15"/>
      <w:kern w:val="2"/>
      <w:sz w:val="28"/>
      <w:szCs w:val="28"/>
      <w:lang w:val="en-US"/>
      <w14:ligatures w14:val="standardContextual"/>
    </w:rPr>
  </w:style>
  <w:style w:type="character" w:customStyle="1" w:styleId="SubtitleChar">
    <w:name w:val="Subtitle Char"/>
    <w:basedOn w:val="DefaultParagraphFont"/>
    <w:link w:val="Subtitle"/>
    <w:uiPriority w:val="11"/>
    <w:rsid w:val="00101329"/>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101329"/>
    <w:pPr>
      <w:spacing w:before="160" w:line="278" w:lineRule="auto"/>
      <w:jc w:val="center"/>
    </w:pPr>
    <w:rPr>
      <w:rFonts w:cs="Times New Roman"/>
      <w:i/>
      <w:iCs/>
      <w:color w:val="404040" w:themeColor="text1" w:themeTint="BF"/>
      <w:kern w:val="2"/>
      <w:szCs w:val="24"/>
      <w:lang w:val="en-US"/>
      <w14:ligatures w14:val="standardContextual"/>
    </w:rPr>
  </w:style>
  <w:style w:type="character" w:customStyle="1" w:styleId="QuoteChar">
    <w:name w:val="Quote Char"/>
    <w:basedOn w:val="DefaultParagraphFont"/>
    <w:link w:val="Quote"/>
    <w:uiPriority w:val="29"/>
    <w:rsid w:val="00101329"/>
    <w:rPr>
      <w:i/>
      <w:iCs/>
      <w:color w:val="404040" w:themeColor="text1" w:themeTint="BF"/>
    </w:rPr>
  </w:style>
  <w:style w:type="paragraph" w:styleId="ListParagraph">
    <w:name w:val="List Paragraph"/>
    <w:basedOn w:val="Normal"/>
    <w:uiPriority w:val="34"/>
    <w:qFormat/>
    <w:rsid w:val="00101329"/>
    <w:pPr>
      <w:spacing w:line="278" w:lineRule="auto"/>
      <w:ind w:left="720"/>
      <w:contextualSpacing/>
      <w:jc w:val="left"/>
    </w:pPr>
    <w:rPr>
      <w:rFonts w:cs="Times New Roman"/>
      <w:kern w:val="2"/>
      <w:szCs w:val="24"/>
      <w:lang w:val="en-US"/>
      <w14:ligatures w14:val="standardContextual"/>
    </w:rPr>
  </w:style>
  <w:style w:type="character" w:styleId="IntenseEmphasis">
    <w:name w:val="Intense Emphasis"/>
    <w:basedOn w:val="DefaultParagraphFont"/>
    <w:uiPriority w:val="21"/>
    <w:qFormat/>
    <w:rsid w:val="00101329"/>
    <w:rPr>
      <w:i/>
      <w:iCs/>
      <w:color w:val="0F4761" w:themeColor="accent1" w:themeShade="BF"/>
    </w:rPr>
  </w:style>
  <w:style w:type="paragraph" w:styleId="IntenseQuote">
    <w:name w:val="Intense Quote"/>
    <w:basedOn w:val="Normal"/>
    <w:next w:val="Normal"/>
    <w:link w:val="IntenseQuoteChar"/>
    <w:uiPriority w:val="30"/>
    <w:qFormat/>
    <w:rsid w:val="00101329"/>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cs="Times New Roman"/>
      <w:i/>
      <w:iCs/>
      <w:color w:val="0F4761" w:themeColor="accent1" w:themeShade="BF"/>
      <w:kern w:val="2"/>
      <w:szCs w:val="24"/>
      <w:lang w:val="en-US"/>
      <w14:ligatures w14:val="standardContextual"/>
    </w:rPr>
  </w:style>
  <w:style w:type="character" w:customStyle="1" w:styleId="IntenseQuoteChar">
    <w:name w:val="Intense Quote Char"/>
    <w:basedOn w:val="DefaultParagraphFont"/>
    <w:link w:val="IntenseQuote"/>
    <w:uiPriority w:val="30"/>
    <w:rsid w:val="00101329"/>
    <w:rPr>
      <w:i/>
      <w:iCs/>
      <w:color w:val="0F4761" w:themeColor="accent1" w:themeShade="BF"/>
    </w:rPr>
  </w:style>
  <w:style w:type="character" w:styleId="IntenseReference">
    <w:name w:val="Intense Reference"/>
    <w:basedOn w:val="DefaultParagraphFont"/>
    <w:uiPriority w:val="32"/>
    <w:qFormat/>
    <w:rsid w:val="00101329"/>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12</Pages>
  <Words>997</Words>
  <Characters>5689</Characters>
  <Application>Microsoft Office Word</Application>
  <DocSecurity>0</DocSecurity>
  <Lines>47</Lines>
  <Paragraphs>13</Paragraphs>
  <ScaleCrop>false</ScaleCrop>
  <Company/>
  <LinksUpToDate>false</LinksUpToDate>
  <CharactersWithSpaces>6673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Bridget Phillips</dc:creator>
  <cp:keywords/>
  <dc:description/>
  <cp:lastModifiedBy>Bridget Phillips</cp:lastModifiedBy>
  <cp:revision>7</cp:revision>
  <dcterms:created xsi:type="dcterms:W3CDTF">2025-11-03T21:57:00Z</dcterms:created>
  <dcterms:modified xsi:type="dcterms:W3CDTF">2025-11-03T22:14:00Z</dcterms:modified>
</cp:coreProperties>
</file>