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4FB98" w14:textId="77777777" w:rsidR="0096733D" w:rsidRPr="007F2B84" w:rsidRDefault="0096733D" w:rsidP="0096733D">
      <w:pPr>
        <w:rPr>
          <w:rFonts w:ascii="Times New Roman" w:hAnsi="Times New Roman" w:cs="Times New Roman"/>
          <w:noProof/>
          <w:sz w:val="12"/>
          <w:szCs w:val="12"/>
          <w:lang w:val="en-US" w:eastAsia="fr-FR"/>
        </w:rPr>
      </w:pPr>
      <w:r w:rsidRPr="007F2B84">
        <w:rPr>
          <w:rFonts w:ascii="Times New Roman" w:hAnsi="Times New Roman" w:cs="Times New Roman"/>
          <w:b/>
          <w:sz w:val="24"/>
          <w:szCs w:val="24"/>
          <w:lang w:val="en-US"/>
        </w:rPr>
        <w:t>Table I </w:t>
      </w:r>
      <w:r w:rsidRPr="007F2B84">
        <w:rPr>
          <w:rFonts w:ascii="Times New Roman" w:hAnsi="Times New Roman" w:cs="Times New Roman"/>
          <w:b/>
          <w:sz w:val="19"/>
          <w:szCs w:val="19"/>
          <w:lang w:val="en-US"/>
        </w:rPr>
        <w:t xml:space="preserve">: </w:t>
      </w:r>
      <w:r w:rsidRPr="007F2B84">
        <w:rPr>
          <w:sz w:val="20"/>
          <w:szCs w:val="20"/>
          <w:lang w:val="en-US"/>
        </w:rPr>
        <w:t>Baseline Demographic, Clinical, Therapeutic Characteristics and Comorbidities</w:t>
      </w:r>
      <w:r w:rsidRPr="007F2B84">
        <w:rPr>
          <w:rFonts w:ascii="Times New Roman" w:hAnsi="Times New Roman" w:cs="Times New Roman"/>
          <w:noProof/>
          <w:sz w:val="12"/>
          <w:szCs w:val="12"/>
          <w:lang w:val="en-US" w:eastAsia="fr-FR"/>
        </w:rPr>
        <w:t xml:space="preserve"> </w:t>
      </w:r>
    </w:p>
    <w:p w14:paraId="3EC4A0A1" w14:textId="77777777" w:rsidR="0096733D" w:rsidRPr="003D7BD5" w:rsidRDefault="0096733D" w:rsidP="0096733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fr-FR" w:eastAsia="fr-FR"/>
        </w:rPr>
        <w:drawing>
          <wp:inline distT="0" distB="0" distL="0" distR="0" wp14:anchorId="53010574" wp14:editId="693B0230">
            <wp:extent cx="5760720" cy="6187440"/>
            <wp:effectExtent l="0" t="0" r="0" b="381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8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312FD" w14:textId="77777777" w:rsidR="0096733D" w:rsidRDefault="0096733D" w:rsidP="0096733D">
      <w:pPr>
        <w:tabs>
          <w:tab w:val="left" w:pos="964"/>
        </w:tabs>
        <w:spacing w:line="240" w:lineRule="auto"/>
        <w:rPr>
          <w:rFonts w:ascii="Times New Roman" w:hAnsi="Times New Roman" w:cs="Times New Roman"/>
          <w:b/>
          <w:lang w:val="en-US"/>
        </w:rPr>
      </w:pPr>
    </w:p>
    <w:p w14:paraId="460C26DD" w14:textId="77777777" w:rsidR="0096733D" w:rsidRDefault="0096733D" w:rsidP="0096733D">
      <w:pPr>
        <w:tabs>
          <w:tab w:val="left" w:pos="964"/>
        </w:tabs>
        <w:spacing w:line="240" w:lineRule="auto"/>
        <w:rPr>
          <w:rFonts w:ascii="Times New Roman" w:hAnsi="Times New Roman" w:cs="Times New Roman"/>
          <w:b/>
          <w:lang w:val="en-US"/>
        </w:rPr>
      </w:pPr>
    </w:p>
    <w:p w14:paraId="5B3BB38A" w14:textId="77777777" w:rsidR="0096733D" w:rsidRDefault="0096733D" w:rsidP="0096733D">
      <w:pPr>
        <w:tabs>
          <w:tab w:val="left" w:pos="964"/>
        </w:tabs>
        <w:spacing w:line="240" w:lineRule="auto"/>
        <w:rPr>
          <w:rFonts w:ascii="Times New Roman" w:hAnsi="Times New Roman" w:cs="Times New Roman"/>
          <w:b/>
          <w:lang w:val="en-US"/>
        </w:rPr>
      </w:pPr>
    </w:p>
    <w:p w14:paraId="1C63AB5F" w14:textId="77777777" w:rsidR="0096733D" w:rsidRDefault="0096733D" w:rsidP="0096733D">
      <w:pPr>
        <w:tabs>
          <w:tab w:val="left" w:pos="964"/>
        </w:tabs>
        <w:spacing w:line="240" w:lineRule="auto"/>
        <w:rPr>
          <w:rFonts w:ascii="Times New Roman" w:hAnsi="Times New Roman" w:cs="Times New Roman"/>
          <w:b/>
          <w:lang w:val="en-US"/>
        </w:rPr>
      </w:pPr>
    </w:p>
    <w:p w14:paraId="36B2271E" w14:textId="77777777" w:rsidR="0096733D" w:rsidRDefault="0096733D" w:rsidP="0096733D">
      <w:pPr>
        <w:tabs>
          <w:tab w:val="left" w:pos="964"/>
        </w:tabs>
        <w:spacing w:line="240" w:lineRule="auto"/>
        <w:rPr>
          <w:rFonts w:ascii="Times New Roman" w:hAnsi="Times New Roman" w:cs="Times New Roman"/>
          <w:b/>
          <w:lang w:val="en-US"/>
        </w:rPr>
      </w:pPr>
    </w:p>
    <w:p w14:paraId="6B9367F0" w14:textId="77777777" w:rsidR="0096733D" w:rsidRDefault="0096733D" w:rsidP="0096733D">
      <w:pPr>
        <w:spacing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11074B51" w14:textId="77777777" w:rsidR="0096733D" w:rsidRPr="007F2B84" w:rsidRDefault="0096733D" w:rsidP="0096733D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II</w:t>
      </w:r>
      <w:r w:rsidRPr="007F2B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:</w:t>
      </w:r>
      <w:r w:rsidRPr="007F2B8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7F2B84">
        <w:rPr>
          <w:rStyle w:val="Strong"/>
          <w:sz w:val="20"/>
          <w:szCs w:val="20"/>
          <w:lang w:val="en-US"/>
        </w:rPr>
        <w:t>C</w:t>
      </w:r>
      <w:r w:rsidRPr="007F2B84">
        <w:rPr>
          <w:bCs/>
          <w:sz w:val="20"/>
          <w:szCs w:val="20"/>
          <w:lang w:val="en-US"/>
        </w:rPr>
        <w:t xml:space="preserve">omparative Table of Infectious Adverse Events (AE) under different </w:t>
      </w:r>
      <w:proofErr w:type="spellStart"/>
      <w:r w:rsidRPr="007F2B84">
        <w:rPr>
          <w:bCs/>
          <w:sz w:val="20"/>
          <w:szCs w:val="20"/>
          <w:lang w:val="en-US"/>
        </w:rPr>
        <w:t>bDMARDs</w:t>
      </w:r>
      <w:proofErr w:type="spellEnd"/>
      <w:r w:rsidRPr="007F2B84">
        <w:rPr>
          <w:bCs/>
          <w:sz w:val="20"/>
          <w:szCs w:val="20"/>
          <w:lang w:val="en-US"/>
        </w:rPr>
        <w:t>: RTX, Anti-TNF, and TCZ</w:t>
      </w:r>
    </w:p>
    <w:p w14:paraId="5FE10FE8" w14:textId="77777777" w:rsidR="0096733D" w:rsidRPr="000B7352" w:rsidRDefault="0096733D" w:rsidP="0096733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fr-FR" w:eastAsia="fr-FR"/>
        </w:rPr>
        <w:drawing>
          <wp:inline distT="0" distB="0" distL="0" distR="0" wp14:anchorId="17CFDD7B" wp14:editId="1C707CB2">
            <wp:extent cx="5753100" cy="520446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20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C1AEF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F1232FE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83B10E3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D03D3C5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6DFF758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920CF72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AC33882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E5BA2E1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C844870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9DBBB18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DA5495B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8FC0666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78E1E78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233A9E7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309C143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847DF9D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85A4D52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B5537F9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F514EF5" w14:textId="77777777" w:rsidR="0096733D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D4EDE74" w14:textId="77777777" w:rsidR="0096733D" w:rsidRPr="007F2B84" w:rsidRDefault="0096733D" w:rsidP="009673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 III</w:t>
      </w:r>
      <w:r w:rsidRPr="007F2B8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:</w:t>
      </w:r>
      <w:r w:rsidRPr="007F2B84">
        <w:rPr>
          <w:lang w:val="en-US"/>
        </w:rPr>
        <w:t xml:space="preserve"> </w:t>
      </w:r>
      <w:r w:rsidRPr="007F2B84">
        <w:rPr>
          <w:sz w:val="20"/>
          <w:szCs w:val="20"/>
          <w:lang w:val="en-US"/>
        </w:rPr>
        <w:t>Non-infectious adverse events under RTX compared to Anti-TNF and TCZ in patients with RA from the RBSMR registry</w:t>
      </w:r>
      <w:r w:rsidRPr="007F2B8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</w:p>
    <w:p w14:paraId="45B8CCA0" w14:textId="77777777" w:rsidR="0096733D" w:rsidRDefault="0096733D" w:rsidP="0096733D">
      <w:pPr>
        <w:pStyle w:val="p1"/>
        <w:rPr>
          <w:b/>
          <w:bCs/>
          <w:lang w:val="en-US"/>
        </w:rPr>
      </w:pPr>
      <w:r>
        <w:rPr>
          <w:b/>
          <w:bCs/>
          <w:noProof/>
          <w:lang w:val="fr-FR"/>
        </w:rPr>
        <w:drawing>
          <wp:inline distT="0" distB="0" distL="0" distR="0" wp14:anchorId="226C774E" wp14:editId="3629BF7B">
            <wp:extent cx="5760720" cy="5920740"/>
            <wp:effectExtent l="0" t="0" r="0" b="381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92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EF0B6" w14:textId="77777777" w:rsidR="0096733D" w:rsidRPr="007F2B84" w:rsidRDefault="0096733D" w:rsidP="0096733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12"/>
          <w:szCs w:val="12"/>
          <w:lang w:val="en-US"/>
        </w:rPr>
      </w:pPr>
      <w:r w:rsidRPr="007F2B8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</w:t>
      </w:r>
      <w:r w:rsidRPr="007F2B84">
        <w:rPr>
          <w:rFonts w:ascii="Times New Roman" w:hAnsi="Times New Roman" w:cs="Times New Roman"/>
          <w:lang w:val="en-US"/>
        </w:rPr>
        <w:t xml:space="preserve"> </w:t>
      </w:r>
      <w:r w:rsidRPr="007F2B84">
        <w:rPr>
          <w:rFonts w:ascii="Times New Roman" w:hAnsi="Times New Roman" w:cs="Times New Roman"/>
          <w:sz w:val="12"/>
          <w:szCs w:val="12"/>
          <w:lang w:val="en-US"/>
        </w:rPr>
        <w:t>The two patients concerned were receiving TCZ after prior treatment with RTX.</w:t>
      </w:r>
    </w:p>
    <w:p w14:paraId="4FB5671C" w14:textId="77777777" w:rsidR="0096733D" w:rsidRDefault="0096733D" w:rsidP="0096733D">
      <w:pPr>
        <w:pStyle w:val="p1"/>
        <w:jc w:val="center"/>
        <w:rPr>
          <w:b/>
          <w:bCs/>
          <w:lang w:val="en-US"/>
        </w:rPr>
      </w:pPr>
    </w:p>
    <w:p w14:paraId="3F24925B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33D"/>
    <w:rsid w:val="00066677"/>
    <w:rsid w:val="00291F1D"/>
    <w:rsid w:val="003A4E89"/>
    <w:rsid w:val="00556784"/>
    <w:rsid w:val="008B07A6"/>
    <w:rsid w:val="0096733D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A26E7"/>
  <w15:chartTrackingRefBased/>
  <w15:docId w15:val="{1CEECAF3-A993-4CF3-936D-E433FFEB1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33D"/>
    <w:pPr>
      <w:spacing w:line="259" w:lineRule="auto"/>
    </w:pPr>
    <w:rPr>
      <w:kern w:val="0"/>
      <w:sz w:val="22"/>
      <w:szCs w:val="22"/>
      <w:lang w:val="fr-M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73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73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733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733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733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733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733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733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733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73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73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73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73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73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73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73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73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73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73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73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733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73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733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73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733D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73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73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73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733D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96733D"/>
    <w:rPr>
      <w:b/>
      <w:bCs/>
    </w:rPr>
  </w:style>
  <w:style w:type="paragraph" w:customStyle="1" w:styleId="p1">
    <w:name w:val="p1"/>
    <w:basedOn w:val="Normal"/>
    <w:rsid w:val="009673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</Words>
  <Characters>376</Characters>
  <Application>Microsoft Office Word</Application>
  <DocSecurity>0</DocSecurity>
  <Lines>6</Lines>
  <Paragraphs>2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2025-11-24T08:50:00Z</dcterms:created>
  <dcterms:modified xsi:type="dcterms:W3CDTF">2025-11-24T08:50:00Z</dcterms:modified>
</cp:coreProperties>
</file>