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76A2" w14:textId="77777777" w:rsidR="00E1055E" w:rsidRDefault="00E1055E" w:rsidP="00E1055E">
      <w:pPr>
        <w:pStyle w:val="a3"/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05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Supplementary</w:t>
      </w:r>
      <w:r w:rsidRPr="00E1055E">
        <w:t xml:space="preserve"> </w:t>
      </w:r>
      <w:r w:rsidRPr="00E105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material</w:t>
      </w:r>
    </w:p>
    <w:p w14:paraId="2E232940" w14:textId="77777777" w:rsidR="003D6878" w:rsidRDefault="003D6878" w:rsidP="003D6878">
      <w:pPr>
        <w:pStyle w:val="a3"/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 w:rsidRPr="00E1055E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1055E">
        <w:rPr>
          <w:rFonts w:ascii="Times New Roman" w:hAnsi="Times New Roman" w:cs="Times New Roman"/>
          <w:sz w:val="24"/>
          <w:szCs w:val="24"/>
        </w:rPr>
        <w:t xml:space="preserve"> Detailed geographic information of sampling sites of </w:t>
      </w:r>
      <w:r w:rsidRPr="00E1055E">
        <w:rPr>
          <w:rFonts w:ascii="Times New Roman" w:hAnsi="Times New Roman" w:cs="Times New Roman"/>
          <w:i/>
          <w:sz w:val="24"/>
          <w:szCs w:val="24"/>
        </w:rPr>
        <w:t>Ulva</w:t>
      </w:r>
      <w:r w:rsidRPr="00E1055E">
        <w:rPr>
          <w:rFonts w:ascii="Times New Roman" w:hAnsi="Times New Roman" w:cs="Times New Roman"/>
          <w:sz w:val="24"/>
          <w:szCs w:val="24"/>
        </w:rPr>
        <w:t xml:space="preserve"> species along the coasts of Jeju Island, Korea between November 2019 and February 2021. </w:t>
      </w:r>
      <w:r w:rsidRPr="00E1055E">
        <w:rPr>
          <w:rFonts w:ascii="Times New Roman" w:hAnsi="Times New Roman" w:cs="Times New Roman"/>
          <w:i/>
          <w:sz w:val="24"/>
          <w:szCs w:val="24"/>
        </w:rPr>
        <w:t>Ulva</w:t>
      </w:r>
      <w:r w:rsidRPr="00E1055E">
        <w:rPr>
          <w:rFonts w:ascii="Times New Roman" w:hAnsi="Times New Roman" w:cs="Times New Roman"/>
          <w:sz w:val="24"/>
          <w:szCs w:val="24"/>
        </w:rPr>
        <w:t xml:space="preserve"> specimens were collected during every season and thus they were sampled from every site four times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2" w:rightFromText="142" w:vertAnchor="text" w:horzAnchor="margin" w:tblpXSpec="center" w:tblpY="21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924"/>
        <w:gridCol w:w="1890"/>
        <w:gridCol w:w="1813"/>
      </w:tblGrid>
      <w:tr w:rsidR="003D6878" w:rsidRPr="00E1055E" w14:paraId="056E49A7" w14:textId="77777777" w:rsidTr="00663C47">
        <w:trPr>
          <w:trHeight w:val="344"/>
        </w:trPr>
        <w:tc>
          <w:tcPr>
            <w:tcW w:w="184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24A8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>Population ID</w:t>
            </w:r>
          </w:p>
        </w:tc>
        <w:tc>
          <w:tcPr>
            <w:tcW w:w="29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2D5F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Sampling site 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66CC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latitude </w:t>
            </w:r>
          </w:p>
        </w:tc>
        <w:tc>
          <w:tcPr>
            <w:tcW w:w="181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A2D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longitude </w:t>
            </w:r>
          </w:p>
        </w:tc>
      </w:tr>
      <w:tr w:rsidR="003D6878" w:rsidRPr="00E1055E" w14:paraId="07DA6E97" w14:textId="77777777" w:rsidTr="00663C47">
        <w:trPr>
          <w:trHeight w:val="293"/>
        </w:trPr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C4CB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788B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Sinyang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503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33°26'5.30"N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F3E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126°55'22.79"E</w:t>
            </w:r>
          </w:p>
        </w:tc>
      </w:tr>
      <w:tr w:rsidR="003D6878" w:rsidRPr="00E1055E" w14:paraId="0847A700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14B8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B6E7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Ojo (Seongsan harbor)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48D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33°28'13.87"N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A1A81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126°55'20.90"E</w:t>
            </w:r>
          </w:p>
        </w:tc>
      </w:tr>
      <w:tr w:rsidR="003D6878" w:rsidRPr="00E1055E" w14:paraId="5195DFDC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E603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D5D0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Tongbadal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6502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33°28'10.65"N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D98A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126°55'24.51"E</w:t>
            </w:r>
          </w:p>
        </w:tc>
      </w:tr>
      <w:tr w:rsidR="003D6878" w:rsidRPr="00E1055E" w14:paraId="69F4F1FA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9E6A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30F9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Jongdal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A6CE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33°28'22.10"N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17BB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126°54'45.15"E</w:t>
            </w:r>
          </w:p>
        </w:tc>
      </w:tr>
      <w:tr w:rsidR="003D6878" w:rsidRPr="00E1055E" w14:paraId="3D59FC54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3E85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67B9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Jongdal (cultivation)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820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33°29'58.93"N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B44C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126°54'40.82"E</w:t>
            </w:r>
          </w:p>
        </w:tc>
      </w:tr>
      <w:tr w:rsidR="003D6878" w:rsidRPr="00E1055E" w14:paraId="4DA7CD1A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1F64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22B3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Hado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05E2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33°30'42.01"N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9E0F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126°53'53.60"E</w:t>
            </w:r>
          </w:p>
        </w:tc>
      </w:tr>
      <w:tr w:rsidR="003D6878" w:rsidRPr="00E1055E" w14:paraId="3AF9E29A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43DD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4D09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inside Tokki-seom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43F1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33°31'17.25"N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58C0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126°53'59.70"E</w:t>
            </w:r>
          </w:p>
        </w:tc>
      </w:tr>
      <w:tr w:rsidR="003D6878" w:rsidRPr="00E1055E" w14:paraId="7DB54392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703A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462C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outside Tokki-seom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4EB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33°31'18.58"N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B2F6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126°54'0.29"E</w:t>
            </w:r>
          </w:p>
        </w:tc>
      </w:tr>
      <w:tr w:rsidR="003D6878" w:rsidRPr="00E1055E" w14:paraId="396CCE94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E461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43C4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Gimnyeong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015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33°33'28.36"N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BA5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126°45'29.69"E</w:t>
            </w:r>
          </w:p>
        </w:tc>
      </w:tr>
      <w:tr w:rsidR="003D6878" w:rsidRPr="00E1055E" w14:paraId="5DD55EE6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DE81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DC2E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Gimnyeong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9E34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33°33'18.01"N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840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126°44'17.19"E</w:t>
            </w:r>
          </w:p>
        </w:tc>
      </w:tr>
      <w:tr w:rsidR="003D6878" w:rsidRPr="00E1055E" w14:paraId="0DA53B4A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6887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E91E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Hamdeok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2B4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33°32'43.97"N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AE6C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126°39'47.93"E</w:t>
            </w:r>
          </w:p>
        </w:tc>
      </w:tr>
      <w:tr w:rsidR="003D6878" w:rsidRPr="00E1055E" w14:paraId="5923B562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402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E45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inside Hamdeok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6262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33°32'53.75"N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2BCD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126°39'20.21"E</w:t>
            </w:r>
          </w:p>
        </w:tc>
      </w:tr>
      <w:tr w:rsidR="003D6878" w:rsidRPr="00E1055E" w14:paraId="32C185BB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67A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FB04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outside Hamdeok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ABDF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33°32'54.79"N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626F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126°39'22.53"E</w:t>
            </w:r>
          </w:p>
        </w:tc>
      </w:tr>
      <w:tr w:rsidR="003D6878" w:rsidRPr="00E1055E" w14:paraId="722BE749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4330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629B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Bangsatab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B6F0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33°32'58.91"N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045A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126°38'51.04"E</w:t>
            </w:r>
          </w:p>
        </w:tc>
      </w:tr>
      <w:tr w:rsidR="003D6878" w:rsidRPr="00E1055E" w14:paraId="6AB4BBF9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4C56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5807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Jocheon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F429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33°32'19.38"N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A1BA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126°38'4.48"E</w:t>
            </w:r>
          </w:p>
        </w:tc>
      </w:tr>
      <w:tr w:rsidR="003D6878" w:rsidRPr="00E1055E" w14:paraId="437904DF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C30A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421E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Iho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6937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33°29'52.30"N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D95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126°27'7.23"E</w:t>
            </w:r>
          </w:p>
        </w:tc>
      </w:tr>
      <w:tr w:rsidR="003D6878" w:rsidRPr="00E1055E" w14:paraId="42810330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CBB2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70D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Aewol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774A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33°28'2.89"N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2DE2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126°19'13.77"E</w:t>
            </w:r>
          </w:p>
        </w:tc>
      </w:tr>
      <w:tr w:rsidR="003D6878" w:rsidRPr="00E1055E" w14:paraId="1AE80CC5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428C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DE43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outside Hallim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8DE1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33°25'22.33"N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DA0A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126°15'46.20"E</w:t>
            </w:r>
          </w:p>
        </w:tc>
      </w:tr>
      <w:tr w:rsidR="003D6878" w:rsidRPr="00E1055E" w14:paraId="425CB6DB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E919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45E9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inside Hallim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AA8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33°25'22.01"N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1537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126°15'45.95"E</w:t>
            </w:r>
          </w:p>
        </w:tc>
      </w:tr>
      <w:tr w:rsidR="003D6878" w:rsidRPr="00E1055E" w14:paraId="2C78D4E2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FBE3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1D30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Hyeopjae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85A5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33°23'43.36"N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E0C4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126°14'24.36"E</w:t>
            </w:r>
          </w:p>
        </w:tc>
      </w:tr>
      <w:tr w:rsidR="003D6878" w:rsidRPr="00E1055E" w14:paraId="65FBE591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BAF9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B939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Geumneung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8CA2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33°23'23.61"N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F7DD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126°14'6.44"E</w:t>
            </w:r>
          </w:p>
        </w:tc>
      </w:tr>
      <w:tr w:rsidR="003D6878" w:rsidRPr="00E1055E" w14:paraId="686074C5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2CF8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1594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Sincnang 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B82D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33°20'37.41"N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8325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126°10'29.09"E</w:t>
            </w:r>
          </w:p>
        </w:tc>
      </w:tr>
      <w:tr w:rsidR="003D6878" w:rsidRPr="00E1055E" w14:paraId="29C31636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C8DE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C6C5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inside Sincnang 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56A3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33°20'46.60"N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8E91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126°10'46.02"E</w:t>
            </w:r>
          </w:p>
        </w:tc>
      </w:tr>
      <w:tr w:rsidR="003D6878" w:rsidRPr="00E1055E" w14:paraId="07471427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7DCF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42D1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outside Sinchang 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3C5B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33°20'47.24"N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5EEC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126°10'41.69"E</w:t>
            </w:r>
          </w:p>
        </w:tc>
      </w:tr>
      <w:tr w:rsidR="003D6878" w:rsidRPr="00E1055E" w14:paraId="69B6B248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CE24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7E6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Sinchang 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8653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33°20'35.00"N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344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126°10'18.05"E</w:t>
            </w:r>
          </w:p>
        </w:tc>
      </w:tr>
      <w:tr w:rsidR="003D6878" w:rsidRPr="00E1055E" w14:paraId="16DA929F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2707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145D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Moseulpo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052C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33°13'9.00"N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516D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126°14'59.50"E</w:t>
            </w:r>
          </w:p>
        </w:tc>
      </w:tr>
      <w:tr w:rsidR="003D6878" w:rsidRPr="00E1055E" w14:paraId="30B7143F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A71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2FD1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Hwasun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366D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33°14'23.27"N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D350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126°19'58.08"E</w:t>
            </w:r>
          </w:p>
        </w:tc>
      </w:tr>
      <w:tr w:rsidR="003D6878" w:rsidRPr="00E1055E" w14:paraId="4ED71C2C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0872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DF44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Daepyeong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2280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33°14'13.56"N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690A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126°21'42.02"E</w:t>
            </w:r>
          </w:p>
        </w:tc>
      </w:tr>
      <w:tr w:rsidR="003D6878" w:rsidRPr="00E1055E" w14:paraId="18487668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099D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B202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Seogwipo harbor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E5256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33°14'21.34"N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98DF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126°33'31.84"E</w:t>
            </w:r>
          </w:p>
        </w:tc>
      </w:tr>
      <w:tr w:rsidR="003D6878" w:rsidRPr="00E1055E" w14:paraId="7612063E" w14:textId="77777777" w:rsidTr="00663C47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32B7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6D96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Wimi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439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33°16'8.94"N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01B3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126°39'20.34"E</w:t>
            </w:r>
          </w:p>
        </w:tc>
      </w:tr>
      <w:tr w:rsidR="003D6878" w:rsidRPr="00E1055E" w14:paraId="2C2B0AEF" w14:textId="77777777" w:rsidTr="00663C47">
        <w:trPr>
          <w:trHeight w:val="49"/>
        </w:trPr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67D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B867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Pyoseon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35741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33°18'34.58"N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73D6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126°49'52.98"E</w:t>
            </w:r>
          </w:p>
        </w:tc>
      </w:tr>
    </w:tbl>
    <w:p w14:paraId="0A4F31FE" w14:textId="77777777" w:rsidR="003D6878" w:rsidRPr="00E1055E" w:rsidRDefault="003D6878" w:rsidP="003D6878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69FCA8" w14:textId="77777777" w:rsidR="003D6878" w:rsidRDefault="003D6878" w:rsidP="003D6878">
      <w:pPr>
        <w:spacing w:after="0" w:line="240" w:lineRule="auto"/>
        <w:ind w:left="960" w:hangingChars="400" w:hanging="9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1055E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0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5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Detailed geographic information of sampling sites of </w:t>
      </w:r>
      <w:r w:rsidRPr="00E1055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Ulva</w:t>
      </w:r>
      <w:r w:rsidRPr="00E105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species along the southern coastal area (the South Sea) of Korea in January 2021 - October 2021. </w:t>
      </w:r>
      <w:r w:rsidRPr="00E1055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Ulva</w:t>
      </w:r>
      <w:r w:rsidRPr="00E105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specimens were collected during every season and thus they were sampled from every site four times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B0EAEE4" w14:textId="77777777" w:rsidR="003D6878" w:rsidRPr="00E1055E" w:rsidRDefault="003D6878" w:rsidP="003D6878">
      <w:pPr>
        <w:spacing w:after="0" w:line="240" w:lineRule="auto"/>
        <w:ind w:left="960" w:hangingChars="400" w:hanging="9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124"/>
        <w:gridCol w:w="2009"/>
        <w:gridCol w:w="1923"/>
      </w:tblGrid>
      <w:tr w:rsidR="003D6878" w:rsidRPr="00E1055E" w14:paraId="1C4E47D6" w14:textId="77777777" w:rsidTr="00663C47">
        <w:trPr>
          <w:trHeight w:val="397"/>
        </w:trPr>
        <w:tc>
          <w:tcPr>
            <w:tcW w:w="197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8566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>Population ID</w:t>
            </w:r>
          </w:p>
        </w:tc>
        <w:tc>
          <w:tcPr>
            <w:tcW w:w="31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713F2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Sampling site </w:t>
            </w:r>
          </w:p>
        </w:tc>
        <w:tc>
          <w:tcPr>
            <w:tcW w:w="200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4E7A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latitude </w:t>
            </w:r>
          </w:p>
        </w:tc>
        <w:tc>
          <w:tcPr>
            <w:tcW w:w="192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8E3F7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longitude </w:t>
            </w:r>
          </w:p>
        </w:tc>
      </w:tr>
      <w:tr w:rsidR="003D6878" w:rsidRPr="00E1055E" w14:paraId="14C18260" w14:textId="77777777" w:rsidTr="00663C47">
        <w:trPr>
          <w:trHeight w:val="338"/>
        </w:trPr>
        <w:tc>
          <w:tcPr>
            <w:tcW w:w="19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68CB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1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06C1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Daldo 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AFFB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34°23'33.58"N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F2A2A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126°38'33.82"E</w:t>
            </w:r>
          </w:p>
        </w:tc>
      </w:tr>
      <w:tr w:rsidR="003D6878" w:rsidRPr="00E1055E" w14:paraId="7983E517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34CA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184B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Daldo 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CD0E6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34°23'29.46"N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6C36D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126°38'31.70"E</w:t>
            </w:r>
          </w:p>
        </w:tc>
      </w:tr>
      <w:tr w:rsidR="003D6878" w:rsidRPr="00E1055E" w14:paraId="4AFA2D87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8A1E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8398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Bulmok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4516E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34°23'46.15"N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4AAD2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126°42'15.03"E</w:t>
            </w:r>
          </w:p>
        </w:tc>
      </w:tr>
      <w:tr w:rsidR="003D6878" w:rsidRPr="00E1055E" w14:paraId="5C816CD6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17BD1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7F0B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Daeya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9CFC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34°21'54.30"N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536BA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126°43'51.04"E</w:t>
            </w:r>
          </w:p>
        </w:tc>
      </w:tr>
      <w:tr w:rsidR="003D6878" w:rsidRPr="00E1055E" w14:paraId="60310637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943D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C000B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Yegye 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92B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34°48'58.54"N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B65E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127°49'41.62"E</w:t>
            </w:r>
          </w:p>
        </w:tc>
      </w:tr>
      <w:tr w:rsidR="003D6878" w:rsidRPr="00E1055E" w14:paraId="1A82ACBD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847C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6179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Yegye 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429EA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34°48'59.66"N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8CDFA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127°49'40.75"E</w:t>
            </w:r>
          </w:p>
        </w:tc>
      </w:tr>
      <w:tr w:rsidR="003D6878" w:rsidRPr="00E1055E" w14:paraId="4435E093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99BFD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1FDC5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Yegye 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145A2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34°49'18.40"N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9343D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127°49'18.14"E</w:t>
            </w:r>
          </w:p>
        </w:tc>
      </w:tr>
      <w:tr w:rsidR="003D6878" w:rsidRPr="00E1055E" w14:paraId="519F37C8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54E21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322F4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Chamyeon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0B1BF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34°54'49.64"N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FD4B0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127°51'0.35"E</w:t>
            </w:r>
          </w:p>
        </w:tc>
      </w:tr>
      <w:tr w:rsidR="003D6878" w:rsidRPr="00E1055E" w14:paraId="43736D39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BD74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FE1DF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Sulcheon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8D845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34°56'45.61"N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D81A6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127°53'37.63"E</w:t>
            </w:r>
          </w:p>
        </w:tc>
      </w:tr>
      <w:tr w:rsidR="003D6878" w:rsidRPr="00E1055E" w14:paraId="58AAFC35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1F079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31C23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Gyeonyu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B3DCF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34°53'9.48"N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F18E5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128°28'10.45"E</w:t>
            </w:r>
          </w:p>
        </w:tc>
      </w:tr>
      <w:tr w:rsidR="003D6878" w:rsidRPr="00E1055E" w14:paraId="4FF1D3F9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A5020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0B16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Deokho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32EE2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34°52'52.72"N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A8C3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128°28'33.26"E</w:t>
            </w:r>
          </w:p>
        </w:tc>
      </w:tr>
      <w:tr w:rsidR="003D6878" w:rsidRPr="00E1055E" w14:paraId="685FD32E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DE7E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73B3A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Daegeum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7E88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34°58'15.60"N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04F52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128°41'58.23"E</w:t>
            </w:r>
          </w:p>
        </w:tc>
      </w:tr>
      <w:tr w:rsidR="003D6878" w:rsidRPr="00E1055E" w14:paraId="1FC1E9DD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5761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0E751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Sagok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6CB6C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34°53'59.00"N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69C2A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128°34'21.36"E</w:t>
            </w:r>
          </w:p>
        </w:tc>
      </w:tr>
      <w:tr w:rsidR="003D6878" w:rsidRPr="00E1055E" w14:paraId="69398531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5830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1534E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Hitdo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59933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34°37'50.46"N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3066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127°38'9.47"E</w:t>
            </w:r>
          </w:p>
        </w:tc>
      </w:tr>
      <w:tr w:rsidR="003D6878" w:rsidRPr="00E1055E" w14:paraId="664C71B4" w14:textId="77777777" w:rsidTr="00663C47">
        <w:trPr>
          <w:trHeight w:val="338"/>
        </w:trPr>
        <w:tc>
          <w:tcPr>
            <w:tcW w:w="19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9898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5D95C" w14:textId="77777777" w:rsidR="003D6878" w:rsidRPr="00E1055E" w:rsidRDefault="003D6878" w:rsidP="00663C47">
            <w:pPr>
              <w:wordWrap/>
              <w:spacing w:after="0" w:line="276" w:lineRule="auto"/>
              <w:ind w:firstLine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Baekya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0659B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34°37'11.95"N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6B437" w14:textId="77777777" w:rsidR="003D6878" w:rsidRPr="00E1055E" w:rsidRDefault="003D6878" w:rsidP="00663C47">
            <w:pPr>
              <w:spacing w:after="0" w:line="276" w:lineRule="auto"/>
              <w:ind w:firstLine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127°38'28.71"E</w:t>
            </w:r>
          </w:p>
        </w:tc>
      </w:tr>
    </w:tbl>
    <w:p w14:paraId="1DB2EA6C" w14:textId="77777777" w:rsidR="003D6878" w:rsidRDefault="003D6878" w:rsidP="003D68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D7F784" w14:textId="77777777" w:rsidR="003D6878" w:rsidRDefault="003D6878" w:rsidP="003D6878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D14A7B" w14:textId="249BFF47" w:rsidR="003D6878" w:rsidRDefault="003D6878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14:paraId="54F90549" w14:textId="2B5BCC87" w:rsidR="003F712E" w:rsidRPr="00E1055E" w:rsidRDefault="003F712E" w:rsidP="003F712E">
      <w:pPr>
        <w:spacing w:after="0" w:line="240" w:lineRule="auto"/>
        <w:ind w:left="960" w:hangingChars="400" w:hanging="9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5E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3D68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0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55E">
        <w:rPr>
          <w:rFonts w:ascii="Times New Roman" w:hAnsi="Times New Roman" w:cs="Times New Roman"/>
          <w:bCs/>
          <w:sz w:val="24"/>
          <w:szCs w:val="24"/>
        </w:rPr>
        <w:t xml:space="preserve">Detailed information on species name, GenBank accession number and relevant references for the 58 </w:t>
      </w:r>
      <w:r w:rsidRPr="00E1055E">
        <w:rPr>
          <w:rFonts w:ascii="Times New Roman" w:hAnsi="Times New Roman" w:cs="Times New Roman"/>
          <w:bCs/>
          <w:i/>
          <w:sz w:val="24"/>
          <w:szCs w:val="24"/>
        </w:rPr>
        <w:t>tuf</w:t>
      </w:r>
      <w:r w:rsidRPr="00E1055E">
        <w:rPr>
          <w:rFonts w:ascii="Times New Roman" w:hAnsi="Times New Roman" w:cs="Times New Roman"/>
          <w:bCs/>
          <w:sz w:val="24"/>
          <w:szCs w:val="24"/>
        </w:rPr>
        <w:t xml:space="preserve">A DNA sequences used for the molecular phylogenetic analyses for </w:t>
      </w:r>
      <w:r w:rsidRPr="00E1055E">
        <w:rPr>
          <w:rFonts w:ascii="Times New Roman" w:hAnsi="Times New Roman" w:cs="Times New Roman"/>
          <w:bCs/>
          <w:i/>
          <w:sz w:val="24"/>
          <w:szCs w:val="24"/>
        </w:rPr>
        <w:t>Ulva</w:t>
      </w:r>
      <w:r w:rsidRPr="00E1055E">
        <w:rPr>
          <w:rFonts w:ascii="Times New Roman" w:hAnsi="Times New Roman" w:cs="Times New Roman"/>
          <w:bCs/>
          <w:sz w:val="24"/>
          <w:szCs w:val="24"/>
        </w:rPr>
        <w:t xml:space="preserve"> species identification (Fig. 3, 4).</w:t>
      </w:r>
    </w:p>
    <w:tbl>
      <w:tblPr>
        <w:tblpPr w:leftFromText="142" w:rightFromText="142" w:vertAnchor="page" w:horzAnchor="margin" w:tblpY="3601"/>
        <w:tblW w:w="90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988"/>
        <w:gridCol w:w="2249"/>
        <w:gridCol w:w="1374"/>
        <w:gridCol w:w="988"/>
        <w:gridCol w:w="2162"/>
      </w:tblGrid>
      <w:tr w:rsidR="003F712E" w:rsidRPr="00E1055E" w14:paraId="2E79F987" w14:textId="77777777" w:rsidTr="003F712E">
        <w:trPr>
          <w:trHeight w:val="514"/>
        </w:trPr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C929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Species</w:t>
            </w:r>
          </w:p>
        </w:tc>
        <w:tc>
          <w:tcPr>
            <w:tcW w:w="98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0993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 xml:space="preserve">Accession no. </w:t>
            </w:r>
          </w:p>
        </w:tc>
        <w:tc>
          <w:tcPr>
            <w:tcW w:w="224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30EF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reference</w:t>
            </w:r>
          </w:p>
        </w:tc>
        <w:tc>
          <w:tcPr>
            <w:tcW w:w="137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25C8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Species</w:t>
            </w:r>
          </w:p>
        </w:tc>
        <w:tc>
          <w:tcPr>
            <w:tcW w:w="98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5248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Accession no.</w:t>
            </w:r>
          </w:p>
        </w:tc>
        <w:tc>
          <w:tcPr>
            <w:tcW w:w="216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7155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reference</w:t>
            </w:r>
          </w:p>
        </w:tc>
      </w:tr>
      <w:tr w:rsidR="003F712E" w:rsidRPr="00E1055E" w14:paraId="536AA17A" w14:textId="77777777" w:rsidTr="003F712E">
        <w:trPr>
          <w:trHeight w:val="273"/>
        </w:trPr>
        <w:tc>
          <w:tcPr>
            <w:tcW w:w="1317" w:type="dxa"/>
            <w:vMerge w:val="restar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8AE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ohnoi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B2F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JN029335</w:t>
            </w:r>
          </w:p>
        </w:tc>
        <w:tc>
          <w:tcPr>
            <w:tcW w:w="224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A73C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 xml:space="preserve">Kirkendale et al. (2013) 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8DFD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compressa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0956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HQ610290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F3BE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7F6D45B1" w14:textId="77777777" w:rsidTr="003F712E">
        <w:trPr>
          <w:trHeight w:val="231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CC1AFDE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4BCB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MK992043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906B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923C9E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C5975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MK992195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0B21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6937BFE6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E1784A0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7A23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MK992140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6195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7A6FE9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4353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MK992200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AEE6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70EF31E2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AC9D165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2C65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MK992173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ED4DD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A8E80B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ACBF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JN029292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F474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Kirkendale et al. (2013)</w:t>
            </w:r>
          </w:p>
        </w:tc>
      </w:tr>
      <w:tr w:rsidR="003F712E" w:rsidRPr="00E1055E" w14:paraId="72EA2938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3598DEF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6D3C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MK992157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75DD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81E8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howensis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812E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JN029312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384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Kirkendale et al. (2013)</w:t>
            </w:r>
          </w:p>
        </w:tc>
      </w:tr>
      <w:tr w:rsidR="003F712E" w:rsidRPr="00E1055E" w14:paraId="1EA76C49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C3C431B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71CB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MK992139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5F51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783C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intestinalis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7A47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JN029320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D392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Kirkendale et al. (2013)</w:t>
            </w:r>
          </w:p>
        </w:tc>
      </w:tr>
      <w:tr w:rsidR="003F712E" w:rsidRPr="00E1055E" w14:paraId="74E7854D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7F1E671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2403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MK992218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541A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B5C504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4209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AY454399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4121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O'Kelly et al. (2004)</w:t>
            </w:r>
          </w:p>
        </w:tc>
      </w:tr>
      <w:tr w:rsidR="003F712E" w:rsidRPr="00E1055E" w14:paraId="2DA994BB" w14:textId="77777777" w:rsidTr="003F712E">
        <w:trPr>
          <w:trHeight w:val="275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1BF9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lactuca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04EB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JN029306</w:t>
            </w:r>
          </w:p>
        </w:tc>
        <w:tc>
          <w:tcPr>
            <w:tcW w:w="224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7846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 xml:space="preserve">Kirkendale et al. ( 2013) 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EAA9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lobata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47BE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HQ610375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1A37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2E25E7DB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DBB84C0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0AA2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HQ610359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C129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26A9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arasakii</w:t>
            </w:r>
          </w:p>
          <w:p w14:paraId="5910427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231E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AB561079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276D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Matsumoto et al.( 2011)</w:t>
            </w:r>
          </w:p>
        </w:tc>
      </w:tr>
      <w:tr w:rsidR="003F712E" w:rsidRPr="00E1055E" w14:paraId="6F1F4DCD" w14:textId="77777777" w:rsidTr="003F712E">
        <w:trPr>
          <w:trHeight w:val="275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C768D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 xml:space="preserve">Ulva laetevirens 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(</w:t>
            </w: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U. rigida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CEFB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HQ610428</w:t>
            </w:r>
          </w:p>
        </w:tc>
        <w:tc>
          <w:tcPr>
            <w:tcW w:w="224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4258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3F9549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F000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MK992082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567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3E1587FB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EF89641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8FAE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HE600178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F429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Wolf et al. (2012)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9A9BA9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25F1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MK992103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6ADC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3D1D4246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B0E761C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E66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JN029325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54CF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 xml:space="preserve">Kirkendale et al. (2013) 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96A57A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71BE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72E7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02F81F86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6844B20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E05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MK992167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5620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E095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pertusa (=Ulva australis)</w:t>
            </w:r>
          </w:p>
          <w:p w14:paraId="72A86EE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42F4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MK992044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74F4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2A9C35AD" w14:textId="77777777" w:rsidTr="003F712E">
        <w:trPr>
          <w:trHeight w:val="275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DFFE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gigantea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FA29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HQ610297</w:t>
            </w:r>
          </w:p>
        </w:tc>
        <w:tc>
          <w:tcPr>
            <w:tcW w:w="2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DE2AD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EDD168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72BF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MK992080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F855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4E1095C5" w14:textId="77777777" w:rsidTr="003F712E">
        <w:trPr>
          <w:trHeight w:val="275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3EF1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californica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8E70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MK992051</w:t>
            </w:r>
          </w:p>
        </w:tc>
        <w:tc>
          <w:tcPr>
            <w:tcW w:w="224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D9ED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4C1F88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2745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MK992072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699A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2AFE8426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4E9010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9AC6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99C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0F57F5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E198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MK992045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76EB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2EABC853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120656C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F9BE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JN029283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BD0B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Kirkendale et al. (2013)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320652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9407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JN029265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B1CC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Kirkendale et al. (2013)</w:t>
            </w:r>
          </w:p>
        </w:tc>
      </w:tr>
      <w:tr w:rsidR="003F712E" w:rsidRPr="00E1055E" w14:paraId="5ACFDF6B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F30DD51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712A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KM255003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2E97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(2014)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43ED99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EDF3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HQ610379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662F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43E6ECF4" w14:textId="77777777" w:rsidTr="003F712E">
        <w:trPr>
          <w:trHeight w:val="399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3BAFA76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784F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HQ610279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4DA8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E19032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858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KF195528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BB8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Lawton et al. (2013)</w:t>
            </w:r>
          </w:p>
        </w:tc>
      </w:tr>
      <w:tr w:rsidR="003F712E" w:rsidRPr="00E1055E" w14:paraId="77FB1E68" w14:textId="77777777" w:rsidTr="003F712E">
        <w:trPr>
          <w:trHeight w:val="275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D2E6D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torta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AC0A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HQ610437</w:t>
            </w:r>
          </w:p>
        </w:tc>
        <w:tc>
          <w:tcPr>
            <w:tcW w:w="224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D6AD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9497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Bliadingia sp.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5636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MK992087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25CB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645E8D4B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7CA84BF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3951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MK992135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570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960F1D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EC37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HQ610240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EB18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3437D7C0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A5F67FD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5246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MK992178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29F4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4ECB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stenophylla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9E95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HQ610434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AAC1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2E83A58C" w14:textId="77777777" w:rsidTr="003F712E">
        <w:trPr>
          <w:trHeight w:val="275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CB6D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procera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F61F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F523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2AD9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prolifera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82C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EF595334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6CBC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Rinkel et al. (2012)</w:t>
            </w:r>
          </w:p>
        </w:tc>
      </w:tr>
      <w:tr w:rsidR="003F712E" w:rsidRPr="00E1055E" w14:paraId="5A6436F8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B72BE0F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202E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MK992088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5BC9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FFB6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linza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CEB32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HQ610368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7C74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</w:tr>
      <w:tr w:rsidR="003F712E" w:rsidRPr="00E1055E" w14:paraId="22157E2F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9DBBEF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929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8AC96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1D3A1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>Ulva flexuosa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098D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MK992051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513C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4D1DB8F8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D969B54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1BF95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MK992108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F775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88237FF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B00F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1AB1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31152CCA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4DE8AD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3DB8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MK992067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8FFF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F81BC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i/>
                <w:iCs/>
                <w:color w:val="000000"/>
                <w:spacing w:val="10"/>
                <w:kern w:val="0"/>
                <w:position w:val="3"/>
                <w:sz w:val="16"/>
                <w:szCs w:val="16"/>
              </w:rPr>
              <w:t xml:space="preserve">Ulva </w:t>
            </w: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sp.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10A8B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MK992131</w:t>
            </w:r>
          </w:p>
        </w:tc>
        <w:tc>
          <w:tcPr>
            <w:tcW w:w="21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E836F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729D5993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6417C7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0F154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HQ610393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6FAA8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Saunders and Kucera (2010)</w:t>
            </w:r>
          </w:p>
        </w:tc>
        <w:tc>
          <w:tcPr>
            <w:tcW w:w="1374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5AAE262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C443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MK992193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4FF27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  <w:tr w:rsidR="003F712E" w:rsidRPr="00E1055E" w14:paraId="3A7CA5AD" w14:textId="77777777" w:rsidTr="003F712E">
        <w:trPr>
          <w:trHeight w:val="275"/>
        </w:trPr>
        <w:tc>
          <w:tcPr>
            <w:tcW w:w="1317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9825783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400D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MK992117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170E0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  <w:tc>
          <w:tcPr>
            <w:tcW w:w="1374" w:type="dxa"/>
            <w:vMerge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D43EBB" w14:textId="77777777" w:rsidR="003F712E" w:rsidRPr="00E1055E" w:rsidRDefault="003F712E" w:rsidP="003F71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7616E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3"/>
                <w:sz w:val="16"/>
                <w:szCs w:val="16"/>
              </w:rPr>
              <w:t>MK992144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1761A" w14:textId="77777777" w:rsidR="003F712E" w:rsidRPr="00E1055E" w:rsidRDefault="003F712E" w:rsidP="003F71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  <w:r w:rsidRPr="00E1055E">
              <w:rPr>
                <w:rFonts w:ascii="Times New Roman" w:eastAsia="한양중고딕" w:hAnsi="Times New Roman" w:cs="Times New Roman"/>
                <w:color w:val="000000"/>
                <w:spacing w:val="10"/>
                <w:kern w:val="0"/>
                <w:position w:val="2"/>
                <w:sz w:val="16"/>
                <w:szCs w:val="16"/>
              </w:rPr>
              <w:t>Kang et al. (2019)</w:t>
            </w:r>
          </w:p>
        </w:tc>
      </w:tr>
    </w:tbl>
    <w:p w14:paraId="5AECBCB5" w14:textId="77777777" w:rsidR="003F712E" w:rsidRDefault="003F712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471043F2" w14:textId="77777777" w:rsidR="003F712E" w:rsidRDefault="003F712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0B6CBC" w14:textId="7BC23201" w:rsidR="00E1055E" w:rsidRPr="00E1055E" w:rsidRDefault="00E1055E" w:rsidP="00E1055E">
      <w:pPr>
        <w:pStyle w:val="a3"/>
        <w:spacing w:after="288"/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 w:rsidRPr="00E1055E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3D6878">
        <w:rPr>
          <w:rFonts w:ascii="Times New Roman" w:hAnsi="Times New Roman" w:cs="Times New Roman"/>
          <w:b/>
          <w:sz w:val="24"/>
          <w:szCs w:val="24"/>
        </w:rPr>
        <w:t>4</w:t>
      </w:r>
      <w:r w:rsidRPr="00D65E55">
        <w:rPr>
          <w:rFonts w:ascii="Times New Roman" w:hAnsi="Times New Roman" w:cs="Times New Roman"/>
          <w:sz w:val="24"/>
          <w:szCs w:val="24"/>
        </w:rPr>
        <w:t xml:space="preserve"> </w:t>
      </w:r>
      <w:r w:rsidRPr="00E1055E">
        <w:rPr>
          <w:rFonts w:ascii="Times New Roman" w:hAnsi="Times New Roman" w:cs="Times New Roman"/>
          <w:sz w:val="24"/>
          <w:szCs w:val="24"/>
        </w:rPr>
        <w:t xml:space="preserve">Results of partition by ABGD analyses for </w:t>
      </w:r>
      <w:r w:rsidRPr="00E1055E">
        <w:rPr>
          <w:rFonts w:ascii="Times New Roman" w:hAnsi="Times New Roman" w:cs="Times New Roman"/>
          <w:i/>
          <w:sz w:val="24"/>
          <w:szCs w:val="24"/>
        </w:rPr>
        <w:t>tuf</w:t>
      </w:r>
      <w:r w:rsidRPr="00E1055E">
        <w:rPr>
          <w:rFonts w:ascii="Times New Roman" w:hAnsi="Times New Roman" w:cs="Times New Roman"/>
          <w:sz w:val="24"/>
          <w:szCs w:val="24"/>
        </w:rPr>
        <w:t>A markers. P, Prior intraspecific divergence (P); IP, Initial partition; RP, Recursive partition; Ng, Number of groups of the full data set (Ng).</w:t>
      </w:r>
    </w:p>
    <w:tbl>
      <w:tblPr>
        <w:tblpPr w:leftFromText="142" w:rightFromText="142" w:vertAnchor="page" w:horzAnchor="margin" w:tblpXSpec="center" w:tblpY="343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542"/>
        <w:gridCol w:w="547"/>
        <w:gridCol w:w="542"/>
        <w:gridCol w:w="547"/>
        <w:gridCol w:w="542"/>
        <w:gridCol w:w="548"/>
        <w:gridCol w:w="543"/>
        <w:gridCol w:w="547"/>
        <w:gridCol w:w="542"/>
        <w:gridCol w:w="547"/>
        <w:gridCol w:w="542"/>
        <w:gridCol w:w="547"/>
      </w:tblGrid>
      <w:tr w:rsidR="00E1055E" w:rsidRPr="00E1055E" w14:paraId="470E42C8" w14:textId="77777777" w:rsidTr="00E1055E">
        <w:trPr>
          <w:trHeight w:val="416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74FA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Population</w:t>
            </w:r>
          </w:p>
        </w:tc>
        <w:tc>
          <w:tcPr>
            <w:tcW w:w="326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6731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Jeju Island</w:t>
            </w:r>
          </w:p>
        </w:tc>
        <w:tc>
          <w:tcPr>
            <w:tcW w:w="326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AC5A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South Sea</w:t>
            </w:r>
          </w:p>
        </w:tc>
      </w:tr>
      <w:tr w:rsidR="00E1055E" w:rsidRPr="00E1055E" w14:paraId="7D06FD6F" w14:textId="77777777" w:rsidTr="00E1055E">
        <w:trPr>
          <w:trHeight w:val="416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4D0B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Locus</w:t>
            </w:r>
          </w:p>
        </w:tc>
        <w:tc>
          <w:tcPr>
            <w:tcW w:w="326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6EE9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tuf</w:t>
            </w: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A</w:t>
            </w:r>
          </w:p>
        </w:tc>
        <w:tc>
          <w:tcPr>
            <w:tcW w:w="326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B097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tuf</w:t>
            </w: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A</w:t>
            </w:r>
          </w:p>
        </w:tc>
      </w:tr>
      <w:tr w:rsidR="00E1055E" w:rsidRPr="00E1055E" w14:paraId="634E175D" w14:textId="77777777" w:rsidTr="00E1055E">
        <w:trPr>
          <w:trHeight w:val="416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5780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relative gap width (X)</w:t>
            </w:r>
          </w:p>
        </w:tc>
        <w:tc>
          <w:tcPr>
            <w:tcW w:w="10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B2D6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X=1.0</w:t>
            </w:r>
          </w:p>
        </w:tc>
        <w:tc>
          <w:tcPr>
            <w:tcW w:w="10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A192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X=1.5</w:t>
            </w:r>
          </w:p>
        </w:tc>
        <w:tc>
          <w:tcPr>
            <w:tcW w:w="1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4628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X=2.0</w:t>
            </w:r>
          </w:p>
        </w:tc>
        <w:tc>
          <w:tcPr>
            <w:tcW w:w="1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5DCE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X=1.0</w:t>
            </w:r>
          </w:p>
        </w:tc>
        <w:tc>
          <w:tcPr>
            <w:tcW w:w="10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8FC7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X=1.5</w:t>
            </w:r>
          </w:p>
        </w:tc>
        <w:tc>
          <w:tcPr>
            <w:tcW w:w="10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A139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X=2.0</w:t>
            </w:r>
          </w:p>
        </w:tc>
      </w:tr>
      <w:tr w:rsidR="00E1055E" w:rsidRPr="00E1055E" w14:paraId="158EBD9C" w14:textId="77777777" w:rsidTr="00E1055E">
        <w:trPr>
          <w:trHeight w:val="617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33BA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Prior intraspecific divergence (P)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3581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76AE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E20F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3DB9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C996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60B4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BEDE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360F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C6CC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ED5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242E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IP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C798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i/>
                <w:iCs/>
                <w:color w:val="000000"/>
                <w:kern w:val="0"/>
                <w:szCs w:val="20"/>
              </w:rPr>
              <w:t>RP</w:t>
            </w:r>
          </w:p>
        </w:tc>
      </w:tr>
      <w:tr w:rsidR="00E1055E" w:rsidRPr="00E1055E" w14:paraId="12C7F174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CB88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0.0010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EF47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6787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930C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0DBD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EC4F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7D76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E8A4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C21D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BAC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8630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C6A2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1F74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</w:tr>
      <w:tr w:rsidR="00E1055E" w:rsidRPr="00E1055E" w14:paraId="3478798F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6AB7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0.0017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C89D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FB00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0D09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FE93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603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FDBE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FB4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C45F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3CBE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2FE5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5299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B1E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</w:tr>
      <w:tr w:rsidR="00E1055E" w:rsidRPr="00E1055E" w14:paraId="3933CE4E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C401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0.0028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35D5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9CA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048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F19B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A7DC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86EF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101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4F13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6AC2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7914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D890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F379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19</w:t>
            </w:r>
          </w:p>
        </w:tc>
      </w:tr>
      <w:tr w:rsidR="00E1055E" w:rsidRPr="00E1055E" w14:paraId="3C2D05A9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E604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0.0046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F4FE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8B31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B94D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858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5385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FD58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E4C3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DD29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495B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0636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30D3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DB3F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</w:tr>
      <w:tr w:rsidR="00E1055E" w:rsidRPr="00E1055E" w14:paraId="0E428B68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EE77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0.0077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23CC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2B73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BD52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C418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9EEF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26D2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233B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6659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5477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2D39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BB59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195F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E1055E" w:rsidRPr="00E1055E" w14:paraId="2EEE60B5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ADF7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0.0129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C758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6BCC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5D3B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26F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8D71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E69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A5EF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AB4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E84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3DBC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48ED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94EB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E1055E" w:rsidRPr="00E1055E" w14:paraId="6A43B768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D48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0.0215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4F6A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87CA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2EDC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8E6B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7411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8BD9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E001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E9C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FBD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2A31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0A2FF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9DA9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E1055E" w:rsidRPr="00E1055E" w14:paraId="5A541965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007F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0.0359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74B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E4BD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0D83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29C2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D619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3E3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CC83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923A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A3A79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22E9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3242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E2A2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E1055E" w:rsidRPr="00E1055E" w14:paraId="7CEA602E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F21D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0.0599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303E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8E4D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1F7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6BD2C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4098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DE03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ED6E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61AC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2D9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BAF3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E6A6A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52147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E1055E" w:rsidRPr="00E1055E" w14:paraId="6726FB3E" w14:textId="77777777" w:rsidTr="00E1055E">
        <w:trPr>
          <w:trHeight w:val="340"/>
        </w:trPr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8B82D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 xml:space="preserve">0.1000 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E6CB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7910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70B9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4833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A82E8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D0BBE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75D3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D1EF5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967DB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2802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59A56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EA544" w14:textId="77777777" w:rsidR="00E1055E" w:rsidRPr="00E1055E" w:rsidRDefault="00E1055E" w:rsidP="00E1055E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1055E"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  <w:t>-</w:t>
            </w:r>
          </w:p>
        </w:tc>
      </w:tr>
    </w:tbl>
    <w:p w14:paraId="5D8155AF" w14:textId="77777777" w:rsidR="00E1055E" w:rsidRPr="00E1055E" w:rsidRDefault="00E1055E" w:rsidP="00E1055E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5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5C10473" w14:textId="64053DD5" w:rsidR="00E1055E" w:rsidRDefault="00E1055E" w:rsidP="00E1055E">
      <w:pPr>
        <w:pStyle w:val="a3"/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3D6878">
        <w:rPr>
          <w:rFonts w:ascii="Times New Roman" w:hAnsi="Times New Roman" w:cs="Times New Roman"/>
          <w:b/>
          <w:sz w:val="24"/>
          <w:szCs w:val="24"/>
        </w:rPr>
        <w:t>5</w:t>
      </w:r>
      <w:r w:rsidRPr="00E1055E">
        <w:rPr>
          <w:rFonts w:ascii="Times New Roman" w:hAnsi="Times New Roman" w:cs="Times New Roman"/>
          <w:sz w:val="24"/>
          <w:szCs w:val="24"/>
        </w:rPr>
        <w:t xml:space="preserve"> Seasonal variation in </w:t>
      </w:r>
      <w:r w:rsidRPr="00E1055E">
        <w:rPr>
          <w:rFonts w:ascii="Times New Roman" w:hAnsi="Times New Roman" w:cs="Times New Roman"/>
          <w:i/>
          <w:sz w:val="24"/>
          <w:szCs w:val="24"/>
        </w:rPr>
        <w:t>Ulva</w:t>
      </w:r>
      <w:r w:rsidRPr="00E1055E">
        <w:rPr>
          <w:rFonts w:ascii="Times New Roman" w:hAnsi="Times New Roman" w:cs="Times New Roman"/>
          <w:sz w:val="24"/>
          <w:szCs w:val="24"/>
        </w:rPr>
        <w:t xml:space="preserve"> community structure of Jeju Island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2" w:rightFromText="142" w:vertAnchor="page" w:horzAnchor="margin" w:tblpY="250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224"/>
        <w:gridCol w:w="1224"/>
        <w:gridCol w:w="1224"/>
        <w:gridCol w:w="1224"/>
      </w:tblGrid>
      <w:tr w:rsidR="00E1055E" w:rsidRPr="00E1055E" w14:paraId="18ABA7A7" w14:textId="77777777" w:rsidTr="00E1055E">
        <w:trPr>
          <w:trHeight w:val="340"/>
        </w:trPr>
        <w:tc>
          <w:tcPr>
            <w:tcW w:w="266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7C8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Species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93AB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2019.11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DDD1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2020.05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6883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2020.07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4011E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2021.02</w:t>
            </w:r>
          </w:p>
        </w:tc>
      </w:tr>
      <w:tr w:rsidR="00E1055E" w:rsidRPr="00E1055E" w14:paraId="3C353AAA" w14:textId="77777777" w:rsidTr="00E1055E">
        <w:trPr>
          <w:trHeight w:val="340"/>
        </w:trPr>
        <w:tc>
          <w:tcPr>
            <w:tcW w:w="26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B7DA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U. australis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(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pertusa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003D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6.40 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F8A2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36.18 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8FA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37.71 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6DE9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31.25 </w:t>
            </w:r>
          </w:p>
        </w:tc>
      </w:tr>
      <w:tr w:rsidR="00E1055E" w:rsidRPr="00E1055E" w14:paraId="5B07BB98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86B5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ohnoi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BC64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59.20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3209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36.84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5DF3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45.71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0A28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35.00 </w:t>
            </w:r>
          </w:p>
        </w:tc>
      </w:tr>
      <w:tr w:rsidR="00E1055E" w:rsidRPr="00E1055E" w14:paraId="071530CD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8E4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lactuca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3D41F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28.00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D934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8324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2.86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CE68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</w:tr>
      <w:tr w:rsidR="00E1055E" w:rsidRPr="00E1055E" w14:paraId="50AB08A3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DD4D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californica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AB73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1.60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45A0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11.18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F9C3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2.86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978C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4.38 </w:t>
            </w:r>
          </w:p>
        </w:tc>
      </w:tr>
      <w:tr w:rsidR="00E1055E" w:rsidRPr="00E1055E" w14:paraId="733654ED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744B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U. laetevirens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(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rigida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)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3B86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55F4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9.87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4A17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6.29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37CC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2.50 </w:t>
            </w:r>
          </w:p>
        </w:tc>
      </w:tr>
      <w:tr w:rsidR="00E1055E" w:rsidRPr="00E1055E" w14:paraId="216085CE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ED4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bookmarkStart w:id="0" w:name="OLE_LINK2"/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U. flexuosa </w:t>
            </w:r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927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0.80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578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1.32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47B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1.71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FCC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3.75 </w:t>
            </w:r>
          </w:p>
        </w:tc>
      </w:tr>
      <w:tr w:rsidR="00E1055E" w:rsidRPr="00E1055E" w14:paraId="68ACB3F5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F5D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bookmarkStart w:id="1" w:name="OLE_LINK3"/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arasakii</w:t>
            </w:r>
            <w:bookmarkEnd w:id="1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45C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41AF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1.32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8E3F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DF2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</w:tr>
      <w:tr w:rsidR="00E1055E" w:rsidRPr="00E1055E" w14:paraId="1EA9D348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A13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bookmarkStart w:id="2" w:name="OLE_LINK4"/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compressa</w:t>
            </w:r>
            <w:bookmarkEnd w:id="2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5AF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F1C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1C2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1.71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572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2.50 </w:t>
            </w:r>
          </w:p>
        </w:tc>
      </w:tr>
      <w:tr w:rsidR="00E1055E" w:rsidRPr="00E1055E" w14:paraId="67849281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2FA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bookmarkStart w:id="3" w:name="OLE_LINK5"/>
            <w:r w:rsidRPr="00E1055E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</w:rPr>
              <w:t>LPP sp. 1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 (U. procera)</w:t>
            </w:r>
            <w:bookmarkEnd w:id="3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B98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3.20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B81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1.97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707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0.57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7A1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12.50 </w:t>
            </w:r>
          </w:p>
        </w:tc>
      </w:tr>
      <w:tr w:rsidR="00E1055E" w:rsidRPr="00E1055E" w14:paraId="0FA40309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54A0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LPP sp. 2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(</w:t>
            </w: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U. prolifera</w:t>
            </w:r>
            <w:r w:rsidRPr="00E1055E" w:rsidDel="00247422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5253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082F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C55F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A5BE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</w:tr>
      <w:tr w:rsidR="00E1055E" w:rsidRPr="00E1055E" w14:paraId="42AC41A8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5358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unidentified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2696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2A8E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1.32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666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0.57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B91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3.13 </w:t>
            </w:r>
          </w:p>
        </w:tc>
      </w:tr>
      <w:tr w:rsidR="00E1055E" w:rsidRPr="00E1055E" w14:paraId="19E1C34D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F9A8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Blidingia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sp.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723D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0.80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725A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B7D9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A7A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4.38 </w:t>
            </w:r>
          </w:p>
        </w:tc>
      </w:tr>
      <w:tr w:rsidR="00E1055E" w:rsidRPr="00E1055E" w14:paraId="76A6EE23" w14:textId="77777777" w:rsidTr="00E1055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E258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Gayralia </w:t>
            </w: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sp.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2B3F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ED13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DE81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D15B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 xml:space="preserve">0.63 </w:t>
            </w:r>
          </w:p>
        </w:tc>
      </w:tr>
    </w:tbl>
    <w:p w14:paraId="7D0A9AB0" w14:textId="77777777" w:rsidR="00E1055E" w:rsidRDefault="00E1055E" w:rsidP="00E1055E">
      <w:pPr>
        <w:pStyle w:val="a3"/>
        <w:ind w:left="960" w:hangingChars="400" w:hanging="960"/>
        <w:rPr>
          <w:rFonts w:ascii="Times New Roman" w:hAnsi="Times New Roman" w:cs="Times New Roman"/>
          <w:b/>
          <w:sz w:val="24"/>
          <w:szCs w:val="24"/>
        </w:rPr>
      </w:pPr>
    </w:p>
    <w:p w14:paraId="1ADD5A62" w14:textId="77777777" w:rsidR="00E1055E" w:rsidRDefault="00E1055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E1329A" w14:textId="3821FCC1" w:rsidR="00E1055E" w:rsidRDefault="00E1055E" w:rsidP="00E1055E">
      <w:pPr>
        <w:pStyle w:val="a3"/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 w:rsidRPr="00E1055E">
        <w:rPr>
          <w:rFonts w:ascii="Times New Roman" w:hAnsi="Times New Roman" w:cs="Times New Roman"/>
          <w:b/>
          <w:sz w:val="24"/>
          <w:szCs w:val="24"/>
        </w:rPr>
        <w:t>Tab</w:t>
      </w:r>
      <w:r>
        <w:rPr>
          <w:rFonts w:ascii="Times New Roman" w:hAnsi="Times New Roman" w:cs="Times New Roman"/>
          <w:b/>
          <w:sz w:val="24"/>
          <w:szCs w:val="24"/>
        </w:rPr>
        <w:t>le S</w:t>
      </w:r>
      <w:r w:rsidR="003D6878">
        <w:rPr>
          <w:rFonts w:ascii="Times New Roman" w:hAnsi="Times New Roman" w:cs="Times New Roman"/>
          <w:b/>
          <w:sz w:val="24"/>
          <w:szCs w:val="24"/>
        </w:rPr>
        <w:t>6</w:t>
      </w:r>
      <w:r w:rsidRPr="00E10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55E">
        <w:rPr>
          <w:rFonts w:ascii="Times New Roman" w:hAnsi="Times New Roman" w:cs="Times New Roman"/>
          <w:sz w:val="24"/>
          <w:szCs w:val="24"/>
        </w:rPr>
        <w:t xml:space="preserve">Seasonal variation in </w:t>
      </w:r>
      <w:r w:rsidRPr="00E1055E">
        <w:rPr>
          <w:rFonts w:ascii="Times New Roman" w:hAnsi="Times New Roman" w:cs="Times New Roman"/>
          <w:i/>
          <w:sz w:val="24"/>
          <w:szCs w:val="24"/>
        </w:rPr>
        <w:t>Ulva</w:t>
      </w:r>
      <w:r w:rsidRPr="00E1055E">
        <w:rPr>
          <w:rFonts w:ascii="Times New Roman" w:hAnsi="Times New Roman" w:cs="Times New Roman"/>
          <w:sz w:val="24"/>
          <w:szCs w:val="24"/>
        </w:rPr>
        <w:t xml:space="preserve"> community structure of the South Sea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2" w:rightFromText="142" w:vertAnchor="page" w:horzAnchor="margin" w:tblpY="235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154"/>
        <w:gridCol w:w="1154"/>
        <w:gridCol w:w="1154"/>
        <w:gridCol w:w="1154"/>
      </w:tblGrid>
      <w:tr w:rsidR="00E1055E" w:rsidRPr="00E1055E" w14:paraId="6DFB502A" w14:textId="77777777" w:rsidTr="00E1055E">
        <w:trPr>
          <w:trHeight w:val="417"/>
        </w:trPr>
        <w:tc>
          <w:tcPr>
            <w:tcW w:w="292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EFEF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  <w:t>Species</w:t>
            </w:r>
          </w:p>
        </w:tc>
        <w:tc>
          <w:tcPr>
            <w:tcW w:w="115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8D68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  <w:t>2021.01</w:t>
            </w:r>
          </w:p>
        </w:tc>
        <w:tc>
          <w:tcPr>
            <w:tcW w:w="115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9B4E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  <w:t>2021.04</w:t>
            </w:r>
          </w:p>
        </w:tc>
        <w:tc>
          <w:tcPr>
            <w:tcW w:w="115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D076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  <w:t>2021.06</w:t>
            </w:r>
          </w:p>
        </w:tc>
        <w:tc>
          <w:tcPr>
            <w:tcW w:w="115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22D2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  <w:t>2021.10</w:t>
            </w:r>
          </w:p>
        </w:tc>
      </w:tr>
      <w:tr w:rsidR="00E1055E" w:rsidRPr="00E1055E" w14:paraId="7CC4615F" w14:textId="77777777" w:rsidTr="00E1055E">
        <w:trPr>
          <w:trHeight w:val="356"/>
        </w:trPr>
        <w:tc>
          <w:tcPr>
            <w:tcW w:w="29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F460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pertusa</w:t>
            </w: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 (=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australis</w:t>
            </w: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E749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41.86</w:t>
            </w: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C0DA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31.09</w:t>
            </w: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504CE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45.05</w:t>
            </w: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628B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15.52</w:t>
            </w:r>
          </w:p>
        </w:tc>
      </w:tr>
      <w:tr w:rsidR="00E1055E" w:rsidRPr="00E1055E" w14:paraId="3B6C6DAC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86D8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ohnoi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DA83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1.16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BCC6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3.36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832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1.10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F2CF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43.10 </w:t>
            </w:r>
          </w:p>
        </w:tc>
      </w:tr>
      <w:tr w:rsidR="00E1055E" w:rsidRPr="00E1055E" w14:paraId="765C0915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841F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lactuca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687F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6778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398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C3FE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12.07 </w:t>
            </w:r>
          </w:p>
        </w:tc>
      </w:tr>
      <w:tr w:rsidR="00E1055E" w:rsidRPr="00E1055E" w14:paraId="5192309D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5631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californica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82C5E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4.65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B146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2.52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9750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5.49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B525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10.34 </w:t>
            </w:r>
          </w:p>
        </w:tc>
      </w:tr>
      <w:tr w:rsidR="00E1055E" w:rsidRPr="00E1055E" w14:paraId="0FA859F6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FD79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U. laetevirens </w:t>
            </w: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(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rigida</w:t>
            </w: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)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FA76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4.65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626E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12.61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F823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4.40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3ACC8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6.90 </w:t>
            </w:r>
          </w:p>
        </w:tc>
      </w:tr>
      <w:tr w:rsidR="00E1055E" w:rsidRPr="00E1055E" w14:paraId="7E6BBA47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FC0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U. flexuosa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3AD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EB1B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2.52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34D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13.19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E14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3.45 </w:t>
            </w:r>
          </w:p>
        </w:tc>
      </w:tr>
      <w:tr w:rsidR="00E1055E" w:rsidRPr="00E1055E" w14:paraId="72F970D9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281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arasakii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A171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3.49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254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0.84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A5C2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D27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</w:tr>
      <w:tr w:rsidR="00E1055E" w:rsidRPr="00E1055E" w14:paraId="7C9F7C79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246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U. compressa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48B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E21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5.88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29A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C65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</w:tr>
      <w:tr w:rsidR="00E1055E" w:rsidRPr="00E1055E" w14:paraId="23ECCD19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26BF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8"/>
              </w:rPr>
              <w:t>LPP sp. 1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 (U. procera)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195F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43.02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1CE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37.82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265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7.69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33B7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</w:tr>
      <w:tr w:rsidR="00E1055E" w:rsidRPr="00E1055E" w14:paraId="272174CB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F4D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8"/>
              </w:rPr>
              <w:t>LPP sp. 2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 (U. prolifera 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20E95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65D9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1.68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1668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77934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</w:tr>
      <w:tr w:rsidR="00E1055E" w:rsidRPr="00E1055E" w14:paraId="2639AF2E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A4C5D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unidentified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0639A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9E049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1.68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E4C73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23.08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7C266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8.62 </w:t>
            </w:r>
          </w:p>
        </w:tc>
      </w:tr>
      <w:tr w:rsidR="00E1055E" w:rsidRPr="00E1055E" w14:paraId="05AD904D" w14:textId="77777777" w:rsidTr="00E1055E">
        <w:trPr>
          <w:trHeight w:val="356"/>
        </w:trPr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22F5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 xml:space="preserve">Blidingia </w:t>
            </w: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sp</w:t>
            </w:r>
            <w:r w:rsidRPr="00E1055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8"/>
              </w:rPr>
              <w:t>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DBB0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1.16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BA58C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CEB0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262E" w14:textId="77777777" w:rsidR="00E1055E" w:rsidRPr="00E1055E" w:rsidRDefault="00E1055E" w:rsidP="00E1055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E1055E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 xml:space="preserve">0.00 </w:t>
            </w:r>
          </w:p>
        </w:tc>
      </w:tr>
    </w:tbl>
    <w:p w14:paraId="6E85886D" w14:textId="77777777" w:rsidR="00E1055E" w:rsidRDefault="00E1055E" w:rsidP="00E105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CFAF1E" w14:textId="77777777" w:rsidR="00E1055E" w:rsidRDefault="00E1055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64864" w14:textId="77777777" w:rsidR="00010264" w:rsidRPr="00010264" w:rsidRDefault="00010264" w:rsidP="00010264">
      <w:pPr>
        <w:snapToGrid w:val="0"/>
        <w:spacing w:line="360" w:lineRule="auto"/>
        <w:rPr>
          <w:rFonts w:ascii="Times New Roman" w:eastAsia="맑은 고딕" w:hAnsi="Times New Roman"/>
          <w:b/>
          <w:color w:val="000000" w:themeColor="text1"/>
          <w:sz w:val="24"/>
          <w:szCs w:val="24"/>
        </w:rPr>
      </w:pPr>
      <w:r w:rsidRPr="00010264">
        <w:rPr>
          <w:rFonts w:ascii="Times New Roman" w:eastAsia="맑은 고딕" w:hAnsi="Times New Roman"/>
          <w:b/>
          <w:color w:val="000000" w:themeColor="text1"/>
          <w:sz w:val="24"/>
          <w:szCs w:val="24"/>
        </w:rPr>
        <w:t>Supplementary Fig</w:t>
      </w:r>
      <w:r w:rsidRPr="00010264">
        <w:rPr>
          <w:rFonts w:ascii="Times New Roman" w:eastAsia="맑은 고딕" w:hAnsi="Times New Roman" w:hint="eastAsia"/>
          <w:b/>
          <w:color w:val="000000" w:themeColor="text1"/>
          <w:sz w:val="24"/>
          <w:szCs w:val="24"/>
        </w:rPr>
        <w:t>ures</w:t>
      </w:r>
    </w:p>
    <w:p w14:paraId="0C13D1BD" w14:textId="076BAC83" w:rsidR="00010264" w:rsidRPr="00010264" w:rsidRDefault="00010264" w:rsidP="00010264">
      <w:pPr>
        <w:rPr>
          <w:b/>
          <w:bCs/>
          <w:szCs w:val="20"/>
        </w:rPr>
      </w:pPr>
      <w:r w:rsidRPr="00010264">
        <w:rPr>
          <w:b/>
          <w:bCs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80A3E01" wp14:editId="2BF97FE9">
            <wp:simplePos x="0" y="0"/>
            <wp:positionH relativeFrom="margin">
              <wp:posOffset>241300</wp:posOffset>
            </wp:positionH>
            <wp:positionV relativeFrom="paragraph">
              <wp:posOffset>1412875</wp:posOffset>
            </wp:positionV>
            <wp:extent cx="4857750" cy="7536440"/>
            <wp:effectExtent l="0" t="0" r="0" b="762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전체tre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53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78">
        <w:rPr>
          <w:rFonts w:ascii="Times New Roman" w:hAnsi="Times New Roman" w:cs="Times New Roman"/>
          <w:b/>
          <w:bCs/>
          <w:sz w:val="24"/>
          <w:szCs w:val="20"/>
        </w:rPr>
        <w:t>Figure S</w:t>
      </w:r>
      <w:r w:rsidRPr="00010264">
        <w:rPr>
          <w:rFonts w:ascii="Times New Roman" w:hAnsi="Times New Roman" w:cs="Times New Roman"/>
          <w:b/>
          <w:bCs/>
          <w:sz w:val="24"/>
          <w:szCs w:val="20"/>
        </w:rPr>
        <w:fldChar w:fldCharType="begin"/>
      </w:r>
      <w:r w:rsidRPr="00010264">
        <w:rPr>
          <w:rFonts w:ascii="Times New Roman" w:hAnsi="Times New Roman" w:cs="Times New Roman"/>
          <w:b/>
          <w:bCs/>
          <w:sz w:val="24"/>
          <w:szCs w:val="20"/>
        </w:rPr>
        <w:instrText xml:space="preserve"> SEQ Figure_S \* ARABIC </w:instrText>
      </w:r>
      <w:r w:rsidRPr="00010264">
        <w:rPr>
          <w:rFonts w:ascii="Times New Roman" w:hAnsi="Times New Roman" w:cs="Times New Roman"/>
          <w:b/>
          <w:bCs/>
          <w:sz w:val="24"/>
          <w:szCs w:val="20"/>
        </w:rPr>
        <w:fldChar w:fldCharType="separate"/>
      </w:r>
      <w:r w:rsidRPr="00010264">
        <w:rPr>
          <w:rFonts w:ascii="Times New Roman" w:hAnsi="Times New Roman" w:cs="Times New Roman"/>
          <w:b/>
          <w:bCs/>
          <w:noProof/>
          <w:sz w:val="24"/>
          <w:szCs w:val="20"/>
        </w:rPr>
        <w:t>1</w:t>
      </w:r>
      <w:r w:rsidRPr="00010264">
        <w:rPr>
          <w:rFonts w:ascii="Times New Roman" w:hAnsi="Times New Roman" w:cs="Times New Roman"/>
          <w:b/>
          <w:bCs/>
          <w:sz w:val="24"/>
          <w:szCs w:val="20"/>
        </w:rPr>
        <w:fldChar w:fldCharType="end"/>
      </w:r>
      <w:r w:rsidRPr="00010264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010264">
        <w:rPr>
          <w:rFonts w:ascii="Times New Roman" w:hAnsi="Times New Roman" w:cs="Times New Roman"/>
          <w:bCs/>
          <w:sz w:val="24"/>
          <w:szCs w:val="24"/>
        </w:rPr>
        <w:t xml:space="preserve">Neighbor-joining (NJ) phylogeny based on 1,023 </w:t>
      </w:r>
      <w:r w:rsidRPr="00010264">
        <w:rPr>
          <w:rFonts w:ascii="Times New Roman" w:hAnsi="Times New Roman" w:cs="Times New Roman"/>
          <w:bCs/>
          <w:i/>
          <w:sz w:val="24"/>
          <w:szCs w:val="24"/>
        </w:rPr>
        <w:t>tuf</w:t>
      </w:r>
      <w:r w:rsidRPr="00010264">
        <w:rPr>
          <w:rFonts w:ascii="Times New Roman" w:hAnsi="Times New Roman" w:cs="Times New Roman"/>
          <w:bCs/>
          <w:sz w:val="24"/>
          <w:szCs w:val="24"/>
        </w:rPr>
        <w:t xml:space="preserve">A sequences (966 specimens from Jeju Island and the South Sea combined, plus 55 previously determined haplotype sequences and two unidentified haplotypes) of </w:t>
      </w:r>
      <w:r w:rsidRPr="00010264">
        <w:rPr>
          <w:rFonts w:ascii="Times New Roman" w:hAnsi="Times New Roman" w:cs="Times New Roman"/>
          <w:bCs/>
          <w:i/>
          <w:sz w:val="24"/>
          <w:szCs w:val="24"/>
        </w:rPr>
        <w:t>Ulva</w:t>
      </w:r>
      <w:r w:rsidRPr="00010264">
        <w:rPr>
          <w:rFonts w:ascii="Times New Roman" w:hAnsi="Times New Roman" w:cs="Times New Roman"/>
          <w:bCs/>
          <w:sz w:val="24"/>
          <w:szCs w:val="24"/>
        </w:rPr>
        <w:t xml:space="preserve">, with two sequences of </w:t>
      </w:r>
      <w:r w:rsidRPr="00010264">
        <w:rPr>
          <w:rFonts w:ascii="Times New Roman" w:hAnsi="Times New Roman" w:cs="Times New Roman"/>
          <w:bCs/>
          <w:i/>
          <w:sz w:val="24"/>
          <w:szCs w:val="24"/>
        </w:rPr>
        <w:t>Blidingia</w:t>
      </w:r>
      <w:r w:rsidRPr="00010264">
        <w:rPr>
          <w:rFonts w:ascii="Times New Roman" w:hAnsi="Times New Roman" w:cs="Times New Roman"/>
          <w:bCs/>
          <w:sz w:val="24"/>
          <w:szCs w:val="24"/>
        </w:rPr>
        <w:t xml:space="preserve"> species as the outgroup. Reference sequences were obtained from GenBank and used for phylogenetic analysis to identify </w:t>
      </w:r>
      <w:r w:rsidRPr="00010264">
        <w:rPr>
          <w:rFonts w:ascii="Times New Roman" w:hAnsi="Times New Roman" w:cs="Times New Roman"/>
          <w:bCs/>
          <w:i/>
          <w:sz w:val="24"/>
          <w:szCs w:val="24"/>
        </w:rPr>
        <w:t>Ulva</w:t>
      </w:r>
      <w:r w:rsidRPr="00010264">
        <w:rPr>
          <w:rFonts w:ascii="Times New Roman" w:hAnsi="Times New Roman" w:cs="Times New Roman"/>
          <w:bCs/>
          <w:sz w:val="24"/>
          <w:szCs w:val="24"/>
        </w:rPr>
        <w:t xml:space="preserve"> species. Specimens grouped within particular clades are labeled as “Group” with the total number of specimens indicated [e.g., Group 1 (N=40)]. Bootstrap values are shown on the nodes for both maximum likelihood (ML) and neighbor-joining (NJ) methods</w:t>
      </w:r>
      <w:r w:rsidRPr="00010264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6F61F5FB" w14:textId="699BB7B5" w:rsidR="00010264" w:rsidRPr="00010264" w:rsidRDefault="00010264" w:rsidP="00010264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 w:rsidRPr="00010264">
        <w:br w:type="page"/>
      </w:r>
      <w:r w:rsidR="003D6878">
        <w:rPr>
          <w:rFonts w:ascii="Times New Roman" w:hAnsi="Times New Roman" w:cs="Times New Roman"/>
          <w:b/>
          <w:sz w:val="24"/>
        </w:rPr>
        <w:t>Figure S</w:t>
      </w:r>
      <w:r w:rsidRPr="00010264">
        <w:rPr>
          <w:rFonts w:ascii="Times New Roman" w:hAnsi="Times New Roman" w:cs="Times New Roman"/>
          <w:b/>
          <w:sz w:val="24"/>
        </w:rPr>
        <w:t>2</w:t>
      </w:r>
      <w:r w:rsidRPr="00010264">
        <w:rPr>
          <w:rFonts w:ascii="Times New Roman" w:hAnsi="Times New Roman" w:cs="Times New Roman"/>
          <w:sz w:val="24"/>
        </w:rPr>
        <w:t xml:space="preserve"> Proportion of benthic and floating individuals of </w:t>
      </w:r>
      <w:r w:rsidRPr="00010264">
        <w:rPr>
          <w:rFonts w:ascii="Times New Roman" w:hAnsi="Times New Roman" w:cs="Times New Roman"/>
          <w:i/>
          <w:sz w:val="24"/>
        </w:rPr>
        <w:t>U. ohnoi</w:t>
      </w:r>
      <w:r w:rsidRPr="00010264">
        <w:rPr>
          <w:rFonts w:ascii="Times New Roman" w:hAnsi="Times New Roman" w:cs="Times New Roman"/>
          <w:sz w:val="24"/>
        </w:rPr>
        <w:t xml:space="preserve"> (N=209) and </w:t>
      </w:r>
      <w:r w:rsidRPr="00010264">
        <w:rPr>
          <w:rFonts w:ascii="Times New Roman" w:hAnsi="Times New Roman" w:cs="Times New Roman"/>
          <w:i/>
          <w:sz w:val="24"/>
        </w:rPr>
        <w:t>U. australis</w:t>
      </w:r>
      <w:r w:rsidRPr="00010264">
        <w:rPr>
          <w:rFonts w:ascii="Times New Roman" w:hAnsi="Times New Roman" w:cs="Times New Roman"/>
          <w:sz w:val="24"/>
        </w:rPr>
        <w:t xml:space="preserve"> (= </w:t>
      </w:r>
      <w:r w:rsidRPr="00010264">
        <w:rPr>
          <w:rFonts w:ascii="Times New Roman" w:hAnsi="Times New Roman" w:cs="Times New Roman"/>
          <w:i/>
          <w:sz w:val="24"/>
        </w:rPr>
        <w:t>U. pertusa</w:t>
      </w:r>
      <w:r w:rsidRPr="00010264">
        <w:rPr>
          <w:rFonts w:ascii="Times New Roman" w:hAnsi="Times New Roman" w:cs="Times New Roman"/>
          <w:sz w:val="24"/>
        </w:rPr>
        <w:t>) (N=129)</w:t>
      </w:r>
      <w:r w:rsidR="00706112">
        <w:rPr>
          <w:rFonts w:ascii="Times New Roman" w:hAnsi="Times New Roman" w:cs="Times New Roman"/>
          <w:sz w:val="24"/>
        </w:rPr>
        <w:t xml:space="preserve"> on Jeju Island</w:t>
      </w:r>
      <w:r w:rsidRPr="00010264">
        <w:rPr>
          <w:rFonts w:ascii="Times New Roman" w:hAnsi="Times New Roman" w:cs="Times New Roman"/>
          <w:sz w:val="24"/>
        </w:rPr>
        <w:t xml:space="preserve">. Proportions were calculated from </w:t>
      </w:r>
      <w:r w:rsidR="00706112">
        <w:rPr>
          <w:rFonts w:ascii="Times New Roman" w:hAnsi="Times New Roman" w:cs="Times New Roman"/>
          <w:sz w:val="24"/>
        </w:rPr>
        <w:t xml:space="preserve">relative </w:t>
      </w:r>
      <w:r w:rsidRPr="00010264">
        <w:rPr>
          <w:rFonts w:ascii="Times New Roman" w:hAnsi="Times New Roman" w:cs="Times New Roman"/>
          <w:sz w:val="24"/>
        </w:rPr>
        <w:t xml:space="preserve">abundance counts. </w:t>
      </w:r>
      <w:r w:rsidR="00706112">
        <w:rPr>
          <w:rFonts w:ascii="Times New Roman" w:hAnsi="Times New Roman" w:cs="Times New Roman"/>
          <w:sz w:val="24"/>
        </w:rPr>
        <w:t xml:space="preserve">Results of </w:t>
      </w:r>
      <w:r w:rsidRPr="00010264">
        <w:rPr>
          <w:rFonts w:ascii="Times New Roman" w:hAnsi="Times New Roman" w:cs="Times New Roman"/>
          <w:sz w:val="24"/>
        </w:rPr>
        <w:t xml:space="preserve">Chi-square tests (χ² = 16.51, p &lt; 0.001) and preference index values (PI: </w:t>
      </w:r>
      <w:r w:rsidRPr="00010264">
        <w:rPr>
          <w:rFonts w:ascii="Times New Roman" w:hAnsi="Times New Roman" w:cs="Times New Roman"/>
          <w:i/>
          <w:sz w:val="24"/>
        </w:rPr>
        <w:t xml:space="preserve">U. ohnoi </w:t>
      </w:r>
      <w:r w:rsidRPr="00010264">
        <w:rPr>
          <w:rFonts w:ascii="Times New Roman" w:hAnsi="Times New Roman" w:cs="Times New Roman"/>
          <w:sz w:val="24"/>
        </w:rPr>
        <w:t xml:space="preserve">= 0.48, </w:t>
      </w:r>
      <w:r w:rsidRPr="00010264">
        <w:rPr>
          <w:rFonts w:ascii="Times New Roman" w:hAnsi="Times New Roman" w:cs="Times New Roman"/>
          <w:i/>
          <w:sz w:val="24"/>
        </w:rPr>
        <w:t>U. australis</w:t>
      </w:r>
      <w:r w:rsidRPr="00010264">
        <w:rPr>
          <w:rFonts w:ascii="Times New Roman" w:hAnsi="Times New Roman" w:cs="Times New Roman"/>
          <w:sz w:val="24"/>
        </w:rPr>
        <w:t xml:space="preserve"> = 0.04) are provided. A</w:t>
      </w:r>
      <w:r w:rsidR="00706112">
        <w:rPr>
          <w:rFonts w:ascii="Times New Roman" w:hAnsi="Times New Roman" w:cs="Times New Roman"/>
          <w:sz w:val="24"/>
        </w:rPr>
        <w:t>ll the a</w:t>
      </w:r>
      <w:r w:rsidRPr="00010264">
        <w:rPr>
          <w:rFonts w:ascii="Times New Roman" w:hAnsi="Times New Roman" w:cs="Times New Roman"/>
          <w:sz w:val="24"/>
        </w:rPr>
        <w:t>nalyses were conducted in R (version 4.5.0; R Core Team, 2025).</w:t>
      </w:r>
    </w:p>
    <w:p w14:paraId="1C26A021" w14:textId="77777777" w:rsidR="00010264" w:rsidRPr="00706112" w:rsidRDefault="00010264" w:rsidP="00010264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p w14:paraId="10D9E2B0" w14:textId="77777777" w:rsidR="00010264" w:rsidRPr="00010264" w:rsidRDefault="00010264" w:rsidP="00010264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  <w:sectPr w:rsidR="00010264" w:rsidRPr="00010264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01026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ACD56E" wp14:editId="0A8490E4">
            <wp:extent cx="5731510" cy="4874260"/>
            <wp:effectExtent l="0" t="0" r="2540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va_부착 부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194A" w14:textId="343A0039" w:rsidR="00663C47" w:rsidRPr="00663C47" w:rsidRDefault="00663C47" w:rsidP="00663C4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 w:rsidRPr="00663C47">
        <w:rPr>
          <w:rFonts w:ascii="Times New Roman" w:hAnsi="Times New Roman" w:cs="Times New Roman"/>
          <w:b/>
          <w:sz w:val="24"/>
        </w:rPr>
        <w:t xml:space="preserve">Figure S3 </w:t>
      </w:r>
      <w:r w:rsidRPr="00663C47">
        <w:rPr>
          <w:rFonts w:ascii="Times New Roman" w:hAnsi="Times New Roman" w:cs="Times New Roman"/>
          <w:sz w:val="24"/>
        </w:rPr>
        <w:t>Comparisons of water quality parameters across four groups: Group 1 (Jeju Island) and Groups 2, 3, and 4 (Wando, Yeosu, and Geoje, representing the southern coasts), based on data c</w:t>
      </w:r>
      <w:r>
        <w:rPr>
          <w:rFonts w:ascii="Times New Roman" w:hAnsi="Times New Roman" w:cs="Times New Roman"/>
          <w:sz w:val="24"/>
        </w:rPr>
        <w:t>ollected in February 2021 (MEIS</w:t>
      </w:r>
      <w:r w:rsidRPr="00663C47">
        <w:rPr>
          <w:rFonts w:ascii="Times New Roman" w:hAnsi="Times New Roman" w:cs="Times New Roman"/>
          <w:sz w:val="24"/>
          <w:vertAlign w:val="superscript"/>
        </w:rPr>
        <w:t>64</w:t>
      </w:r>
      <w:r w:rsidRPr="00663C47">
        <w:rPr>
          <w:rFonts w:ascii="Times New Roman" w:hAnsi="Times New Roman" w:cs="Times New Roman"/>
          <w:sz w:val="24"/>
        </w:rPr>
        <w:t>). Statistical analysis was performed using the Kruskal-Wallis test with Dunn's post hoc analysis and Bonferroni correction.</w:t>
      </w:r>
      <w:bookmarkStart w:id="4" w:name="_GoBack"/>
      <w:bookmarkEnd w:id="4"/>
    </w:p>
    <w:p w14:paraId="78B99814" w14:textId="27633DE4" w:rsidR="00684AF9" w:rsidRPr="00010264" w:rsidRDefault="00663C47" w:rsidP="00663C47">
      <w:pPr>
        <w:jc w:val="center"/>
        <w:rPr>
          <w:rFonts w:ascii="Times New Roman" w:hAnsi="Times New Roman" w:cs="Times New Roman" w:hint="eastAsia"/>
          <w:sz w:val="24"/>
        </w:rPr>
      </w:pPr>
      <w:r w:rsidRPr="00010264">
        <w:rPr>
          <w:noProof/>
        </w:rPr>
        <w:drawing>
          <wp:inline distT="0" distB="0" distL="0" distR="0" wp14:anchorId="689BB7DA" wp14:editId="5FA7565F">
            <wp:extent cx="7664450" cy="4503269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수질데이터 각 그룹간 비교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3"/>
                    <a:stretch/>
                  </pic:blipFill>
                  <pic:spPr bwMode="auto">
                    <a:xfrm>
                      <a:off x="0" y="0"/>
                      <a:ext cx="7682134" cy="4513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4AF9" w:rsidRPr="00010264" w:rsidSect="00663C4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13D0C" w14:textId="77777777" w:rsidR="00663C47" w:rsidRDefault="00663C47" w:rsidP="00706112">
      <w:pPr>
        <w:spacing w:after="0" w:line="240" w:lineRule="auto"/>
      </w:pPr>
      <w:r>
        <w:separator/>
      </w:r>
    </w:p>
  </w:endnote>
  <w:endnote w:type="continuationSeparator" w:id="0">
    <w:p w14:paraId="74A6A2FD" w14:textId="77777777" w:rsidR="00663C47" w:rsidRDefault="00663C47" w:rsidP="0070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C57D6" w14:textId="77777777" w:rsidR="00663C47" w:rsidRDefault="00663C47" w:rsidP="00706112">
      <w:pPr>
        <w:spacing w:after="0" w:line="240" w:lineRule="auto"/>
      </w:pPr>
      <w:r>
        <w:separator/>
      </w:r>
    </w:p>
  </w:footnote>
  <w:footnote w:type="continuationSeparator" w:id="0">
    <w:p w14:paraId="3D39E6A1" w14:textId="77777777" w:rsidR="00663C47" w:rsidRDefault="00663C47" w:rsidP="00706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5E"/>
    <w:rsid w:val="00010264"/>
    <w:rsid w:val="000E3779"/>
    <w:rsid w:val="003D6878"/>
    <w:rsid w:val="003F712E"/>
    <w:rsid w:val="00663C47"/>
    <w:rsid w:val="006704FF"/>
    <w:rsid w:val="00684AF9"/>
    <w:rsid w:val="00706112"/>
    <w:rsid w:val="00853D30"/>
    <w:rsid w:val="00A24E0C"/>
    <w:rsid w:val="00C85160"/>
    <w:rsid w:val="00E1055E"/>
    <w:rsid w:val="00F1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D5309E"/>
  <w15:chartTrackingRefBased/>
  <w15:docId w15:val="{94AF8920-3F8F-4C1B-80FB-564DDFF2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1055E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E1055E"/>
  </w:style>
  <w:style w:type="paragraph" w:styleId="a4">
    <w:name w:val="caption"/>
    <w:basedOn w:val="a"/>
    <w:next w:val="a"/>
    <w:uiPriority w:val="35"/>
    <w:unhideWhenUsed/>
    <w:qFormat/>
    <w:rsid w:val="00E1055E"/>
    <w:rPr>
      <w:b/>
      <w:bCs/>
      <w:szCs w:val="20"/>
    </w:rPr>
  </w:style>
  <w:style w:type="character" w:styleId="a5">
    <w:name w:val="line number"/>
    <w:basedOn w:val="a0"/>
    <w:uiPriority w:val="99"/>
    <w:semiHidden/>
    <w:unhideWhenUsed/>
    <w:rsid w:val="00E1055E"/>
  </w:style>
  <w:style w:type="paragraph" w:styleId="a6">
    <w:name w:val="header"/>
    <w:basedOn w:val="a"/>
    <w:link w:val="Char0"/>
    <w:uiPriority w:val="99"/>
    <w:unhideWhenUsed/>
    <w:rsid w:val="007061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06112"/>
  </w:style>
  <w:style w:type="paragraph" w:styleId="a7">
    <w:name w:val="footer"/>
    <w:basedOn w:val="a"/>
    <w:link w:val="Char1"/>
    <w:uiPriority w:val="99"/>
    <w:unhideWhenUsed/>
    <w:rsid w:val="007061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06112"/>
  </w:style>
  <w:style w:type="paragraph" w:styleId="a8">
    <w:name w:val="Balloon Text"/>
    <w:basedOn w:val="a"/>
    <w:link w:val="Char2"/>
    <w:uiPriority w:val="99"/>
    <w:semiHidden/>
    <w:unhideWhenUsed/>
    <w:rsid w:val="007061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7061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53D30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853D30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853D30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853D30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853D30"/>
    <w:rPr>
      <w:b/>
      <w:bCs/>
    </w:rPr>
  </w:style>
  <w:style w:type="character" w:styleId="ac">
    <w:name w:val="Hyperlink"/>
    <w:basedOn w:val="a0"/>
    <w:uiPriority w:val="99"/>
    <w:unhideWhenUsed/>
    <w:rsid w:val="00684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PARKHYEJIN</dc:creator>
  <cp:keywords/>
  <dc:description/>
  <cp:lastModifiedBy>PARKHYEJIN</cp:lastModifiedBy>
  <cp:revision>2</cp:revision>
  <dcterms:created xsi:type="dcterms:W3CDTF">2025-11-03T22:24:00Z</dcterms:created>
  <dcterms:modified xsi:type="dcterms:W3CDTF">2025-11-03T22:24:00Z</dcterms:modified>
</cp:coreProperties>
</file>