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35E00" w14:textId="1AB4FC9D" w:rsidR="00DB3BDD" w:rsidRDefault="00DB3BDD" w:rsidP="00440E37">
      <w:pPr>
        <w:spacing w:line="360" w:lineRule="auto"/>
        <w:rPr>
          <w:rFonts w:ascii="Times New Roman" w:hAnsi="Times New Roman" w:cs="Times New Roman"/>
          <w:b/>
          <w:bCs/>
          <w:sz w:val="24"/>
          <w:szCs w:val="28"/>
        </w:rPr>
      </w:pPr>
      <w:r w:rsidRPr="00041AB1">
        <w:rPr>
          <w:rFonts w:ascii="Times New Roman" w:hAnsi="Times New Roman" w:cs="Times New Roman"/>
          <w:b/>
          <w:bCs/>
          <w:sz w:val="24"/>
          <w:szCs w:val="28"/>
        </w:rPr>
        <w:t xml:space="preserve">Supplementary </w:t>
      </w:r>
      <w:r w:rsidR="00251866">
        <w:rPr>
          <w:rFonts w:ascii="Times New Roman" w:hAnsi="Times New Roman" w:cs="Times New Roman"/>
          <w:b/>
          <w:bCs/>
          <w:sz w:val="24"/>
          <w:szCs w:val="28"/>
        </w:rPr>
        <w:t>Fig.</w:t>
      </w:r>
      <w:r w:rsidRPr="00041AB1">
        <w:rPr>
          <w:rFonts w:ascii="Times New Roman" w:hAnsi="Times New Roman" w:cs="Times New Roman"/>
          <w:b/>
          <w:bCs/>
          <w:sz w:val="24"/>
          <w:szCs w:val="28"/>
        </w:rPr>
        <w:t xml:space="preserve"> S1 | Clustering diagnostics: silhouette curve and cluster sizes (k = 2–6) </w:t>
      </w:r>
    </w:p>
    <w:p w14:paraId="62962A9A" w14:textId="24EB12DE" w:rsidR="008763FC" w:rsidRPr="008763FC" w:rsidRDefault="00486FF5" w:rsidP="00486FF5">
      <w:pPr>
        <w:spacing w:line="360" w:lineRule="auto"/>
        <w:jc w:val="center"/>
        <w:rPr>
          <w:rFonts w:ascii="Times New Roman" w:hAnsi="Times New Roman" w:cs="Times New Roman" w:hint="eastAsia"/>
          <w:b/>
          <w:bCs/>
          <w:sz w:val="24"/>
          <w:szCs w:val="28"/>
        </w:rPr>
      </w:pPr>
      <w:r>
        <w:rPr>
          <w:rFonts w:ascii="Times New Roman" w:hAnsi="Times New Roman" w:cs="Times New Roman"/>
          <w:b/>
          <w:bCs/>
          <w:noProof/>
          <w:sz w:val="24"/>
          <w:szCs w:val="28"/>
        </w:rPr>
        <w:drawing>
          <wp:inline distT="0" distB="0" distL="0" distR="0" wp14:anchorId="43D62870" wp14:editId="7D674C4A">
            <wp:extent cx="5748020" cy="2126366"/>
            <wp:effectExtent l="0" t="0" r="5080" b="7620"/>
            <wp:docPr id="8056203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6630" cy="2133250"/>
                    </a:xfrm>
                    <a:prstGeom prst="rect">
                      <a:avLst/>
                    </a:prstGeom>
                    <a:noFill/>
                    <a:ln>
                      <a:noFill/>
                    </a:ln>
                  </pic:spPr>
                </pic:pic>
              </a:graphicData>
            </a:graphic>
          </wp:inline>
        </w:drawing>
      </w:r>
    </w:p>
    <w:p w14:paraId="0799F534" w14:textId="66E4AE39" w:rsidR="00DB3BDD" w:rsidRPr="00041AB1" w:rsidRDefault="00DB3BDD" w:rsidP="00757E23">
      <w:pPr>
        <w:rPr>
          <w:rFonts w:ascii="Times New Roman" w:hAnsi="Times New Roman" w:cs="Times New Roman"/>
          <w:sz w:val="24"/>
          <w:szCs w:val="28"/>
        </w:rPr>
      </w:pPr>
      <w:r w:rsidRPr="00041AB1">
        <w:rPr>
          <w:rFonts w:ascii="Times New Roman" w:hAnsi="Times New Roman" w:cs="Times New Roman"/>
          <w:sz w:val="24"/>
          <w:szCs w:val="28"/>
        </w:rPr>
        <w:t>a, Silhouette curve. The 13 functional indicators were z-standardized and k-means (k-means++ initialization, n_init = 100, fixed seed) was fitted for k = 2–6. The average silhouette peaked at k = 3 (0.127) and slightly decreased at k = 4 (0.123; ΔS</w:t>
      </w:r>
      <w:proofErr w:type="gramStart"/>
      <w:r w:rsidRPr="00041AB1">
        <w:rPr>
          <w:rFonts w:ascii="Times New Roman" w:hAnsi="Times New Roman" w:cs="Times New Roman"/>
          <w:sz w:val="24"/>
          <w:szCs w:val="28"/>
        </w:rPr>
        <w:t>_{</w:t>
      </w:r>
      <w:proofErr w:type="gramEnd"/>
      <w:r w:rsidRPr="00041AB1">
        <w:rPr>
          <w:rFonts w:ascii="Times New Roman" w:hAnsi="Times New Roman" w:cs="Times New Roman"/>
          <w:sz w:val="24"/>
          <w:szCs w:val="28"/>
        </w:rPr>
        <w:t>4−3} = −0.004). Silhouette width was the primary selection criterion; when gains were marginal (ΔS &lt; 0.02), the more parsimonious solution was preferred, and k = 3 was retained for primary analyses.</w:t>
      </w:r>
    </w:p>
    <w:p w14:paraId="38607F24" w14:textId="2065C3DE" w:rsidR="00DB3BDD" w:rsidRPr="00041AB1" w:rsidRDefault="00DB3BDD" w:rsidP="00757E23">
      <w:pPr>
        <w:rPr>
          <w:rFonts w:ascii="Times New Roman" w:hAnsi="Times New Roman" w:cs="Times New Roman"/>
          <w:sz w:val="24"/>
          <w:szCs w:val="28"/>
        </w:rPr>
      </w:pPr>
      <w:r w:rsidRPr="00041AB1">
        <w:rPr>
          <w:rFonts w:ascii="Times New Roman" w:hAnsi="Times New Roman" w:cs="Times New Roman"/>
          <w:sz w:val="24"/>
          <w:szCs w:val="28"/>
        </w:rPr>
        <w:t>b, Cluster sizes. For k = 3: 70/56/39; for k = 4: 61/44/34/26 (minimum 26, 15.8% of N = 165). Sizes were reasonably balanced and acceptable at k = 4 as well.</w:t>
      </w:r>
    </w:p>
    <w:p w14:paraId="15794DD3" w14:textId="68FA6B35" w:rsidR="00DB3BDD" w:rsidRPr="00041AB1" w:rsidRDefault="00DB3BDD" w:rsidP="00757E23">
      <w:pPr>
        <w:rPr>
          <w:rFonts w:ascii="Times New Roman" w:hAnsi="Times New Roman" w:cs="Times New Roman"/>
          <w:sz w:val="24"/>
          <w:szCs w:val="28"/>
        </w:rPr>
      </w:pPr>
      <w:r w:rsidRPr="00041AB1">
        <w:rPr>
          <w:rFonts w:ascii="Times New Roman" w:hAnsi="Times New Roman" w:cs="Times New Roman"/>
          <w:sz w:val="24"/>
          <w:szCs w:val="28"/>
        </w:rPr>
        <w:t>For completeness, Calinski–Harabasz decreased 31.49→27.51 and Davies–Bouldin improved 2.204→1.906.</w:t>
      </w:r>
    </w:p>
    <w:p w14:paraId="2C2637D4" w14:textId="77777777" w:rsidR="00DB3BDD" w:rsidRDefault="00DB3BDD" w:rsidP="00440E37">
      <w:pPr>
        <w:spacing w:line="360" w:lineRule="auto"/>
      </w:pPr>
    </w:p>
    <w:p w14:paraId="4DCBE3E9" w14:textId="5EE4CC5B" w:rsidR="00DB3BDD" w:rsidRPr="00041AB1" w:rsidRDefault="00DB3BDD" w:rsidP="00440E37">
      <w:pPr>
        <w:spacing w:line="360" w:lineRule="auto"/>
        <w:rPr>
          <w:rFonts w:ascii="Times New Roman" w:hAnsi="Times New Roman" w:cs="Times New Roman"/>
          <w:b/>
          <w:bCs/>
          <w:sz w:val="24"/>
          <w:szCs w:val="28"/>
        </w:rPr>
      </w:pPr>
      <w:r w:rsidRPr="00041AB1">
        <w:rPr>
          <w:rFonts w:ascii="Times New Roman" w:hAnsi="Times New Roman" w:cs="Times New Roman"/>
          <w:b/>
          <w:bCs/>
          <w:sz w:val="24"/>
          <w:szCs w:val="28"/>
        </w:rPr>
        <w:t>Supplementary Table S</w:t>
      </w:r>
      <w:r w:rsidR="00005981" w:rsidRPr="00041AB1">
        <w:rPr>
          <w:rFonts w:ascii="Times New Roman" w:hAnsi="Times New Roman" w:cs="Times New Roman"/>
          <w:b/>
          <w:bCs/>
          <w:sz w:val="24"/>
          <w:szCs w:val="28"/>
        </w:rPr>
        <w:t>1</w:t>
      </w:r>
      <w:r w:rsidRPr="00041AB1">
        <w:rPr>
          <w:rFonts w:ascii="Times New Roman" w:hAnsi="Times New Roman" w:cs="Times New Roman"/>
          <w:b/>
          <w:bCs/>
          <w:sz w:val="24"/>
          <w:szCs w:val="28"/>
        </w:rPr>
        <w:t xml:space="preserve"> | Baseline characteristics by skin profile (unweighted)</w:t>
      </w:r>
    </w:p>
    <w:p w14:paraId="1CF99B5A" w14:textId="21F32F7F" w:rsidR="00DB3BDD" w:rsidRPr="00041AB1" w:rsidRDefault="00DB3BDD" w:rsidP="00440E37">
      <w:pPr>
        <w:spacing w:line="360" w:lineRule="auto"/>
        <w:rPr>
          <w:rFonts w:ascii="Times New Roman" w:hAnsi="Times New Roman" w:cs="Times New Roman"/>
          <w:sz w:val="24"/>
          <w:szCs w:val="28"/>
        </w:rPr>
      </w:pPr>
      <w:r w:rsidRPr="00041AB1">
        <w:rPr>
          <w:rFonts w:ascii="Times New Roman" w:hAnsi="Times New Roman" w:cs="Times New Roman"/>
          <w:sz w:val="24"/>
          <w:szCs w:val="28"/>
        </w:rPr>
        <w:t>Values are unweighted descriptive statistics. Age is reported as mean (SD); all other variables are shown as n (%). Percentages use non-missing denominators within each column (All and Profiles 0–2). Post-weighting covariate balance is shown in Fig. 3 (Love plot; threshold |SMD| &lt; 0.1).</w:t>
      </w:r>
    </w:p>
    <w:p w14:paraId="3AC2418D" w14:textId="77777777" w:rsidR="00DB3BDD" w:rsidRDefault="00DB3BDD" w:rsidP="00440E37">
      <w:pPr>
        <w:spacing w:line="360" w:lineRule="auto"/>
      </w:pPr>
    </w:p>
    <w:p w14:paraId="5385894A" w14:textId="58162DFB" w:rsidR="009A0B11" w:rsidRPr="00041AB1" w:rsidRDefault="009A0B11" w:rsidP="00440E37">
      <w:pPr>
        <w:spacing w:line="360" w:lineRule="auto"/>
        <w:rPr>
          <w:rFonts w:ascii="Times New Roman" w:hAnsi="Times New Roman" w:cs="Times New Roman"/>
          <w:b/>
          <w:bCs/>
          <w:sz w:val="24"/>
          <w:szCs w:val="28"/>
        </w:rPr>
      </w:pPr>
      <w:r w:rsidRPr="00041AB1">
        <w:rPr>
          <w:rFonts w:ascii="Times New Roman" w:hAnsi="Times New Roman" w:cs="Times New Roman"/>
          <w:b/>
          <w:bCs/>
          <w:sz w:val="24"/>
          <w:szCs w:val="28"/>
        </w:rPr>
        <w:t xml:space="preserve">Supplementary Table </w:t>
      </w:r>
      <w:r w:rsidR="004F1F47" w:rsidRPr="00041AB1">
        <w:rPr>
          <w:rFonts w:ascii="Times New Roman" w:hAnsi="Times New Roman" w:cs="Times New Roman"/>
          <w:b/>
          <w:bCs/>
          <w:sz w:val="24"/>
          <w:szCs w:val="28"/>
        </w:rPr>
        <w:t>S</w:t>
      </w:r>
      <w:r w:rsidR="00424CF8" w:rsidRPr="00041AB1">
        <w:rPr>
          <w:rFonts w:ascii="Times New Roman" w:hAnsi="Times New Roman" w:cs="Times New Roman"/>
          <w:b/>
          <w:bCs/>
          <w:sz w:val="24"/>
          <w:szCs w:val="28"/>
        </w:rPr>
        <w:t>2</w:t>
      </w:r>
      <w:r w:rsidRPr="00041AB1">
        <w:rPr>
          <w:rFonts w:ascii="Times New Roman" w:hAnsi="Times New Roman" w:cs="Times New Roman"/>
          <w:b/>
          <w:bCs/>
          <w:sz w:val="24"/>
          <w:szCs w:val="28"/>
        </w:rPr>
        <w:t xml:space="preserve"> | Pairwise effect sizes (Cohen’s d) between skin profiles for the 13 functional indicators.</w:t>
      </w:r>
    </w:p>
    <w:p w14:paraId="04BA749E" w14:textId="787F30EE" w:rsidR="004421EC" w:rsidRPr="00041AB1" w:rsidRDefault="009A0B11" w:rsidP="00496479">
      <w:pPr>
        <w:rPr>
          <w:rFonts w:ascii="Times New Roman" w:hAnsi="Times New Roman" w:cs="Times New Roman"/>
          <w:sz w:val="24"/>
          <w:szCs w:val="28"/>
        </w:rPr>
      </w:pPr>
      <w:r w:rsidRPr="00041AB1">
        <w:rPr>
          <w:rFonts w:ascii="Times New Roman" w:hAnsi="Times New Roman" w:cs="Times New Roman"/>
          <w:sz w:val="24"/>
          <w:szCs w:val="28"/>
        </w:rPr>
        <w:t xml:space="preserve">Rows list the functional indicators; columns report pairwise contrasts 0 vs 1, 0 vs 2, and 1 vs 2 (sign = mean of the left profile minus the right). The table also includes max |d| per indicator and the pair at max. Values are unweighted Cohen’s d using the pooled s.d., computed on non-missing observations per contrast, and rounded to three decimals. Positive values indicate higher means in the left profile, negative the opposite. These values underlie </w:t>
      </w:r>
      <w:r w:rsidR="00251866">
        <w:rPr>
          <w:rFonts w:ascii="Times New Roman" w:hAnsi="Times New Roman" w:cs="Times New Roman"/>
          <w:sz w:val="24"/>
          <w:szCs w:val="28"/>
        </w:rPr>
        <w:t>Fig.</w:t>
      </w:r>
      <w:r w:rsidRPr="00041AB1">
        <w:rPr>
          <w:rFonts w:ascii="Times New Roman" w:hAnsi="Times New Roman" w:cs="Times New Roman"/>
          <w:sz w:val="24"/>
          <w:szCs w:val="28"/>
        </w:rPr>
        <w:t xml:space="preserve"> 2c (heat map) and </w:t>
      </w:r>
      <w:r w:rsidR="00251866">
        <w:rPr>
          <w:rFonts w:ascii="Times New Roman" w:hAnsi="Times New Roman" w:cs="Times New Roman"/>
          <w:sz w:val="24"/>
          <w:szCs w:val="28"/>
        </w:rPr>
        <w:t>Fig.</w:t>
      </w:r>
      <w:r w:rsidRPr="00041AB1">
        <w:rPr>
          <w:rFonts w:ascii="Times New Roman" w:hAnsi="Times New Roman" w:cs="Times New Roman"/>
          <w:sz w:val="24"/>
          <w:szCs w:val="28"/>
        </w:rPr>
        <w:t xml:space="preserve"> 2d (ranking). For reference, conventional thresholds are d ≈ 0.2 (small), 0.5 (medium), 0.8 (large).</w:t>
      </w:r>
    </w:p>
    <w:p w14:paraId="247472FA" w14:textId="77777777" w:rsidR="009A0B11" w:rsidRDefault="009A0B11" w:rsidP="00440E37">
      <w:pPr>
        <w:spacing w:line="360" w:lineRule="auto"/>
      </w:pPr>
    </w:p>
    <w:p w14:paraId="70868EF5" w14:textId="77777777" w:rsidR="007F58F9" w:rsidRPr="007F58F9" w:rsidRDefault="007F58F9" w:rsidP="007F58F9">
      <w:pPr>
        <w:spacing w:line="360" w:lineRule="auto"/>
        <w:rPr>
          <w:rFonts w:ascii="Times New Roman" w:hAnsi="Times New Roman" w:cs="Times New Roman"/>
          <w:b/>
          <w:bCs/>
          <w:sz w:val="24"/>
          <w:szCs w:val="28"/>
        </w:rPr>
      </w:pPr>
      <w:r w:rsidRPr="007F58F9">
        <w:rPr>
          <w:rFonts w:ascii="Times New Roman" w:hAnsi="Times New Roman" w:cs="Times New Roman"/>
          <w:b/>
          <w:bCs/>
          <w:sz w:val="24"/>
          <w:szCs w:val="28"/>
        </w:rPr>
        <w:t>Supplementary Table S3a | Summary of stabilized IPTW weights after primary trimming (Option A).</w:t>
      </w:r>
    </w:p>
    <w:p w14:paraId="75275046" w14:textId="0D306E5A" w:rsidR="007F58F9" w:rsidRPr="007F58F9" w:rsidRDefault="007F58F9" w:rsidP="00496479">
      <w:pPr>
        <w:rPr>
          <w:rFonts w:ascii="Times New Roman" w:hAnsi="Times New Roman" w:cs="Times New Roman"/>
          <w:sz w:val="24"/>
          <w:szCs w:val="28"/>
        </w:rPr>
      </w:pPr>
      <w:r w:rsidRPr="007F58F9">
        <w:rPr>
          <w:rFonts w:ascii="Times New Roman" w:hAnsi="Times New Roman" w:cs="Times New Roman"/>
          <w:sz w:val="24"/>
          <w:szCs w:val="28"/>
        </w:rPr>
        <w:t>Summary statistics of stabilized inverse-probability weights (IPTW) for the three-level exposure (Profiles 0–2) under the prespecified global 1st/99th-percentile trimming (thresholds 0.4368 / 2.6360). Columns: N, Min, 1st pct, Median, IQR, Mean, 99th pct, Max, ESS (weighted effective sample size), and Trimmed (n, %). Trimmed (n, %) counts observations excluded for weights below/above the thresholds (denominator: N = 165). ESS = (∑</w:t>
      </w:r>
      <w:r w:rsidR="007B4F10" w:rsidRPr="007F58F9">
        <w:rPr>
          <w:rFonts w:ascii="Times New Roman" w:hAnsi="Times New Roman" w:cs="Times New Roman"/>
          <w:sz w:val="24"/>
          <w:szCs w:val="28"/>
        </w:rPr>
        <w:t>wᵢ) ²</w:t>
      </w:r>
      <w:r w:rsidRPr="007F58F9">
        <w:rPr>
          <w:rFonts w:ascii="Times New Roman" w:hAnsi="Times New Roman" w:cs="Times New Roman"/>
          <w:sz w:val="24"/>
          <w:szCs w:val="28"/>
        </w:rPr>
        <w:t xml:space="preserve"> / ∑wᵢ². Post-weighting covariate balance (|SMD|&lt;0.1) is shown in Fig. 3a; the weight distribution (histogram/KDE) in Fig. 3b.</w:t>
      </w:r>
    </w:p>
    <w:p w14:paraId="003F96A1" w14:textId="77777777" w:rsidR="007F58F9" w:rsidRPr="007F58F9" w:rsidRDefault="007F58F9" w:rsidP="007F58F9">
      <w:pPr>
        <w:spacing w:line="360" w:lineRule="auto"/>
        <w:rPr>
          <w:rFonts w:ascii="Times New Roman" w:hAnsi="Times New Roman" w:cs="Times New Roman"/>
          <w:b/>
          <w:bCs/>
          <w:sz w:val="24"/>
          <w:szCs w:val="28"/>
        </w:rPr>
      </w:pPr>
    </w:p>
    <w:p w14:paraId="22824215" w14:textId="77777777" w:rsidR="007F58F9" w:rsidRPr="007F58F9" w:rsidRDefault="007F58F9" w:rsidP="007F58F9">
      <w:pPr>
        <w:spacing w:line="360" w:lineRule="auto"/>
        <w:rPr>
          <w:rFonts w:ascii="Times New Roman" w:hAnsi="Times New Roman" w:cs="Times New Roman"/>
          <w:b/>
          <w:bCs/>
          <w:sz w:val="24"/>
          <w:szCs w:val="28"/>
        </w:rPr>
      </w:pPr>
      <w:r w:rsidRPr="007F58F9">
        <w:rPr>
          <w:rFonts w:ascii="Times New Roman" w:hAnsi="Times New Roman" w:cs="Times New Roman"/>
          <w:b/>
          <w:bCs/>
          <w:sz w:val="24"/>
          <w:szCs w:val="28"/>
        </w:rPr>
        <w:t>Supplementary Table S3b | Summary of stabilized IPTW weights after winsorization (sensitivity analysis).</w:t>
      </w:r>
    </w:p>
    <w:p w14:paraId="6C252C38" w14:textId="3E654FF3" w:rsidR="00E70E1E" w:rsidRDefault="007F58F9" w:rsidP="00496479">
      <w:r w:rsidRPr="007F58F9">
        <w:rPr>
          <w:rFonts w:ascii="Times New Roman" w:hAnsi="Times New Roman" w:cs="Times New Roman"/>
          <w:sz w:val="24"/>
          <w:szCs w:val="28"/>
        </w:rPr>
        <w:t>Same layout as S3a, but with winsorization at the global 1st/99th percentiles: weights below/above the thresholds are replaced at the cutoffs (no exclusion). Columns: N, Min, 1st pct, Median, IQR, Mean, 99th pct, Max, ESS, and Winsorized (n, % replaced). This table supports the sensitivity analysis comparing trimming vs winsorization; see Supplementary Fig. S6 (agreement) and Supplementary Table S7 (side-by-side estimates</w:t>
      </w:r>
      <w:r w:rsidR="007B4F10" w:rsidRPr="007F58F9">
        <w:rPr>
          <w:rFonts w:ascii="Times New Roman" w:hAnsi="Times New Roman" w:cs="Times New Roman"/>
          <w:sz w:val="24"/>
          <w:szCs w:val="28"/>
        </w:rPr>
        <w:t>). Supplementary</w:t>
      </w:r>
      <w:r w:rsidR="00005981" w:rsidRPr="007F58F9">
        <w:rPr>
          <w:rFonts w:ascii="Times New Roman" w:hAnsi="Times New Roman" w:cs="Times New Roman"/>
          <w:sz w:val="24"/>
          <w:szCs w:val="28"/>
        </w:rPr>
        <w:t xml:space="preserve"> Table S</w:t>
      </w:r>
      <w:r w:rsidR="003A56E2" w:rsidRPr="007F58F9">
        <w:rPr>
          <w:rFonts w:ascii="Times New Roman" w:hAnsi="Times New Roman" w:cs="Times New Roman"/>
          <w:sz w:val="24"/>
          <w:szCs w:val="28"/>
        </w:rPr>
        <w:t>3</w:t>
      </w:r>
      <w:r w:rsidR="00005981" w:rsidRPr="007F58F9">
        <w:rPr>
          <w:rFonts w:ascii="Times New Roman" w:hAnsi="Times New Roman" w:cs="Times New Roman"/>
          <w:sz w:val="24"/>
          <w:szCs w:val="28"/>
        </w:rPr>
        <w:t>| Summary of stabilized IPTW weights and winsorization (Option A)</w:t>
      </w:r>
      <w:r w:rsidR="00005981" w:rsidRPr="007F58F9">
        <w:rPr>
          <w:rFonts w:ascii="Times New Roman" w:hAnsi="Times New Roman" w:cs="Times New Roman"/>
          <w:sz w:val="24"/>
          <w:szCs w:val="28"/>
        </w:rPr>
        <w:br/>
      </w:r>
    </w:p>
    <w:p w14:paraId="27D0ED35" w14:textId="7D6A2EEA" w:rsidR="004A3A11" w:rsidRDefault="004A3A11" w:rsidP="00440E37">
      <w:pPr>
        <w:spacing w:line="360" w:lineRule="auto"/>
        <w:rPr>
          <w:rFonts w:ascii="Times New Roman" w:hAnsi="Times New Roman" w:cs="Times New Roman"/>
          <w:b/>
          <w:bCs/>
          <w:sz w:val="24"/>
          <w:szCs w:val="28"/>
        </w:rPr>
      </w:pPr>
      <w:r w:rsidRPr="00041AB1">
        <w:rPr>
          <w:rFonts w:ascii="Times New Roman" w:hAnsi="Times New Roman" w:cs="Times New Roman"/>
          <w:b/>
          <w:bCs/>
          <w:sz w:val="24"/>
          <w:szCs w:val="28"/>
        </w:rPr>
        <w:t xml:space="preserve">Supplementary </w:t>
      </w:r>
      <w:r w:rsidR="00251866">
        <w:rPr>
          <w:rFonts w:ascii="Times New Roman" w:hAnsi="Times New Roman" w:cs="Times New Roman"/>
          <w:b/>
          <w:bCs/>
          <w:sz w:val="24"/>
          <w:szCs w:val="28"/>
        </w:rPr>
        <w:t>Fig.</w:t>
      </w:r>
      <w:r w:rsidRPr="00041AB1">
        <w:rPr>
          <w:rFonts w:ascii="Times New Roman" w:hAnsi="Times New Roman" w:cs="Times New Roman"/>
          <w:b/>
          <w:bCs/>
          <w:sz w:val="24"/>
          <w:szCs w:val="28"/>
        </w:rPr>
        <w:t xml:space="preserve"> S2 | Pro</w:t>
      </w:r>
      <w:r w:rsidR="00A1117E" w:rsidRPr="00041AB1">
        <w:rPr>
          <w:rFonts w:ascii="Times New Roman" w:hAnsi="Times New Roman" w:cs="Times New Roman"/>
          <w:b/>
          <w:bCs/>
          <w:sz w:val="24"/>
          <w:szCs w:val="28"/>
        </w:rPr>
        <w:t xml:space="preserve">pensity-score overlap by </w:t>
      </w:r>
      <w:r w:rsidR="007B4F10" w:rsidRPr="00041AB1">
        <w:rPr>
          <w:rFonts w:ascii="Times New Roman" w:hAnsi="Times New Roman" w:cs="Times New Roman"/>
          <w:b/>
          <w:bCs/>
          <w:sz w:val="24"/>
          <w:szCs w:val="28"/>
        </w:rPr>
        <w:t>profile (</w:t>
      </w:r>
      <w:r w:rsidR="00A1117E" w:rsidRPr="00041AB1">
        <w:rPr>
          <w:rFonts w:ascii="Times New Roman" w:hAnsi="Times New Roman" w:cs="Times New Roman"/>
          <w:b/>
          <w:bCs/>
          <w:sz w:val="24"/>
          <w:szCs w:val="28"/>
        </w:rPr>
        <w:t>multinominal PS)</w:t>
      </w:r>
    </w:p>
    <w:p w14:paraId="47B171CB" w14:textId="367C6A4D" w:rsidR="00486FF5" w:rsidRPr="00041AB1" w:rsidRDefault="00757E23" w:rsidP="00496479">
      <w:pPr>
        <w:spacing w:line="360" w:lineRule="auto"/>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7BDAE922" wp14:editId="7CF98F3F">
            <wp:extent cx="3589705" cy="2372201"/>
            <wp:effectExtent l="0" t="0" r="0" b="9525"/>
            <wp:docPr id="25263202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36" cy="2379028"/>
                    </a:xfrm>
                    <a:prstGeom prst="rect">
                      <a:avLst/>
                    </a:prstGeom>
                    <a:noFill/>
                    <a:ln>
                      <a:noFill/>
                    </a:ln>
                  </pic:spPr>
                </pic:pic>
              </a:graphicData>
            </a:graphic>
          </wp:inline>
        </w:drawing>
      </w:r>
    </w:p>
    <w:p w14:paraId="3F8E412A" w14:textId="201D0453" w:rsidR="00071823" w:rsidRPr="00270845" w:rsidRDefault="00270845" w:rsidP="00496479">
      <w:r w:rsidRPr="00041AB1">
        <w:rPr>
          <w:rFonts w:ascii="Times New Roman" w:hAnsi="Times New Roman" w:cs="Times New Roman"/>
          <w:sz w:val="24"/>
          <w:szCs w:val="28"/>
        </w:rPr>
        <w:t xml:space="preserve">Violin plots show </w:t>
      </w:r>
      <w:r w:rsidR="00071823" w:rsidRPr="00041AB1">
        <w:rPr>
          <w:rFonts w:ascii="Times New Roman" w:hAnsi="Times New Roman" w:cs="Times New Roman"/>
          <w:sz w:val="24"/>
          <w:szCs w:val="28"/>
        </w:rPr>
        <w:t>the di</w:t>
      </w:r>
      <w:r w:rsidR="00860CDA" w:rsidRPr="00041AB1">
        <w:rPr>
          <w:rFonts w:ascii="Times New Roman" w:hAnsi="Times New Roman" w:cs="Times New Roman"/>
          <w:sz w:val="24"/>
          <w:szCs w:val="28"/>
        </w:rPr>
        <w:t>stribution of own-treatment probabilities</w:t>
      </w:r>
      <w:r w:rsidR="001D1082" w:rsidRPr="00041AB1">
        <w:rPr>
          <w:rFonts w:ascii="Times New Roman" w:hAnsi="Times New Roman" w:cs="Times New Roman"/>
          <w:sz w:val="24"/>
          <w:szCs w:val="28"/>
        </w:rPr>
        <w:t xml:space="preserve"> </w:t>
      </w:r>
      <m:oMath>
        <m:r>
          <m:rPr>
            <m:sty m:val="p"/>
          </m:rPr>
          <w:rPr>
            <w:rFonts w:ascii="Cambria Math" w:hAnsi="Cambria Math"/>
            <w:sz w:val="24"/>
            <w:szCs w:val="28"/>
          </w:rPr>
          <m:t>Pr⁡</m:t>
        </m:r>
        <m:r>
          <w:rPr>
            <w:rFonts w:ascii="Cambria Math" w:hAnsi="Cambria Math"/>
            <w:sz w:val="24"/>
            <w:szCs w:val="28"/>
          </w:rPr>
          <m:t>(A=a|X)</m:t>
        </m:r>
      </m:oMath>
      <w:r w:rsidR="00C505EB">
        <w:rPr>
          <w:rFonts w:hint="eastAsia"/>
        </w:rPr>
        <w:t xml:space="preserve"> </w:t>
      </w:r>
      <w:r w:rsidR="001D1082" w:rsidRPr="00041AB1">
        <w:rPr>
          <w:rFonts w:ascii="Times New Roman" w:hAnsi="Times New Roman" w:cs="Times New Roman"/>
          <w:sz w:val="24"/>
          <w:szCs w:val="28"/>
        </w:rPr>
        <w:t>within each profile</w:t>
      </w:r>
      <w:r w:rsidR="00F51350" w:rsidRPr="00041AB1">
        <w:rPr>
          <w:rFonts w:ascii="Times New Roman" w:hAnsi="Times New Roman" w:cs="Times New Roman"/>
          <w:sz w:val="24"/>
          <w:szCs w:val="28"/>
        </w:rPr>
        <w:t xml:space="preserve"> </w:t>
      </w:r>
      <w:r w:rsidR="001D1082" w:rsidRPr="00041AB1">
        <w:rPr>
          <w:rFonts w:ascii="Times New Roman" w:hAnsi="Times New Roman" w:cs="Times New Roman"/>
          <w:sz w:val="24"/>
          <w:szCs w:val="28"/>
        </w:rPr>
        <w:t>(Profi</w:t>
      </w:r>
      <w:r w:rsidR="0065628E" w:rsidRPr="00041AB1">
        <w:rPr>
          <w:rFonts w:ascii="Times New Roman" w:hAnsi="Times New Roman" w:cs="Times New Roman"/>
          <w:sz w:val="24"/>
          <w:szCs w:val="28"/>
        </w:rPr>
        <w:t xml:space="preserve">les 0-2), estimated from a </w:t>
      </w:r>
      <w:r w:rsidR="00086A6B" w:rsidRPr="00041AB1">
        <w:rPr>
          <w:rFonts w:ascii="Times New Roman" w:hAnsi="Times New Roman" w:cs="Times New Roman"/>
          <w:sz w:val="24"/>
          <w:szCs w:val="28"/>
        </w:rPr>
        <w:t>m</w:t>
      </w:r>
      <w:r w:rsidR="0065628E" w:rsidRPr="00041AB1">
        <w:rPr>
          <w:rFonts w:ascii="Times New Roman" w:hAnsi="Times New Roman" w:cs="Times New Roman"/>
          <w:sz w:val="24"/>
          <w:szCs w:val="28"/>
        </w:rPr>
        <w:t>ultinominal propensity</w:t>
      </w:r>
      <w:r w:rsidR="00086A6B" w:rsidRPr="00041AB1">
        <w:rPr>
          <w:rFonts w:ascii="Times New Roman" w:hAnsi="Times New Roman" w:cs="Times New Roman"/>
          <w:sz w:val="24"/>
          <w:szCs w:val="28"/>
        </w:rPr>
        <w:t xml:space="preserve"> model using age, sex, skincare habit, and </w:t>
      </w:r>
      <w:r w:rsidR="000A2DF5" w:rsidRPr="00041AB1">
        <w:rPr>
          <w:rFonts w:ascii="Times New Roman" w:hAnsi="Times New Roman" w:cs="Times New Roman"/>
          <w:sz w:val="24"/>
          <w:szCs w:val="28"/>
        </w:rPr>
        <w:t xml:space="preserve">current smoking as covariates. Substantial overlap without mass near 0 or 1 </w:t>
      </w:r>
      <w:r w:rsidR="00CB38FB" w:rsidRPr="00041AB1">
        <w:rPr>
          <w:rFonts w:ascii="Times New Roman" w:hAnsi="Times New Roman" w:cs="Times New Roman"/>
          <w:sz w:val="24"/>
          <w:szCs w:val="28"/>
        </w:rPr>
        <w:t xml:space="preserve">supports the positivity assumption for IPTW-based </w:t>
      </w:r>
      <w:r w:rsidR="00F51350" w:rsidRPr="00041AB1">
        <w:rPr>
          <w:rFonts w:ascii="Times New Roman" w:hAnsi="Times New Roman" w:cs="Times New Roman"/>
          <w:sz w:val="24"/>
          <w:szCs w:val="28"/>
        </w:rPr>
        <w:t>causal estimation.</w:t>
      </w:r>
    </w:p>
    <w:p w14:paraId="2D33ADCE" w14:textId="77777777" w:rsidR="00270845" w:rsidRPr="00041AB1" w:rsidRDefault="00270845" w:rsidP="00440E37">
      <w:pPr>
        <w:spacing w:line="360" w:lineRule="auto"/>
        <w:rPr>
          <w:rFonts w:ascii="Times New Roman" w:hAnsi="Times New Roman" w:cs="Times New Roman"/>
          <w:b/>
          <w:bCs/>
          <w:sz w:val="24"/>
          <w:szCs w:val="28"/>
        </w:rPr>
      </w:pPr>
    </w:p>
    <w:p w14:paraId="7F4D6A47" w14:textId="4A7EC899" w:rsidR="00F64B68" w:rsidRPr="00041AB1" w:rsidRDefault="00F64B68" w:rsidP="00440E37">
      <w:pPr>
        <w:spacing w:line="360" w:lineRule="auto"/>
        <w:rPr>
          <w:rFonts w:ascii="Times New Roman" w:hAnsi="Times New Roman" w:cs="Times New Roman"/>
          <w:sz w:val="24"/>
          <w:szCs w:val="28"/>
        </w:rPr>
      </w:pPr>
      <w:r w:rsidRPr="00041AB1">
        <w:rPr>
          <w:rFonts w:ascii="Times New Roman" w:hAnsi="Times New Roman" w:cs="Times New Roman"/>
          <w:b/>
          <w:bCs/>
          <w:sz w:val="24"/>
          <w:szCs w:val="28"/>
        </w:rPr>
        <w:t xml:space="preserve">Supplementary </w:t>
      </w:r>
      <w:r w:rsidR="000328A9" w:rsidRPr="00041AB1">
        <w:rPr>
          <w:rFonts w:ascii="Times New Roman" w:hAnsi="Times New Roman" w:cs="Times New Roman"/>
          <w:b/>
          <w:bCs/>
          <w:sz w:val="24"/>
          <w:szCs w:val="28"/>
        </w:rPr>
        <w:t xml:space="preserve">Table </w:t>
      </w:r>
      <w:r w:rsidRPr="00041AB1">
        <w:rPr>
          <w:rFonts w:ascii="Times New Roman" w:hAnsi="Times New Roman" w:cs="Times New Roman"/>
          <w:b/>
          <w:bCs/>
          <w:sz w:val="24"/>
          <w:szCs w:val="28"/>
        </w:rPr>
        <w:t xml:space="preserve">S4 | </w:t>
      </w:r>
      <w:r w:rsidR="007F58F9" w:rsidRPr="007F58F9">
        <w:rPr>
          <w:rFonts w:ascii="Times New Roman" w:hAnsi="Times New Roman" w:cs="Times New Roman"/>
          <w:b/>
          <w:bCs/>
          <w:sz w:val="24"/>
          <w:szCs w:val="28"/>
        </w:rPr>
        <w:t>Outcome-specific analyzed sample sizes after weighting/trimming (primary analysis).</w:t>
      </w:r>
    </w:p>
    <w:p w14:paraId="698FA288" w14:textId="703DC929" w:rsidR="00912420" w:rsidRDefault="007F58F9" w:rsidP="00496479">
      <w:pPr>
        <w:rPr>
          <w:rFonts w:ascii="Times New Roman" w:hAnsi="Times New Roman" w:cs="Times New Roman"/>
          <w:sz w:val="24"/>
          <w:szCs w:val="28"/>
        </w:rPr>
      </w:pPr>
      <w:r w:rsidRPr="007F58F9">
        <w:rPr>
          <w:rFonts w:ascii="Times New Roman" w:hAnsi="Times New Roman" w:cs="Times New Roman"/>
          <w:sz w:val="24"/>
          <w:szCs w:val="28"/>
        </w:rPr>
        <w:t>Counts of non-missing observations entering each outcome model after stabilized IPTW and global 1st/99th-percentile trimming (Option A). Denominators vary by outcome due to outcome-specific missingness; exposure, confounders, and weights were required to be non-missing for inclusion. The weighted ESS for the trimmed weighting population is reported; per-outcome analytic N may be smaller if the outcome itself is missing.</w:t>
      </w:r>
    </w:p>
    <w:p w14:paraId="7A1DB8D9" w14:textId="77777777" w:rsidR="007F58F9" w:rsidRPr="00041AB1" w:rsidRDefault="007F58F9" w:rsidP="00440E37">
      <w:pPr>
        <w:spacing w:line="360" w:lineRule="auto"/>
        <w:rPr>
          <w:rFonts w:ascii="Times New Roman" w:hAnsi="Times New Roman" w:cs="Times New Roman"/>
          <w:sz w:val="24"/>
          <w:szCs w:val="28"/>
        </w:rPr>
      </w:pPr>
    </w:p>
    <w:p w14:paraId="05D56890" w14:textId="00A992E5" w:rsidR="00912420" w:rsidRPr="00041AB1" w:rsidRDefault="00912420" w:rsidP="00440E37">
      <w:pPr>
        <w:spacing w:line="360" w:lineRule="auto"/>
        <w:rPr>
          <w:rFonts w:ascii="Times New Roman" w:hAnsi="Times New Roman" w:cs="Times New Roman"/>
          <w:b/>
          <w:bCs/>
          <w:sz w:val="24"/>
          <w:szCs w:val="28"/>
        </w:rPr>
      </w:pPr>
      <w:r w:rsidRPr="00041AB1">
        <w:rPr>
          <w:rFonts w:ascii="Times New Roman" w:hAnsi="Times New Roman" w:cs="Times New Roman"/>
          <w:b/>
          <w:bCs/>
          <w:sz w:val="24"/>
          <w:szCs w:val="28"/>
        </w:rPr>
        <w:t>Supplementary Table S5 | Binary outcomes: IPTW-weighted marginal odds ratios (OR) with 95% CI</w:t>
      </w:r>
    </w:p>
    <w:p w14:paraId="74B60C47" w14:textId="429AB4B9" w:rsidR="00912420" w:rsidRDefault="007F58F9" w:rsidP="00496479">
      <w:pPr>
        <w:rPr>
          <w:rFonts w:ascii="Times New Roman" w:hAnsi="Times New Roman" w:cs="Times New Roman"/>
          <w:sz w:val="24"/>
          <w:szCs w:val="28"/>
        </w:rPr>
      </w:pPr>
      <w:r w:rsidRPr="007F58F9">
        <w:rPr>
          <w:rFonts w:ascii="Times New Roman" w:hAnsi="Times New Roman" w:cs="Times New Roman"/>
          <w:sz w:val="24"/>
          <w:szCs w:val="28"/>
        </w:rPr>
        <w:t>Stabilized IPTW were estimated from age, sex (female = 1), skincare habit (yes = 1), and current smoking (yes = 1) using a multinomial propensity model for the three-level exposure (Profiles 0–2). Weighted marginal structural logistic models report population-average effects for Profile 1 vs 0 and Profile 2 vs 0. Columns list the point-estimate OR and 95% CI for each outcome (wrinkle, turnover, transparency, seborrheic dermatitis, rosacea, redness, acne). Primary analyses applied global 1st/99th-percentile trimming (Option A) uniformly across outcomes. Outcome-specific analyzed N are provided in Supplementary Table S4.</w:t>
      </w:r>
    </w:p>
    <w:p w14:paraId="4E5AE920" w14:textId="77777777" w:rsidR="007F58F9" w:rsidRPr="00041AB1" w:rsidRDefault="007F58F9" w:rsidP="00440E37">
      <w:pPr>
        <w:spacing w:line="360" w:lineRule="auto"/>
        <w:rPr>
          <w:rFonts w:ascii="Times New Roman" w:hAnsi="Times New Roman" w:cs="Times New Roman"/>
          <w:sz w:val="24"/>
          <w:szCs w:val="28"/>
        </w:rPr>
      </w:pPr>
    </w:p>
    <w:p w14:paraId="0701F3B6" w14:textId="04751677" w:rsidR="00912420" w:rsidRPr="00041AB1" w:rsidRDefault="00912420" w:rsidP="00440E37">
      <w:pPr>
        <w:spacing w:line="360" w:lineRule="auto"/>
        <w:rPr>
          <w:rFonts w:ascii="Times New Roman" w:hAnsi="Times New Roman" w:cs="Times New Roman"/>
          <w:b/>
          <w:bCs/>
          <w:sz w:val="24"/>
          <w:szCs w:val="28"/>
        </w:rPr>
      </w:pPr>
      <w:r w:rsidRPr="00041AB1">
        <w:rPr>
          <w:rFonts w:ascii="Times New Roman" w:hAnsi="Times New Roman" w:cs="Times New Roman"/>
          <w:b/>
          <w:bCs/>
          <w:sz w:val="24"/>
          <w:szCs w:val="28"/>
        </w:rPr>
        <w:t xml:space="preserve">Supplementary Table S6 | Continuous outcomes: IPTW-weighted standardized coefficients (β) with 95% CI </w:t>
      </w:r>
    </w:p>
    <w:p w14:paraId="72335C5D" w14:textId="1E3A1F6D" w:rsidR="00440E37" w:rsidRDefault="007F58F9" w:rsidP="00496479">
      <w:pPr>
        <w:rPr>
          <w:rFonts w:ascii="Times New Roman" w:hAnsi="Times New Roman" w:cs="Times New Roman"/>
          <w:sz w:val="24"/>
          <w:szCs w:val="28"/>
        </w:rPr>
      </w:pPr>
      <w:r w:rsidRPr="007F58F9">
        <w:rPr>
          <w:rFonts w:ascii="Times New Roman" w:hAnsi="Times New Roman" w:cs="Times New Roman"/>
          <w:sz w:val="24"/>
          <w:szCs w:val="28"/>
        </w:rPr>
        <w:t>Using the same stabilized IPTW and primary trimming (Option A) as in S5, weighted marginal structural linear models estimate population-average effects for Profile 1 vs 0 and Profile 2 vs 0. Outcomes include cheek/forehead domains for wrinkle, brown spot, red spot, pore, and texture, plus color parameters L*, a*, b*. Reported β are standardized (denominator = weighted SD of each outcome in the analytic sample). Columns list β and 95% CI. Outcome-specific analyzed N appear in Supplementary Table S4.</w:t>
      </w:r>
    </w:p>
    <w:p w14:paraId="6A6ACB02" w14:textId="77777777" w:rsidR="00BD7ADA" w:rsidRDefault="00BD7ADA" w:rsidP="00440E37">
      <w:pPr>
        <w:spacing w:line="360" w:lineRule="auto"/>
        <w:rPr>
          <w:rFonts w:ascii="Times New Roman" w:hAnsi="Times New Roman" w:cs="Times New Roman"/>
          <w:sz w:val="24"/>
          <w:szCs w:val="28"/>
        </w:rPr>
      </w:pPr>
    </w:p>
    <w:p w14:paraId="6CEB220E" w14:textId="0344BAB4" w:rsidR="007F58F9" w:rsidRPr="007F58F9" w:rsidRDefault="007F58F9" w:rsidP="007F58F9">
      <w:pPr>
        <w:spacing w:line="360" w:lineRule="auto"/>
        <w:rPr>
          <w:rFonts w:ascii="Times New Roman" w:hAnsi="Times New Roman" w:cs="Times New Roman"/>
          <w:b/>
          <w:bCs/>
          <w:sz w:val="24"/>
          <w:szCs w:val="28"/>
        </w:rPr>
      </w:pPr>
      <w:r w:rsidRPr="007F58F9">
        <w:rPr>
          <w:rFonts w:ascii="Times New Roman" w:hAnsi="Times New Roman" w:cs="Times New Roman"/>
          <w:b/>
          <w:bCs/>
          <w:sz w:val="24"/>
          <w:szCs w:val="28"/>
        </w:rPr>
        <w:t>Supplementary Fig. S</w:t>
      </w:r>
      <w:r>
        <w:rPr>
          <w:rFonts w:ascii="Times New Roman" w:hAnsi="Times New Roman" w:cs="Times New Roman" w:hint="eastAsia"/>
          <w:b/>
          <w:bCs/>
          <w:sz w:val="24"/>
          <w:szCs w:val="28"/>
        </w:rPr>
        <w:t>3</w:t>
      </w:r>
      <w:r w:rsidRPr="007F58F9">
        <w:rPr>
          <w:rFonts w:ascii="Times New Roman" w:hAnsi="Times New Roman" w:cs="Times New Roman"/>
          <w:b/>
          <w:bCs/>
          <w:sz w:val="24"/>
          <w:szCs w:val="28"/>
        </w:rPr>
        <w:t xml:space="preserve"> | Agreement between trimming and winsorization of stabilized IPTW.</w:t>
      </w:r>
    </w:p>
    <w:p w14:paraId="1F23CDD4" w14:textId="77777777" w:rsidR="00511E4C" w:rsidRDefault="00511E4C" w:rsidP="00511E4C">
      <w:pPr>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2F3E4CA7" wp14:editId="3B9BEF2B">
            <wp:extent cx="5116868" cy="2514600"/>
            <wp:effectExtent l="0" t="0" r="7620" b="0"/>
            <wp:docPr id="109263429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452" cy="2517344"/>
                    </a:xfrm>
                    <a:prstGeom prst="rect">
                      <a:avLst/>
                    </a:prstGeom>
                    <a:noFill/>
                    <a:ln>
                      <a:noFill/>
                    </a:ln>
                  </pic:spPr>
                </pic:pic>
              </a:graphicData>
            </a:graphic>
          </wp:inline>
        </w:drawing>
      </w:r>
    </w:p>
    <w:p w14:paraId="06E0569A" w14:textId="15DB74FD" w:rsidR="00BD55EE" w:rsidRDefault="007F58F9" w:rsidP="00511E4C">
      <w:pPr>
        <w:jc w:val="left"/>
        <w:rPr>
          <w:rFonts w:ascii="Times New Roman" w:hAnsi="Times New Roman" w:cs="Times New Roman"/>
          <w:sz w:val="24"/>
          <w:szCs w:val="28"/>
        </w:rPr>
      </w:pPr>
      <w:r w:rsidRPr="007F58F9">
        <w:rPr>
          <w:rFonts w:ascii="Times New Roman" w:hAnsi="Times New Roman" w:cs="Times New Roman"/>
          <w:sz w:val="24"/>
          <w:szCs w:val="28"/>
        </w:rPr>
        <w:t>Panels compare estimates from winsorization (x-axis) versus percentile trimming (y-axis) for (a) binary outcomes (log OR) and (b) continuous outcomes (standardized β). Dashed line: identity. Solid line: Deming regression (error-in-variables). Lin’s concordance correlation coefficients (CCC), mean absolute error (MAE), and median absolute error (MedAE) are reported within each panel. Agreement was high (CCC≈0.95–0.97) with slopes near unity, indicating that the choice between trimming and winsorization has minimal impact on effect estimates.</w:t>
      </w:r>
    </w:p>
    <w:p w14:paraId="75229F18" w14:textId="77777777" w:rsidR="00BD55EE" w:rsidRPr="00BD55EE" w:rsidRDefault="00BD55EE" w:rsidP="00440E37">
      <w:pPr>
        <w:spacing w:line="360" w:lineRule="auto"/>
        <w:rPr>
          <w:rFonts w:ascii="Times New Roman" w:hAnsi="Times New Roman" w:cs="Times New Roman"/>
          <w:sz w:val="24"/>
          <w:szCs w:val="28"/>
        </w:rPr>
      </w:pPr>
    </w:p>
    <w:p w14:paraId="207943D0" w14:textId="6296EC0B" w:rsidR="00B93135" w:rsidRPr="00041AB1" w:rsidRDefault="00096D85" w:rsidP="00440E37">
      <w:pPr>
        <w:spacing w:line="360" w:lineRule="auto"/>
        <w:rPr>
          <w:rFonts w:ascii="Times New Roman" w:hAnsi="Times New Roman" w:cs="Times New Roman"/>
          <w:sz w:val="24"/>
          <w:szCs w:val="28"/>
        </w:rPr>
      </w:pPr>
      <w:r w:rsidRPr="00041AB1">
        <w:rPr>
          <w:rFonts w:ascii="Times New Roman" w:hAnsi="Times New Roman" w:cs="Times New Roman"/>
          <w:b/>
          <w:bCs/>
          <w:sz w:val="24"/>
          <w:szCs w:val="28"/>
        </w:rPr>
        <w:t>Supplementary Methods</w:t>
      </w:r>
    </w:p>
    <w:p w14:paraId="282EDB24" w14:textId="77777777" w:rsidR="0047036F" w:rsidRPr="00041AB1" w:rsidRDefault="0047036F" w:rsidP="00440E37">
      <w:pPr>
        <w:spacing w:line="360" w:lineRule="auto"/>
        <w:rPr>
          <w:rFonts w:ascii="Times New Roman" w:hAnsi="Times New Roman" w:cs="Times New Roman"/>
          <w:b/>
          <w:bCs/>
          <w:sz w:val="24"/>
          <w:szCs w:val="28"/>
        </w:rPr>
      </w:pPr>
      <w:r w:rsidRPr="00041AB1">
        <w:rPr>
          <w:rFonts w:ascii="Times New Roman" w:hAnsi="Times New Roman" w:cs="Times New Roman"/>
          <w:b/>
          <w:bCs/>
          <w:sz w:val="24"/>
          <w:szCs w:val="28"/>
        </w:rPr>
        <w:t xml:space="preserve">Inclusion/exclusion criteria </w:t>
      </w:r>
    </w:p>
    <w:p w14:paraId="1064105D" w14:textId="77777777" w:rsidR="00073F93" w:rsidRPr="00BD7ADA" w:rsidRDefault="00073F93" w:rsidP="00440E37">
      <w:pPr>
        <w:spacing w:line="360" w:lineRule="auto"/>
        <w:rPr>
          <w:rFonts w:ascii="Times New Roman" w:hAnsi="Times New Roman" w:cs="Times New Roman"/>
          <w:sz w:val="24"/>
          <w:szCs w:val="28"/>
        </w:rPr>
      </w:pPr>
      <w:r w:rsidRPr="00BD7ADA">
        <w:rPr>
          <w:rFonts w:ascii="Times New Roman" w:hAnsi="Times New Roman" w:cs="Times New Roman"/>
          <w:sz w:val="24"/>
          <w:szCs w:val="28"/>
        </w:rPr>
        <w:t>Inclusion criteria</w:t>
      </w:r>
    </w:p>
    <w:p w14:paraId="18FFE45D" w14:textId="77777777" w:rsidR="00073F93" w:rsidRPr="00073F93" w:rsidRDefault="00073F93" w:rsidP="00BD7ADA">
      <w:pPr>
        <w:spacing w:line="360" w:lineRule="auto"/>
        <w:ind w:leftChars="100" w:left="210"/>
        <w:rPr>
          <w:rFonts w:ascii="Times New Roman" w:hAnsi="Times New Roman" w:cs="Times New Roman"/>
          <w:sz w:val="24"/>
          <w:szCs w:val="28"/>
        </w:rPr>
      </w:pPr>
      <w:r w:rsidRPr="00073F93">
        <w:rPr>
          <w:rFonts w:ascii="Times New Roman" w:hAnsi="Times New Roman" w:cs="Times New Roman"/>
          <w:sz w:val="24"/>
          <w:szCs w:val="28"/>
        </w:rPr>
        <w:t>Able and willing to provide written informed consent.</w:t>
      </w:r>
    </w:p>
    <w:p w14:paraId="133F13F8" w14:textId="77777777" w:rsidR="00073F93" w:rsidRPr="00073F93" w:rsidRDefault="00073F93" w:rsidP="00BD7ADA">
      <w:pPr>
        <w:spacing w:line="360" w:lineRule="auto"/>
        <w:ind w:leftChars="100" w:left="210"/>
        <w:rPr>
          <w:rFonts w:ascii="Times New Roman" w:hAnsi="Times New Roman" w:cs="Times New Roman"/>
          <w:sz w:val="24"/>
          <w:szCs w:val="28"/>
        </w:rPr>
      </w:pPr>
      <w:r w:rsidRPr="00073F93">
        <w:rPr>
          <w:rFonts w:ascii="Times New Roman" w:hAnsi="Times New Roman" w:cs="Times New Roman"/>
          <w:sz w:val="24"/>
          <w:szCs w:val="28"/>
        </w:rPr>
        <w:t>Healthy Japanese women aged 18–39 years at the start of the study year.</w:t>
      </w:r>
    </w:p>
    <w:p w14:paraId="3CE5CEDC" w14:textId="77777777" w:rsidR="00073F93" w:rsidRPr="00BD7ADA" w:rsidRDefault="00073F93" w:rsidP="00440E37">
      <w:pPr>
        <w:spacing w:line="360" w:lineRule="auto"/>
        <w:rPr>
          <w:rFonts w:ascii="Times New Roman" w:hAnsi="Times New Roman" w:cs="Times New Roman"/>
          <w:sz w:val="24"/>
          <w:szCs w:val="28"/>
        </w:rPr>
      </w:pPr>
      <w:r w:rsidRPr="00BD7ADA">
        <w:rPr>
          <w:rFonts w:ascii="Times New Roman" w:hAnsi="Times New Roman" w:cs="Times New Roman"/>
          <w:sz w:val="24"/>
          <w:szCs w:val="28"/>
        </w:rPr>
        <w:t>Exclusion criteria</w:t>
      </w:r>
    </w:p>
    <w:p w14:paraId="71F5458C" w14:textId="77777777" w:rsidR="00073F93" w:rsidRPr="00073F93" w:rsidRDefault="00073F93" w:rsidP="00BD7ADA">
      <w:pPr>
        <w:spacing w:line="360" w:lineRule="auto"/>
        <w:ind w:leftChars="100" w:left="210"/>
        <w:rPr>
          <w:rFonts w:ascii="Times New Roman" w:hAnsi="Times New Roman" w:cs="Times New Roman"/>
          <w:sz w:val="24"/>
          <w:szCs w:val="28"/>
        </w:rPr>
      </w:pPr>
      <w:r w:rsidRPr="00073F93">
        <w:rPr>
          <w:rFonts w:ascii="Times New Roman" w:hAnsi="Times New Roman" w:cs="Times New Roman"/>
          <w:sz w:val="24"/>
          <w:szCs w:val="28"/>
        </w:rPr>
        <w:t>Pregnant, possibly pregnant, or breastfeeding at the time of the health survey.</w:t>
      </w:r>
    </w:p>
    <w:p w14:paraId="06340158" w14:textId="77777777" w:rsidR="00073F93" w:rsidRPr="00073F93" w:rsidRDefault="00073F93" w:rsidP="00BD7ADA">
      <w:pPr>
        <w:spacing w:line="360" w:lineRule="auto"/>
        <w:ind w:leftChars="100" w:left="210"/>
        <w:rPr>
          <w:rFonts w:ascii="Times New Roman" w:hAnsi="Times New Roman" w:cs="Times New Roman"/>
          <w:sz w:val="24"/>
          <w:szCs w:val="28"/>
        </w:rPr>
      </w:pPr>
      <w:r w:rsidRPr="00073F93">
        <w:rPr>
          <w:rFonts w:ascii="Times New Roman" w:hAnsi="Times New Roman" w:cs="Times New Roman"/>
          <w:sz w:val="24"/>
          <w:szCs w:val="28"/>
        </w:rPr>
        <w:t>Current, physician-treated dermatologic disease such as atopic dermatitis or contact dermatitis.</w:t>
      </w:r>
    </w:p>
    <w:p w14:paraId="3AB51757" w14:textId="3F9E294B" w:rsidR="00073F93" w:rsidRPr="00073F93" w:rsidRDefault="00073F93" w:rsidP="00BD7ADA">
      <w:pPr>
        <w:spacing w:line="360" w:lineRule="auto"/>
        <w:ind w:leftChars="100" w:left="210"/>
        <w:rPr>
          <w:rFonts w:ascii="Times New Roman" w:hAnsi="Times New Roman" w:cs="Times New Roman"/>
          <w:sz w:val="24"/>
          <w:szCs w:val="28"/>
        </w:rPr>
      </w:pPr>
      <w:r w:rsidRPr="00073F93">
        <w:rPr>
          <w:rFonts w:ascii="Times New Roman" w:hAnsi="Times New Roman" w:cs="Times New Roman"/>
          <w:sz w:val="24"/>
          <w:szCs w:val="28"/>
        </w:rPr>
        <w:t>Any other condition judged by the principal investigator to make participation inappropriate.</w:t>
      </w:r>
    </w:p>
    <w:p w14:paraId="130D682C" w14:textId="6E1FF4A5" w:rsidR="003F69FC" w:rsidRPr="00073F93" w:rsidRDefault="00073F93" w:rsidP="00440E37">
      <w:pPr>
        <w:spacing w:line="360" w:lineRule="auto"/>
        <w:rPr>
          <w:rFonts w:ascii="Times New Roman" w:hAnsi="Times New Roman" w:cs="Times New Roman"/>
          <w:sz w:val="24"/>
          <w:szCs w:val="28"/>
        </w:rPr>
      </w:pPr>
      <w:r w:rsidRPr="00073F93">
        <w:rPr>
          <w:rFonts w:ascii="Times New Roman" w:hAnsi="Times New Roman" w:cs="Times New Roman"/>
          <w:sz w:val="24"/>
          <w:szCs w:val="28"/>
        </w:rPr>
        <w:t>Note: Eligibility criteria were prespecified before enrollment and applied uniformly.</w:t>
      </w:r>
    </w:p>
    <w:p w14:paraId="439F6FDF" w14:textId="77777777" w:rsidR="003F69FC" w:rsidRDefault="003F69FC" w:rsidP="00440E37">
      <w:pPr>
        <w:spacing w:line="360" w:lineRule="auto"/>
        <w:rPr>
          <w:b/>
          <w:bCs/>
        </w:rPr>
      </w:pPr>
    </w:p>
    <w:p w14:paraId="493A9F4B" w14:textId="77777777" w:rsidR="008761BC" w:rsidRDefault="008761BC" w:rsidP="00440E37">
      <w:pPr>
        <w:spacing w:line="360" w:lineRule="auto"/>
        <w:rPr>
          <w:rFonts w:ascii="Times New Roman" w:hAnsi="Times New Roman" w:cs="Times New Roman"/>
          <w:b/>
          <w:bCs/>
          <w:sz w:val="24"/>
          <w:szCs w:val="28"/>
        </w:rPr>
      </w:pPr>
      <w:r w:rsidRPr="008761BC">
        <w:rPr>
          <w:rFonts w:ascii="Times New Roman" w:hAnsi="Times New Roman" w:cs="Times New Roman"/>
          <w:b/>
          <w:bCs/>
          <w:sz w:val="24"/>
          <w:szCs w:val="28"/>
        </w:rPr>
        <w:t>Device models and measurements</w:t>
      </w:r>
    </w:p>
    <w:p w14:paraId="32A3F807" w14:textId="07E076CF" w:rsidR="00424218" w:rsidRPr="00424218" w:rsidRDefault="00424218" w:rsidP="00440E37">
      <w:pPr>
        <w:spacing w:line="360" w:lineRule="auto"/>
        <w:rPr>
          <w:rFonts w:ascii="Times New Roman" w:hAnsi="Times New Roman" w:cs="Times New Roman"/>
          <w:sz w:val="24"/>
          <w:szCs w:val="28"/>
        </w:rPr>
      </w:pPr>
      <w:r w:rsidRPr="00424218">
        <w:rPr>
          <w:rFonts w:ascii="Times New Roman" w:hAnsi="Times New Roman" w:cs="Times New Roman"/>
          <w:sz w:val="24"/>
          <w:szCs w:val="28"/>
        </w:rPr>
        <w:t xml:space="preserve">Unless otherwise noted, measurements were obtained at the cheek by trained staff following </w:t>
      </w:r>
      <w:r w:rsidRPr="00424218">
        <w:rPr>
          <w:rFonts w:ascii="Times New Roman" w:hAnsi="Times New Roman" w:cs="Times New Roman"/>
          <w:sz w:val="24"/>
          <w:szCs w:val="28"/>
        </w:rPr>
        <w:lastRenderedPageBreak/>
        <w:t>manufacturer instructions, under stable indoor conditions (temperature 21–24 °C, relative humidity 40–60%).</w:t>
      </w:r>
    </w:p>
    <w:p w14:paraId="766912E2" w14:textId="77777777" w:rsidR="00424218" w:rsidRPr="00D650A6" w:rsidRDefault="00424218" w:rsidP="00D650A6">
      <w:pPr>
        <w:pStyle w:val="a9"/>
        <w:numPr>
          <w:ilvl w:val="0"/>
          <w:numId w:val="4"/>
        </w:numPr>
        <w:spacing w:line="360" w:lineRule="auto"/>
        <w:rPr>
          <w:rFonts w:ascii="Times New Roman" w:hAnsi="Times New Roman" w:cs="Times New Roman"/>
          <w:sz w:val="24"/>
          <w:szCs w:val="28"/>
        </w:rPr>
      </w:pPr>
      <w:r w:rsidRPr="00D650A6">
        <w:rPr>
          <w:rFonts w:ascii="Times New Roman" w:hAnsi="Times New Roman" w:cs="Times New Roman"/>
          <w:sz w:val="24"/>
          <w:szCs w:val="28"/>
        </w:rPr>
        <w:t>Transepidermal water loss (TEWL): Tewameter TM300 (Courage + Khazaka, Germany).</w:t>
      </w:r>
    </w:p>
    <w:p w14:paraId="69C7FF7A" w14:textId="77777777" w:rsidR="00424218" w:rsidRPr="00D650A6" w:rsidRDefault="00424218" w:rsidP="00D650A6">
      <w:pPr>
        <w:pStyle w:val="a9"/>
        <w:numPr>
          <w:ilvl w:val="0"/>
          <w:numId w:val="4"/>
        </w:numPr>
        <w:spacing w:line="360" w:lineRule="auto"/>
        <w:rPr>
          <w:rFonts w:ascii="Times New Roman" w:hAnsi="Times New Roman" w:cs="Times New Roman"/>
          <w:sz w:val="24"/>
          <w:szCs w:val="28"/>
        </w:rPr>
      </w:pPr>
      <w:r w:rsidRPr="00D650A6">
        <w:rPr>
          <w:rFonts w:ascii="Times New Roman" w:hAnsi="Times New Roman" w:cs="Times New Roman"/>
          <w:sz w:val="24"/>
          <w:szCs w:val="28"/>
        </w:rPr>
        <w:t>Stratum corneum hydration (surface): Corneometer CM825 (Courage + Khazaka, Germany).</w:t>
      </w:r>
    </w:p>
    <w:p w14:paraId="0CCC4FA5" w14:textId="77777777" w:rsidR="00424218" w:rsidRPr="00D650A6" w:rsidRDefault="00424218" w:rsidP="00D650A6">
      <w:pPr>
        <w:pStyle w:val="a9"/>
        <w:numPr>
          <w:ilvl w:val="0"/>
          <w:numId w:val="4"/>
        </w:numPr>
        <w:spacing w:line="360" w:lineRule="auto"/>
        <w:rPr>
          <w:rFonts w:ascii="Times New Roman" w:hAnsi="Times New Roman" w:cs="Times New Roman"/>
          <w:sz w:val="24"/>
          <w:szCs w:val="28"/>
        </w:rPr>
      </w:pPr>
      <w:r w:rsidRPr="00D650A6">
        <w:rPr>
          <w:rFonts w:ascii="Times New Roman" w:hAnsi="Times New Roman" w:cs="Times New Roman"/>
          <w:sz w:val="24"/>
          <w:szCs w:val="28"/>
        </w:rPr>
        <w:t>Water-holding capacity (hydration capacity): SKICON (Yayoi, Japan).</w:t>
      </w:r>
    </w:p>
    <w:p w14:paraId="5A4A12E9" w14:textId="77777777" w:rsidR="00424218" w:rsidRPr="00D650A6" w:rsidRDefault="00424218" w:rsidP="00D650A6">
      <w:pPr>
        <w:pStyle w:val="a9"/>
        <w:numPr>
          <w:ilvl w:val="0"/>
          <w:numId w:val="4"/>
        </w:numPr>
        <w:spacing w:line="360" w:lineRule="auto"/>
        <w:rPr>
          <w:rFonts w:ascii="Times New Roman" w:hAnsi="Times New Roman" w:cs="Times New Roman"/>
          <w:sz w:val="24"/>
          <w:szCs w:val="28"/>
        </w:rPr>
      </w:pPr>
      <w:r w:rsidRPr="00D650A6">
        <w:rPr>
          <w:rFonts w:ascii="Times New Roman" w:hAnsi="Times New Roman" w:cs="Times New Roman"/>
          <w:sz w:val="24"/>
          <w:szCs w:val="28"/>
        </w:rPr>
        <w:t>Hydration homogeneity (spatial uniformity): MoistureMap MM 200 (Courage + Khazaka, Germany).</w:t>
      </w:r>
    </w:p>
    <w:p w14:paraId="17C0F1A8" w14:textId="77777777" w:rsidR="00424218" w:rsidRPr="00D650A6" w:rsidRDefault="00424218" w:rsidP="00D650A6">
      <w:pPr>
        <w:pStyle w:val="a9"/>
        <w:numPr>
          <w:ilvl w:val="0"/>
          <w:numId w:val="4"/>
        </w:numPr>
        <w:spacing w:line="360" w:lineRule="auto"/>
        <w:rPr>
          <w:rFonts w:ascii="Times New Roman" w:hAnsi="Times New Roman" w:cs="Times New Roman"/>
          <w:sz w:val="24"/>
          <w:szCs w:val="28"/>
        </w:rPr>
      </w:pPr>
      <w:r w:rsidRPr="00D650A6">
        <w:rPr>
          <w:rFonts w:ascii="Times New Roman" w:hAnsi="Times New Roman" w:cs="Times New Roman"/>
          <w:sz w:val="24"/>
          <w:szCs w:val="28"/>
        </w:rPr>
        <w:t>Sebum amount: Sebumeter (Courage + Khazaka, Germany).</w:t>
      </w:r>
    </w:p>
    <w:p w14:paraId="7FCBF78A" w14:textId="77777777" w:rsidR="00424218" w:rsidRPr="00D650A6" w:rsidRDefault="00424218" w:rsidP="00D650A6">
      <w:pPr>
        <w:pStyle w:val="a9"/>
        <w:numPr>
          <w:ilvl w:val="0"/>
          <w:numId w:val="4"/>
        </w:numPr>
        <w:spacing w:line="360" w:lineRule="auto"/>
        <w:rPr>
          <w:rFonts w:ascii="Times New Roman" w:hAnsi="Times New Roman" w:cs="Times New Roman"/>
          <w:sz w:val="24"/>
          <w:szCs w:val="28"/>
        </w:rPr>
      </w:pPr>
      <w:r w:rsidRPr="00D650A6">
        <w:rPr>
          <w:rFonts w:ascii="Times New Roman" w:hAnsi="Times New Roman" w:cs="Times New Roman"/>
          <w:sz w:val="24"/>
          <w:szCs w:val="28"/>
        </w:rPr>
        <w:t>Skin thickness: DermaLab ultrasound system (Cortex Technology, Denmark).</w:t>
      </w:r>
    </w:p>
    <w:p w14:paraId="2C08B5A6" w14:textId="77777777" w:rsidR="00424218" w:rsidRPr="00D650A6" w:rsidRDefault="00424218" w:rsidP="00D650A6">
      <w:pPr>
        <w:pStyle w:val="a9"/>
        <w:numPr>
          <w:ilvl w:val="0"/>
          <w:numId w:val="4"/>
        </w:numPr>
        <w:spacing w:line="360" w:lineRule="auto"/>
        <w:rPr>
          <w:rFonts w:ascii="Times New Roman" w:hAnsi="Times New Roman" w:cs="Times New Roman"/>
          <w:sz w:val="24"/>
          <w:szCs w:val="28"/>
        </w:rPr>
      </w:pPr>
      <w:r w:rsidRPr="00D650A6">
        <w:rPr>
          <w:rFonts w:ascii="Times New Roman" w:hAnsi="Times New Roman" w:cs="Times New Roman"/>
          <w:sz w:val="24"/>
          <w:szCs w:val="28"/>
        </w:rPr>
        <w:t>Collagen content (dermal echogenicity): DermaLab ultrasound system (Cortex Technology, Denmark).</w:t>
      </w:r>
    </w:p>
    <w:p w14:paraId="19A6D0F9" w14:textId="77777777" w:rsidR="00424218" w:rsidRPr="00D650A6" w:rsidRDefault="00424218" w:rsidP="00D650A6">
      <w:pPr>
        <w:pStyle w:val="a9"/>
        <w:numPr>
          <w:ilvl w:val="0"/>
          <w:numId w:val="4"/>
        </w:numPr>
        <w:spacing w:line="360" w:lineRule="auto"/>
        <w:rPr>
          <w:rFonts w:ascii="Times New Roman" w:hAnsi="Times New Roman" w:cs="Times New Roman"/>
          <w:sz w:val="24"/>
          <w:szCs w:val="28"/>
        </w:rPr>
      </w:pPr>
      <w:r w:rsidRPr="00D650A6">
        <w:rPr>
          <w:rFonts w:ascii="Times New Roman" w:hAnsi="Times New Roman" w:cs="Times New Roman"/>
          <w:sz w:val="24"/>
          <w:szCs w:val="28"/>
        </w:rPr>
        <w:t>Skin surface temperature: TH9100 PMV/PWV infrared thermography (Nippon Avionics, Japan).</w:t>
      </w:r>
    </w:p>
    <w:p w14:paraId="67CF4188" w14:textId="77777777" w:rsidR="00424218" w:rsidRPr="00D650A6" w:rsidRDefault="00424218" w:rsidP="00D650A6">
      <w:pPr>
        <w:pStyle w:val="a9"/>
        <w:numPr>
          <w:ilvl w:val="0"/>
          <w:numId w:val="4"/>
        </w:numPr>
        <w:spacing w:line="360" w:lineRule="auto"/>
        <w:rPr>
          <w:rFonts w:ascii="Times New Roman" w:hAnsi="Times New Roman" w:cs="Times New Roman"/>
          <w:sz w:val="24"/>
          <w:szCs w:val="28"/>
        </w:rPr>
      </w:pPr>
      <w:r w:rsidRPr="00D650A6">
        <w:rPr>
          <w:rFonts w:ascii="Times New Roman" w:hAnsi="Times New Roman" w:cs="Times New Roman"/>
          <w:sz w:val="24"/>
          <w:szCs w:val="28"/>
        </w:rPr>
        <w:t>Dermal hydration: MoistureMeter-D (Delfin Technologies, Finland).</w:t>
      </w:r>
    </w:p>
    <w:p w14:paraId="2F81CA1D" w14:textId="77777777" w:rsidR="008761BC" w:rsidRDefault="008761BC" w:rsidP="00440E37">
      <w:pPr>
        <w:spacing w:line="360" w:lineRule="auto"/>
        <w:rPr>
          <w:rFonts w:ascii="Times New Roman" w:hAnsi="Times New Roman" w:cs="Times New Roman"/>
          <w:sz w:val="24"/>
          <w:szCs w:val="28"/>
        </w:rPr>
      </w:pPr>
    </w:p>
    <w:p w14:paraId="1D8A61F0" w14:textId="318239B4" w:rsidR="008A1529" w:rsidRDefault="00F91CA1" w:rsidP="00440E37">
      <w:pPr>
        <w:spacing w:line="360" w:lineRule="auto"/>
        <w:rPr>
          <w:rFonts w:ascii="Times New Roman" w:hAnsi="Times New Roman" w:cs="Times New Roman"/>
          <w:b/>
          <w:bCs/>
          <w:sz w:val="24"/>
          <w:szCs w:val="24"/>
        </w:rPr>
      </w:pPr>
      <w:r w:rsidRPr="00F91CA1">
        <w:rPr>
          <w:rFonts w:ascii="Times New Roman" w:hAnsi="Times New Roman" w:cs="Times New Roman"/>
          <w:b/>
          <w:bCs/>
          <w:sz w:val="24"/>
          <w:szCs w:val="24"/>
        </w:rPr>
        <w:t>Detailed outcome definitions, image processing, and quality control</w:t>
      </w:r>
    </w:p>
    <w:p w14:paraId="28FE34C8" w14:textId="77777777" w:rsidR="00C81005" w:rsidRPr="00EA2824" w:rsidRDefault="00C81005" w:rsidP="00440E37">
      <w:pPr>
        <w:spacing w:line="360" w:lineRule="auto"/>
        <w:rPr>
          <w:rFonts w:ascii="Times New Roman" w:hAnsi="Times New Roman" w:cs="Times New Roman"/>
          <w:b/>
          <w:bCs/>
          <w:sz w:val="24"/>
          <w:szCs w:val="28"/>
        </w:rPr>
      </w:pPr>
      <w:r w:rsidRPr="00EA2824">
        <w:rPr>
          <w:rFonts w:ascii="Times New Roman" w:hAnsi="Times New Roman" w:cs="Times New Roman"/>
          <w:b/>
          <w:bCs/>
          <w:sz w:val="24"/>
          <w:szCs w:val="28"/>
        </w:rPr>
        <w:t>Binary outcome definitions and dichotomization</w:t>
      </w:r>
    </w:p>
    <w:p w14:paraId="7931A1B5" w14:textId="77777777" w:rsidR="00C81005" w:rsidRPr="00C81005" w:rsidRDefault="00C81005" w:rsidP="00440E37">
      <w:pPr>
        <w:pStyle w:val="a9"/>
        <w:numPr>
          <w:ilvl w:val="0"/>
          <w:numId w:val="2"/>
        </w:numPr>
        <w:spacing w:line="360" w:lineRule="auto"/>
        <w:rPr>
          <w:rFonts w:ascii="Times New Roman" w:hAnsi="Times New Roman" w:cs="Times New Roman"/>
          <w:sz w:val="24"/>
          <w:szCs w:val="28"/>
        </w:rPr>
      </w:pPr>
      <w:r w:rsidRPr="00C81005">
        <w:rPr>
          <w:rFonts w:ascii="Times New Roman" w:hAnsi="Times New Roman" w:cs="Times New Roman"/>
          <w:sz w:val="24"/>
          <w:szCs w:val="28"/>
        </w:rPr>
        <w:t>Dermatologist-adjudicated endpoints: acne, seborrheic dermatitis, and rosacea were assessed as present/absent by a board-certified dermatologist based on standardized facial inspection.</w:t>
      </w:r>
    </w:p>
    <w:p w14:paraId="57028275" w14:textId="77777777" w:rsidR="00C81005" w:rsidRPr="00C81005" w:rsidRDefault="00C81005" w:rsidP="00440E37">
      <w:pPr>
        <w:pStyle w:val="a9"/>
        <w:numPr>
          <w:ilvl w:val="0"/>
          <w:numId w:val="2"/>
        </w:numPr>
        <w:spacing w:line="360" w:lineRule="auto"/>
        <w:rPr>
          <w:rFonts w:ascii="Times New Roman" w:hAnsi="Times New Roman" w:cs="Times New Roman"/>
          <w:sz w:val="24"/>
          <w:szCs w:val="28"/>
        </w:rPr>
      </w:pPr>
      <w:r w:rsidRPr="00C81005">
        <w:rPr>
          <w:rFonts w:ascii="Times New Roman" w:hAnsi="Times New Roman" w:cs="Times New Roman"/>
          <w:sz w:val="24"/>
          <w:szCs w:val="28"/>
        </w:rPr>
        <w:t>Specialist-graded endpoints: wrinkle, turnover (desquamation), transparency, and redness were graded by trained cosmetic evaluators using a prespecified ordinal scale under standardized lighting and viewing conditions. Following the analysis plan, each was collapsed to binary by thresholding at the median of the observed scale within the study dataset (i.e., values ≥ median coded as “high,” &lt; median as “low”).</w:t>
      </w:r>
    </w:p>
    <w:p w14:paraId="06DCC7C3" w14:textId="5FEE6FC1" w:rsidR="00E141AF" w:rsidRPr="00EA2824" w:rsidRDefault="00E141AF" w:rsidP="00440E37">
      <w:pPr>
        <w:spacing w:line="360" w:lineRule="auto"/>
        <w:rPr>
          <w:rFonts w:ascii="Times New Roman" w:hAnsi="Times New Roman" w:cs="Times New Roman"/>
          <w:b/>
          <w:bCs/>
          <w:sz w:val="24"/>
          <w:szCs w:val="28"/>
        </w:rPr>
      </w:pPr>
      <w:r w:rsidRPr="00EA2824">
        <w:rPr>
          <w:rFonts w:ascii="Times New Roman" w:hAnsi="Times New Roman" w:cs="Times New Roman"/>
          <w:b/>
          <w:bCs/>
          <w:sz w:val="24"/>
          <w:szCs w:val="28"/>
        </w:rPr>
        <w:t>Continuous outcomes (image-derived)</w:t>
      </w:r>
    </w:p>
    <w:p w14:paraId="0AEA2F45" w14:textId="77777777" w:rsidR="00E141AF" w:rsidRPr="00E141AF" w:rsidRDefault="00E141AF" w:rsidP="00BD7ADA">
      <w:pPr>
        <w:spacing w:line="360" w:lineRule="auto"/>
        <w:rPr>
          <w:rFonts w:ascii="Times New Roman" w:hAnsi="Times New Roman" w:cs="Times New Roman"/>
          <w:sz w:val="24"/>
          <w:szCs w:val="28"/>
        </w:rPr>
      </w:pPr>
      <w:r w:rsidRPr="00E141AF">
        <w:rPr>
          <w:rFonts w:ascii="Times New Roman" w:hAnsi="Times New Roman" w:cs="Times New Roman"/>
          <w:sz w:val="24"/>
          <w:szCs w:val="28"/>
        </w:rPr>
        <w:t xml:space="preserve">Image-derived metrics for wrinkle, brown spot, red spot, pore, and texture were computed using the manufacturer’s software from standardized facial images acquired with VISIA Evolution (Canfield </w:t>
      </w:r>
      <w:r w:rsidRPr="00E141AF">
        <w:rPr>
          <w:rFonts w:ascii="Times New Roman" w:hAnsi="Times New Roman" w:cs="Times New Roman"/>
          <w:sz w:val="24"/>
          <w:szCs w:val="28"/>
        </w:rPr>
        <w:lastRenderedPageBreak/>
        <w:t>Scientific, USA). Outcomes were generated separately for cheek and forehead regions using the system’s default region-of-interest templates; no manual retouching was applied. Skin-color parameters (L*, a**, b***) were measured using a Chroma Meter (Konica Minolta, Japan) and analyzed as continuous variables.</w:t>
      </w:r>
    </w:p>
    <w:p w14:paraId="64D91750" w14:textId="77777777" w:rsidR="00E141AF" w:rsidRPr="00EA2824" w:rsidRDefault="00E141AF" w:rsidP="00440E37">
      <w:pPr>
        <w:spacing w:line="360" w:lineRule="auto"/>
        <w:rPr>
          <w:rFonts w:ascii="Times New Roman" w:hAnsi="Times New Roman" w:cs="Times New Roman"/>
          <w:b/>
          <w:bCs/>
          <w:sz w:val="24"/>
          <w:szCs w:val="28"/>
        </w:rPr>
      </w:pPr>
      <w:r w:rsidRPr="00EA2824">
        <w:rPr>
          <w:rFonts w:ascii="Times New Roman" w:hAnsi="Times New Roman" w:cs="Times New Roman"/>
          <w:b/>
          <w:bCs/>
          <w:sz w:val="24"/>
          <w:szCs w:val="28"/>
        </w:rPr>
        <w:t>Image acquisition and processing</w:t>
      </w:r>
    </w:p>
    <w:p w14:paraId="44BFAA8A" w14:textId="77777777" w:rsidR="00E141AF" w:rsidRPr="00E141AF" w:rsidRDefault="00E141AF" w:rsidP="00440E37">
      <w:pPr>
        <w:spacing w:line="360" w:lineRule="auto"/>
        <w:rPr>
          <w:rFonts w:ascii="Times New Roman" w:hAnsi="Times New Roman" w:cs="Times New Roman"/>
          <w:sz w:val="24"/>
          <w:szCs w:val="28"/>
        </w:rPr>
      </w:pPr>
      <w:r w:rsidRPr="00E141AF">
        <w:rPr>
          <w:rFonts w:ascii="Times New Roman" w:hAnsi="Times New Roman" w:cs="Times New Roman"/>
          <w:sz w:val="24"/>
          <w:szCs w:val="28"/>
        </w:rPr>
        <w:t>Facial images were captured by trained staff under stable indoor conditions (temperature 21–24 °C; relative humidity 40–60%) following the manufacturer’s instructions. Camera settings, subject positioning, and facial orientation were standardized using the built-in alignment guides. All image processing used the vendor’s validated software with default analysis settings; batch processing was applied to ensure consistent handling across participants.</w:t>
      </w:r>
    </w:p>
    <w:p w14:paraId="43CFCB74" w14:textId="77777777" w:rsidR="00E141AF" w:rsidRPr="00E141AF" w:rsidRDefault="00E141AF" w:rsidP="00440E37">
      <w:pPr>
        <w:spacing w:line="360" w:lineRule="auto"/>
        <w:rPr>
          <w:rFonts w:ascii="Times New Roman" w:hAnsi="Times New Roman" w:cs="Times New Roman"/>
          <w:b/>
          <w:bCs/>
          <w:sz w:val="24"/>
          <w:szCs w:val="28"/>
        </w:rPr>
      </w:pPr>
      <w:r w:rsidRPr="00E141AF">
        <w:rPr>
          <w:rFonts w:ascii="Times New Roman" w:hAnsi="Times New Roman" w:cs="Times New Roman"/>
          <w:b/>
          <w:bCs/>
          <w:sz w:val="24"/>
          <w:szCs w:val="28"/>
        </w:rPr>
        <w:t>Quality control (QC)</w:t>
      </w:r>
    </w:p>
    <w:p w14:paraId="0DF540DC" w14:textId="77777777" w:rsidR="00E141AF" w:rsidRPr="00E141AF" w:rsidRDefault="00E141AF" w:rsidP="00440E37">
      <w:pPr>
        <w:spacing w:line="360" w:lineRule="auto"/>
        <w:rPr>
          <w:rFonts w:ascii="Times New Roman" w:hAnsi="Times New Roman" w:cs="Times New Roman"/>
          <w:sz w:val="24"/>
          <w:szCs w:val="28"/>
        </w:rPr>
      </w:pPr>
      <w:r w:rsidRPr="00E141AF">
        <w:rPr>
          <w:rFonts w:ascii="Times New Roman" w:hAnsi="Times New Roman" w:cs="Times New Roman"/>
          <w:sz w:val="24"/>
          <w:szCs w:val="28"/>
        </w:rPr>
        <w:t>QC procedures were prespecified and applied uniformly:</w:t>
      </w:r>
    </w:p>
    <w:p w14:paraId="07D33A82" w14:textId="77777777" w:rsidR="00E141AF" w:rsidRPr="00EA2824" w:rsidRDefault="00E141AF" w:rsidP="00EA2824">
      <w:pPr>
        <w:pStyle w:val="a9"/>
        <w:numPr>
          <w:ilvl w:val="0"/>
          <w:numId w:val="3"/>
        </w:numPr>
        <w:spacing w:line="360" w:lineRule="auto"/>
        <w:rPr>
          <w:rFonts w:ascii="Times New Roman" w:hAnsi="Times New Roman" w:cs="Times New Roman"/>
          <w:sz w:val="24"/>
          <w:szCs w:val="28"/>
        </w:rPr>
      </w:pPr>
      <w:r w:rsidRPr="00EA2824">
        <w:rPr>
          <w:rFonts w:ascii="Times New Roman" w:hAnsi="Times New Roman" w:cs="Times New Roman"/>
          <w:sz w:val="24"/>
          <w:szCs w:val="28"/>
        </w:rPr>
        <w:t>Visual QC excluded images with motion blur, misalignment, occlusions (e.g., hair, mask), or obvious artifacts.</w:t>
      </w:r>
    </w:p>
    <w:p w14:paraId="173AA361" w14:textId="77777777" w:rsidR="00E141AF" w:rsidRPr="00EA2824" w:rsidRDefault="00E141AF" w:rsidP="00EA2824">
      <w:pPr>
        <w:pStyle w:val="a9"/>
        <w:numPr>
          <w:ilvl w:val="0"/>
          <w:numId w:val="3"/>
        </w:numPr>
        <w:spacing w:line="360" w:lineRule="auto"/>
        <w:rPr>
          <w:rFonts w:ascii="Times New Roman" w:hAnsi="Times New Roman" w:cs="Times New Roman"/>
          <w:sz w:val="24"/>
          <w:szCs w:val="28"/>
        </w:rPr>
      </w:pPr>
      <w:r w:rsidRPr="00EA2824">
        <w:rPr>
          <w:rFonts w:ascii="Times New Roman" w:hAnsi="Times New Roman" w:cs="Times New Roman"/>
          <w:sz w:val="24"/>
          <w:szCs w:val="28"/>
        </w:rPr>
        <w:t>Participants were instructed to remove makeup prior to imaging; images with residual cosmetics interfering with detection were excluded.</w:t>
      </w:r>
    </w:p>
    <w:p w14:paraId="246438FF" w14:textId="77777777" w:rsidR="00E141AF" w:rsidRPr="00EA2824" w:rsidRDefault="00E141AF" w:rsidP="00EA2824">
      <w:pPr>
        <w:pStyle w:val="a9"/>
        <w:numPr>
          <w:ilvl w:val="0"/>
          <w:numId w:val="3"/>
        </w:numPr>
        <w:spacing w:line="360" w:lineRule="auto"/>
        <w:rPr>
          <w:rFonts w:ascii="Times New Roman" w:hAnsi="Times New Roman" w:cs="Times New Roman"/>
          <w:sz w:val="24"/>
          <w:szCs w:val="28"/>
        </w:rPr>
      </w:pPr>
      <w:r w:rsidRPr="00EA2824">
        <w:rPr>
          <w:rFonts w:ascii="Times New Roman" w:hAnsi="Times New Roman" w:cs="Times New Roman"/>
          <w:sz w:val="24"/>
          <w:szCs w:val="28"/>
        </w:rPr>
        <w:t>For colorimetry (L*, a*, b*), measurements followed the device manual; values outside the device’s operational range or flagged by the system were re-measured.</w:t>
      </w:r>
    </w:p>
    <w:p w14:paraId="6872E93B" w14:textId="77777777" w:rsidR="00E141AF" w:rsidRPr="00EA2824" w:rsidRDefault="00E141AF" w:rsidP="00EA2824">
      <w:pPr>
        <w:pStyle w:val="a9"/>
        <w:numPr>
          <w:ilvl w:val="0"/>
          <w:numId w:val="3"/>
        </w:numPr>
        <w:spacing w:line="360" w:lineRule="auto"/>
        <w:rPr>
          <w:rFonts w:ascii="Times New Roman" w:hAnsi="Times New Roman" w:cs="Times New Roman"/>
          <w:sz w:val="24"/>
          <w:szCs w:val="28"/>
        </w:rPr>
      </w:pPr>
      <w:r w:rsidRPr="00EA2824">
        <w:rPr>
          <w:rFonts w:ascii="Times New Roman" w:hAnsi="Times New Roman" w:cs="Times New Roman"/>
          <w:sz w:val="24"/>
          <w:szCs w:val="28"/>
        </w:rPr>
        <w:t>Continuous outcomes with software warnings or failed extractions were set to missing and excluded listwise for the corresponding analysis.</w:t>
      </w:r>
    </w:p>
    <w:p w14:paraId="56550C1A" w14:textId="5F420AA0" w:rsidR="00C81005" w:rsidRPr="00EA2824" w:rsidRDefault="00E141AF" w:rsidP="00EA2824">
      <w:pPr>
        <w:pStyle w:val="a9"/>
        <w:numPr>
          <w:ilvl w:val="0"/>
          <w:numId w:val="3"/>
        </w:numPr>
        <w:spacing w:line="360" w:lineRule="auto"/>
        <w:rPr>
          <w:rFonts w:ascii="Times New Roman" w:hAnsi="Times New Roman" w:cs="Times New Roman"/>
          <w:sz w:val="24"/>
          <w:szCs w:val="28"/>
        </w:rPr>
      </w:pPr>
      <w:r w:rsidRPr="00EA2824">
        <w:rPr>
          <w:rFonts w:ascii="Times New Roman" w:hAnsi="Times New Roman" w:cs="Times New Roman"/>
          <w:sz w:val="24"/>
          <w:szCs w:val="28"/>
        </w:rPr>
        <w:t>Raters (dermatologist and cosmetic evaluators) were trained and followed written SOPs; evaluations were performed blinded to clustering assignment and covariates.</w:t>
      </w:r>
    </w:p>
    <w:p w14:paraId="726639EA" w14:textId="77777777" w:rsidR="00243B17" w:rsidRPr="00243B17" w:rsidRDefault="00243B17" w:rsidP="00440E37">
      <w:pPr>
        <w:spacing w:line="360" w:lineRule="auto"/>
        <w:rPr>
          <w:rFonts w:ascii="Times New Roman" w:hAnsi="Times New Roman" w:cs="Times New Roman"/>
          <w:b/>
          <w:bCs/>
          <w:sz w:val="24"/>
          <w:szCs w:val="28"/>
        </w:rPr>
      </w:pPr>
    </w:p>
    <w:sectPr w:rsidR="00243B17" w:rsidRPr="00243B17" w:rsidSect="004421C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CDA2A" w14:textId="77777777" w:rsidR="00DA067E" w:rsidRDefault="00DA067E" w:rsidP="00A1708C">
      <w:r>
        <w:separator/>
      </w:r>
    </w:p>
  </w:endnote>
  <w:endnote w:type="continuationSeparator" w:id="0">
    <w:p w14:paraId="2D7412ED" w14:textId="77777777" w:rsidR="00DA067E" w:rsidRDefault="00DA067E" w:rsidP="00A1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4A10" w14:textId="77777777" w:rsidR="00DA067E" w:rsidRDefault="00DA067E" w:rsidP="00A1708C">
      <w:r>
        <w:separator/>
      </w:r>
    </w:p>
  </w:footnote>
  <w:footnote w:type="continuationSeparator" w:id="0">
    <w:p w14:paraId="54117F3E" w14:textId="77777777" w:rsidR="00DA067E" w:rsidRDefault="00DA067E" w:rsidP="00A17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67383"/>
    <w:multiLevelType w:val="hybridMultilevel"/>
    <w:tmpl w:val="D686758A"/>
    <w:lvl w:ilvl="0" w:tplc="D34EFB1A">
      <w:start w:val="1"/>
      <w:numFmt w:val="upperLetter"/>
      <w:lvlText w:val="(%1)"/>
      <w:lvlJc w:val="left"/>
      <w:pPr>
        <w:ind w:left="375" w:hanging="37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BEC0CE8"/>
    <w:multiLevelType w:val="hybridMultilevel"/>
    <w:tmpl w:val="51049BF4"/>
    <w:lvl w:ilvl="0" w:tplc="C89695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8673692"/>
    <w:multiLevelType w:val="hybridMultilevel"/>
    <w:tmpl w:val="6D888696"/>
    <w:lvl w:ilvl="0" w:tplc="C89695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73F766F"/>
    <w:multiLevelType w:val="hybridMultilevel"/>
    <w:tmpl w:val="C30E7DB2"/>
    <w:lvl w:ilvl="0" w:tplc="C89695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04721987">
    <w:abstractNumId w:val="0"/>
  </w:num>
  <w:num w:numId="2" w16cid:durableId="1405451210">
    <w:abstractNumId w:val="1"/>
  </w:num>
  <w:num w:numId="3" w16cid:durableId="580483776">
    <w:abstractNumId w:val="3"/>
  </w:num>
  <w:num w:numId="4" w16cid:durableId="2033064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C7"/>
    <w:rsid w:val="00005981"/>
    <w:rsid w:val="00031376"/>
    <w:rsid w:val="000328A9"/>
    <w:rsid w:val="00041AB1"/>
    <w:rsid w:val="00043FDA"/>
    <w:rsid w:val="00071823"/>
    <w:rsid w:val="00073F93"/>
    <w:rsid w:val="00086A6B"/>
    <w:rsid w:val="00096D85"/>
    <w:rsid w:val="000A2DF5"/>
    <w:rsid w:val="000D2E55"/>
    <w:rsid w:val="0010651E"/>
    <w:rsid w:val="00150590"/>
    <w:rsid w:val="00166315"/>
    <w:rsid w:val="001D1082"/>
    <w:rsid w:val="001F4510"/>
    <w:rsid w:val="00225E61"/>
    <w:rsid w:val="00235BE3"/>
    <w:rsid w:val="00243B17"/>
    <w:rsid w:val="00251866"/>
    <w:rsid w:val="00270845"/>
    <w:rsid w:val="002726BC"/>
    <w:rsid w:val="00280089"/>
    <w:rsid w:val="002B6E09"/>
    <w:rsid w:val="0031282B"/>
    <w:rsid w:val="00352B59"/>
    <w:rsid w:val="0036716F"/>
    <w:rsid w:val="003827E0"/>
    <w:rsid w:val="003921C3"/>
    <w:rsid w:val="003A56E2"/>
    <w:rsid w:val="003F69FC"/>
    <w:rsid w:val="00404625"/>
    <w:rsid w:val="00424218"/>
    <w:rsid w:val="00424CF8"/>
    <w:rsid w:val="00437E2B"/>
    <w:rsid w:val="00440E37"/>
    <w:rsid w:val="004421C7"/>
    <w:rsid w:val="004421EC"/>
    <w:rsid w:val="00460004"/>
    <w:rsid w:val="0047036F"/>
    <w:rsid w:val="00486FF5"/>
    <w:rsid w:val="00496479"/>
    <w:rsid w:val="004A3A11"/>
    <w:rsid w:val="004F1F47"/>
    <w:rsid w:val="00504D00"/>
    <w:rsid w:val="00511E4C"/>
    <w:rsid w:val="00534830"/>
    <w:rsid w:val="00551BC8"/>
    <w:rsid w:val="0056240F"/>
    <w:rsid w:val="00570D0B"/>
    <w:rsid w:val="00572C00"/>
    <w:rsid w:val="00595215"/>
    <w:rsid w:val="00640862"/>
    <w:rsid w:val="0065628E"/>
    <w:rsid w:val="006A4FB0"/>
    <w:rsid w:val="006F0ED3"/>
    <w:rsid w:val="00757E23"/>
    <w:rsid w:val="007B4F10"/>
    <w:rsid w:val="007B52B0"/>
    <w:rsid w:val="007F58F9"/>
    <w:rsid w:val="008315D9"/>
    <w:rsid w:val="0084554E"/>
    <w:rsid w:val="00860CDA"/>
    <w:rsid w:val="008761BC"/>
    <w:rsid w:val="008763FC"/>
    <w:rsid w:val="00877FE8"/>
    <w:rsid w:val="008A1529"/>
    <w:rsid w:val="00912420"/>
    <w:rsid w:val="00951AB5"/>
    <w:rsid w:val="00996160"/>
    <w:rsid w:val="009A0B11"/>
    <w:rsid w:val="009D3656"/>
    <w:rsid w:val="00A1117E"/>
    <w:rsid w:val="00A1708C"/>
    <w:rsid w:val="00A30C34"/>
    <w:rsid w:val="00A31BCC"/>
    <w:rsid w:val="00A37681"/>
    <w:rsid w:val="00A76271"/>
    <w:rsid w:val="00A956A1"/>
    <w:rsid w:val="00AC763D"/>
    <w:rsid w:val="00AD0D6D"/>
    <w:rsid w:val="00B62E22"/>
    <w:rsid w:val="00B72D2B"/>
    <w:rsid w:val="00B80D3E"/>
    <w:rsid w:val="00B93135"/>
    <w:rsid w:val="00BD55EE"/>
    <w:rsid w:val="00BD7ADA"/>
    <w:rsid w:val="00BF51FD"/>
    <w:rsid w:val="00C015EA"/>
    <w:rsid w:val="00C02587"/>
    <w:rsid w:val="00C034E4"/>
    <w:rsid w:val="00C07BE7"/>
    <w:rsid w:val="00C505EB"/>
    <w:rsid w:val="00C575DC"/>
    <w:rsid w:val="00C64DF8"/>
    <w:rsid w:val="00C8027C"/>
    <w:rsid w:val="00C81005"/>
    <w:rsid w:val="00CA2BD2"/>
    <w:rsid w:val="00CB38FB"/>
    <w:rsid w:val="00CB4D61"/>
    <w:rsid w:val="00CE5D54"/>
    <w:rsid w:val="00CF2703"/>
    <w:rsid w:val="00D47ACE"/>
    <w:rsid w:val="00D51506"/>
    <w:rsid w:val="00D56BBA"/>
    <w:rsid w:val="00D650A6"/>
    <w:rsid w:val="00D801FD"/>
    <w:rsid w:val="00D96FC9"/>
    <w:rsid w:val="00DA067E"/>
    <w:rsid w:val="00DB3BDD"/>
    <w:rsid w:val="00DB4993"/>
    <w:rsid w:val="00DD6BE0"/>
    <w:rsid w:val="00E141AF"/>
    <w:rsid w:val="00E70E1E"/>
    <w:rsid w:val="00E81F83"/>
    <w:rsid w:val="00EA2824"/>
    <w:rsid w:val="00EA67CB"/>
    <w:rsid w:val="00EB7491"/>
    <w:rsid w:val="00F51350"/>
    <w:rsid w:val="00F64B68"/>
    <w:rsid w:val="00F91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5311A750"/>
  <w15:chartTrackingRefBased/>
  <w15:docId w15:val="{C8A2F8EE-ACAB-4C77-9B09-3102BFBA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421C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421C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421C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421C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421C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421C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421C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421C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421C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21C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421C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421C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421C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421C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421C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421C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421C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421C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21C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421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21C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421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21C7"/>
    <w:pPr>
      <w:spacing w:before="160" w:after="160"/>
      <w:jc w:val="center"/>
    </w:pPr>
    <w:rPr>
      <w:i/>
      <w:iCs/>
      <w:color w:val="404040" w:themeColor="text1" w:themeTint="BF"/>
    </w:rPr>
  </w:style>
  <w:style w:type="character" w:customStyle="1" w:styleId="a8">
    <w:name w:val="引用文 (文字)"/>
    <w:basedOn w:val="a0"/>
    <w:link w:val="a7"/>
    <w:uiPriority w:val="29"/>
    <w:rsid w:val="004421C7"/>
    <w:rPr>
      <w:i/>
      <w:iCs/>
      <w:color w:val="404040" w:themeColor="text1" w:themeTint="BF"/>
    </w:rPr>
  </w:style>
  <w:style w:type="paragraph" w:styleId="a9">
    <w:name w:val="List Paragraph"/>
    <w:basedOn w:val="a"/>
    <w:uiPriority w:val="34"/>
    <w:qFormat/>
    <w:rsid w:val="004421C7"/>
    <w:pPr>
      <w:ind w:left="720"/>
      <w:contextualSpacing/>
    </w:pPr>
  </w:style>
  <w:style w:type="character" w:styleId="21">
    <w:name w:val="Intense Emphasis"/>
    <w:basedOn w:val="a0"/>
    <w:uiPriority w:val="21"/>
    <w:qFormat/>
    <w:rsid w:val="004421C7"/>
    <w:rPr>
      <w:i/>
      <w:iCs/>
      <w:color w:val="0F4761" w:themeColor="accent1" w:themeShade="BF"/>
    </w:rPr>
  </w:style>
  <w:style w:type="paragraph" w:styleId="22">
    <w:name w:val="Intense Quote"/>
    <w:basedOn w:val="a"/>
    <w:next w:val="a"/>
    <w:link w:val="23"/>
    <w:uiPriority w:val="30"/>
    <w:qFormat/>
    <w:rsid w:val="00442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421C7"/>
    <w:rPr>
      <w:i/>
      <w:iCs/>
      <w:color w:val="0F4761" w:themeColor="accent1" w:themeShade="BF"/>
    </w:rPr>
  </w:style>
  <w:style w:type="character" w:styleId="24">
    <w:name w:val="Intense Reference"/>
    <w:basedOn w:val="a0"/>
    <w:uiPriority w:val="32"/>
    <w:qFormat/>
    <w:rsid w:val="004421C7"/>
    <w:rPr>
      <w:b/>
      <w:bCs/>
      <w:smallCaps/>
      <w:color w:val="0F4761" w:themeColor="accent1" w:themeShade="BF"/>
      <w:spacing w:val="5"/>
    </w:rPr>
  </w:style>
  <w:style w:type="paragraph" w:styleId="aa">
    <w:name w:val="header"/>
    <w:basedOn w:val="a"/>
    <w:link w:val="ab"/>
    <w:uiPriority w:val="99"/>
    <w:unhideWhenUsed/>
    <w:rsid w:val="00A1708C"/>
    <w:pPr>
      <w:tabs>
        <w:tab w:val="center" w:pos="4252"/>
        <w:tab w:val="right" w:pos="8504"/>
      </w:tabs>
      <w:snapToGrid w:val="0"/>
    </w:pPr>
  </w:style>
  <w:style w:type="character" w:customStyle="1" w:styleId="ab">
    <w:name w:val="ヘッダー (文字)"/>
    <w:basedOn w:val="a0"/>
    <w:link w:val="aa"/>
    <w:uiPriority w:val="99"/>
    <w:rsid w:val="00A1708C"/>
  </w:style>
  <w:style w:type="paragraph" w:styleId="ac">
    <w:name w:val="footer"/>
    <w:basedOn w:val="a"/>
    <w:link w:val="ad"/>
    <w:uiPriority w:val="99"/>
    <w:unhideWhenUsed/>
    <w:rsid w:val="00A1708C"/>
    <w:pPr>
      <w:tabs>
        <w:tab w:val="center" w:pos="4252"/>
        <w:tab w:val="right" w:pos="8504"/>
      </w:tabs>
      <w:snapToGrid w:val="0"/>
    </w:pPr>
  </w:style>
  <w:style w:type="character" w:customStyle="1" w:styleId="ad">
    <w:name w:val="フッター (文字)"/>
    <w:basedOn w:val="a0"/>
    <w:link w:val="ac"/>
    <w:uiPriority w:val="99"/>
    <w:rsid w:val="00A1708C"/>
  </w:style>
  <w:style w:type="character" w:styleId="ae">
    <w:name w:val="Placeholder Text"/>
    <w:basedOn w:val="a0"/>
    <w:uiPriority w:val="99"/>
    <w:semiHidden/>
    <w:rsid w:val="00D47ACE"/>
    <w:rPr>
      <w:color w:val="666666"/>
    </w:rPr>
  </w:style>
  <w:style w:type="paragraph" w:styleId="Web">
    <w:name w:val="Normal (Web)"/>
    <w:basedOn w:val="a"/>
    <w:uiPriority w:val="99"/>
    <w:semiHidden/>
    <w:unhideWhenUsed/>
    <w:rsid w:val="001F4510"/>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A41F9-34CD-404F-A95B-F57E812E5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1294</Words>
  <Characters>8832</Characters>
  <Application>Microsoft Office Word</Application>
  <DocSecurity>0</DocSecurity>
  <Lines>166</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俊哉 中村</dc:creator>
  <cp:keywords/>
  <dc:description/>
  <cp:lastModifiedBy>中村理恵</cp:lastModifiedBy>
  <cp:revision>11</cp:revision>
  <dcterms:created xsi:type="dcterms:W3CDTF">2025-10-06T04:04:00Z</dcterms:created>
  <dcterms:modified xsi:type="dcterms:W3CDTF">2025-10-06T04:21:00Z</dcterms:modified>
</cp:coreProperties>
</file>