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D55B9" w14:textId="77777777" w:rsidR="00F341AD" w:rsidRPr="00B01CF5" w:rsidRDefault="00F341AD" w:rsidP="00F341AD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B01CF5">
        <w:rPr>
          <w:rFonts w:ascii="Arial" w:hAnsi="Arial" w:cs="Arial"/>
          <w:b/>
          <w:bCs/>
          <w:sz w:val="24"/>
          <w:szCs w:val="24"/>
          <w:u w:val="single"/>
        </w:rPr>
        <w:t>Supplementary Tables</w:t>
      </w:r>
    </w:p>
    <w:p w14:paraId="546E87AD" w14:textId="77777777" w:rsidR="00F341AD" w:rsidRPr="00751F3B" w:rsidRDefault="00F341AD" w:rsidP="00F341AD">
      <w:pPr>
        <w:rPr>
          <w:rFonts w:ascii="Arial" w:hAnsi="Arial" w:cs="Arial"/>
          <w:sz w:val="24"/>
          <w:szCs w:val="24"/>
        </w:rPr>
      </w:pPr>
    </w:p>
    <w:p w14:paraId="2F57E026" w14:textId="77777777" w:rsidR="00F341AD" w:rsidRPr="00751F3B" w:rsidRDefault="00F341AD" w:rsidP="00F341AD">
      <w:pPr>
        <w:shd w:val="clear" w:color="auto" w:fill="FFFFFF"/>
        <w:spacing w:before="90" w:after="150" w:line="240" w:lineRule="auto"/>
        <w:outlineLvl w:val="0"/>
        <w:rPr>
          <w:rFonts w:ascii="Arial" w:eastAsia="Times New Roman" w:hAnsi="Arial" w:cs="Arial"/>
          <w:color w:val="6A6C6F"/>
          <w:kern w:val="36"/>
          <w:sz w:val="24"/>
          <w:szCs w:val="24"/>
          <w:lang w:eastAsia="en-GB"/>
        </w:rPr>
      </w:pPr>
      <w:bookmarkStart w:id="0" w:name="_Toc210759656"/>
      <w:r w:rsidRPr="00751F3B">
        <w:rPr>
          <w:rFonts w:ascii="Arial" w:eastAsia="Times New Roman" w:hAnsi="Arial" w:cs="Arial"/>
          <w:color w:val="6A6C6F"/>
          <w:kern w:val="36"/>
          <w:sz w:val="24"/>
          <w:szCs w:val="24"/>
          <w:lang w:eastAsia="en-GB"/>
        </w:rPr>
        <w:t>Supplementary Table 1: Search terms for MEDLINE, EMBASE, SCOPUS, Web of Science</w:t>
      </w:r>
      <w:bookmarkEnd w:id="0"/>
    </w:p>
    <w:tbl>
      <w:tblPr>
        <w:tblW w:w="0" w:type="auto"/>
        <w:tblBorders>
          <w:top w:val="single" w:sz="6" w:space="0" w:color="E4E5E7"/>
          <w:left w:val="single" w:sz="6" w:space="0" w:color="E4E5E7"/>
          <w:bottom w:val="single" w:sz="6" w:space="0" w:color="E4E5E7"/>
          <w:right w:val="single" w:sz="6" w:space="0" w:color="E4E5E7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630"/>
        <w:gridCol w:w="12312"/>
      </w:tblGrid>
      <w:tr w:rsidR="00F341AD" w:rsidRPr="00751F3B" w14:paraId="6F4E4B2B" w14:textId="77777777" w:rsidTr="00046F0F">
        <w:tc>
          <w:tcPr>
            <w:tcW w:w="0" w:type="auto"/>
            <w:shd w:val="clear" w:color="auto" w:fill="D3D3D3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3EE5A6" w14:textId="77777777" w:rsidR="00F341AD" w:rsidRPr="00751F3B" w:rsidRDefault="00F341AD" w:rsidP="00046F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751F3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Databases</w:t>
            </w:r>
          </w:p>
        </w:tc>
        <w:tc>
          <w:tcPr>
            <w:tcW w:w="0" w:type="auto"/>
            <w:shd w:val="clear" w:color="auto" w:fill="D3D3D3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FCF4F5" w14:textId="77777777" w:rsidR="00F341AD" w:rsidRPr="00751F3B" w:rsidRDefault="00F341AD" w:rsidP="00046F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751F3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Search Terms</w:t>
            </w:r>
          </w:p>
        </w:tc>
      </w:tr>
      <w:tr w:rsidR="00F341AD" w:rsidRPr="00751F3B" w14:paraId="74AB0F26" w14:textId="77777777" w:rsidTr="00046F0F"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A6AD9A" w14:textId="77777777" w:rsidR="00F341AD" w:rsidRPr="00751F3B" w:rsidRDefault="00F341AD" w:rsidP="00046F0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751F3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MEDLINE +</w:t>
            </w:r>
          </w:p>
          <w:p w14:paraId="7A5EC5E2" w14:textId="77777777" w:rsidR="00F341AD" w:rsidRPr="00751F3B" w:rsidRDefault="00F341AD" w:rsidP="00046F0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751F3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EMBASE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DA603F" w14:textId="77777777" w:rsidR="00F341AD" w:rsidRPr="00751F3B" w:rsidRDefault="00F341AD" w:rsidP="00046F0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751F3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(Apolipoproteins e/ OR Apolipoprotein e3/ OR apolipoprotein e4/) AND (mice/ or mice, transgenic/) AND ((brain/ or blood-brain barrier/) OR (Perfusion/) OR (Cerebrovascular Circulation/))</w:t>
            </w:r>
          </w:p>
        </w:tc>
      </w:tr>
      <w:tr w:rsidR="00F341AD" w:rsidRPr="00751F3B" w14:paraId="37DA428B" w14:textId="77777777" w:rsidTr="00046F0F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7122D5" w14:textId="77777777" w:rsidR="00F341AD" w:rsidRPr="00751F3B" w:rsidRDefault="00F341AD" w:rsidP="00046F0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751F3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SCOPUS</w:t>
            </w:r>
          </w:p>
          <w:p w14:paraId="4C52334C" w14:textId="77777777" w:rsidR="00F341AD" w:rsidRPr="00751F3B" w:rsidRDefault="00F341AD" w:rsidP="00046F0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86D65C" w14:textId="77777777" w:rsidR="00F341AD" w:rsidRPr="00751F3B" w:rsidRDefault="00F341AD" w:rsidP="00046F0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751F3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(TITLE-ABS-KEY ("apolipoprotein e*" OR "APOE" OR "apolipoproteins e") AND TITLE-ABS-KEY (“mice" OR "transgenic mice" ) AND TITLE-ABS-KEY ( "blood brain barrier" OR "perfusion" OR "cerebrovascular circulation" ) ) AND ( LIMIT-TO ( DOCTYPE , "ar" ) )</w:t>
            </w:r>
          </w:p>
        </w:tc>
      </w:tr>
      <w:tr w:rsidR="00F341AD" w:rsidRPr="00751F3B" w14:paraId="0F6E06C7" w14:textId="77777777" w:rsidTr="00046F0F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B378E09" w14:textId="77777777" w:rsidR="00F341AD" w:rsidRPr="00751F3B" w:rsidRDefault="00F341AD" w:rsidP="00046F0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751F3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Web of Science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D50CA4F" w14:textId="77777777" w:rsidR="00F341AD" w:rsidRPr="00751F3B" w:rsidRDefault="00F341AD" w:rsidP="00046F0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751F3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("apolipoprotein e*" OR "APOE" OR "apolipoproteins e" (All Fields)) AND ("mice" OR "transgenic mice" (All Fields)) AND ("blood brain barrier" OR "perfusion" OR "cerebrovascular circulation" (All Fields))</w:t>
            </w:r>
          </w:p>
        </w:tc>
      </w:tr>
    </w:tbl>
    <w:p w14:paraId="0B06BE1D" w14:textId="77777777" w:rsidR="00F341AD" w:rsidRPr="00751F3B" w:rsidRDefault="00F341AD" w:rsidP="00F341A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6A6C6F"/>
          <w:sz w:val="24"/>
          <w:szCs w:val="24"/>
          <w:lang w:eastAsia="en-GB"/>
        </w:rPr>
      </w:pPr>
      <w:r w:rsidRPr="00751F3B">
        <w:rPr>
          <w:rFonts w:ascii="Arial" w:eastAsia="Times New Roman" w:hAnsi="Arial" w:cs="Arial"/>
          <w:color w:val="6A6C6F"/>
          <w:sz w:val="24"/>
          <w:szCs w:val="24"/>
          <w:lang w:eastAsia="en-GB"/>
        </w:rPr>
        <w:t>Sup. Table 1: Search terms for MEDLINE, EMBASE, SCOPUS, Web of Science</w:t>
      </w:r>
    </w:p>
    <w:p w14:paraId="1CB80C65" w14:textId="77777777" w:rsidR="00F341AD" w:rsidRPr="00751F3B" w:rsidRDefault="00F341AD" w:rsidP="00F341AD">
      <w:pPr>
        <w:spacing w:after="160" w:line="259" w:lineRule="auto"/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</w:pPr>
    </w:p>
    <w:p w14:paraId="5BC03876" w14:textId="77777777" w:rsidR="00F341AD" w:rsidRPr="00751F3B" w:rsidRDefault="00F341AD" w:rsidP="00F341AD">
      <w:pPr>
        <w:shd w:val="clear" w:color="auto" w:fill="FFFFFF"/>
        <w:spacing w:before="90" w:after="150" w:line="240" w:lineRule="auto"/>
        <w:outlineLvl w:val="0"/>
        <w:rPr>
          <w:rFonts w:ascii="Arial" w:eastAsia="Times New Roman" w:hAnsi="Arial" w:cs="Arial"/>
          <w:color w:val="6A6C6F"/>
          <w:kern w:val="36"/>
          <w:sz w:val="24"/>
          <w:szCs w:val="24"/>
          <w:lang w:eastAsia="en-GB"/>
        </w:rPr>
      </w:pPr>
      <w:bookmarkStart w:id="1" w:name="_Toc210759657"/>
      <w:r w:rsidRPr="00751F3B">
        <w:rPr>
          <w:rFonts w:ascii="Arial" w:eastAsia="Times New Roman" w:hAnsi="Arial" w:cs="Arial"/>
          <w:color w:val="6A6C6F"/>
          <w:kern w:val="36"/>
          <w:sz w:val="24"/>
          <w:szCs w:val="24"/>
          <w:lang w:eastAsia="en-GB"/>
        </w:rPr>
        <w:t>Supplementary Table 2: Eligibility Criteria</w:t>
      </w:r>
      <w:bookmarkEnd w:id="1"/>
    </w:p>
    <w:tbl>
      <w:tblPr>
        <w:tblW w:w="5000" w:type="pct"/>
        <w:tblBorders>
          <w:top w:val="single" w:sz="6" w:space="0" w:color="E4E5E7"/>
          <w:left w:val="single" w:sz="6" w:space="0" w:color="E4E5E7"/>
          <w:bottom w:val="single" w:sz="6" w:space="0" w:color="E4E5E7"/>
          <w:right w:val="single" w:sz="6" w:space="0" w:color="E4E5E7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975"/>
        <w:gridCol w:w="7107"/>
        <w:gridCol w:w="4860"/>
      </w:tblGrid>
      <w:tr w:rsidR="00F341AD" w:rsidRPr="00751F3B" w14:paraId="6C161BAB" w14:textId="77777777" w:rsidTr="00046F0F">
        <w:tc>
          <w:tcPr>
            <w:tcW w:w="65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D3D3D3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42E26D" w14:textId="77777777" w:rsidR="00F341AD" w:rsidRPr="00751F3B" w:rsidRDefault="00F341AD" w:rsidP="00046F0F">
            <w:pPr>
              <w:spacing w:after="160" w:line="259" w:lineRule="auto"/>
              <w:rPr>
                <w:rFonts w:ascii="Arial" w:eastAsiaTheme="minorHAnsi" w:hAnsi="Arial" w:cs="Arial"/>
                <w:b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257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F56E74" w14:textId="77777777" w:rsidR="00F341AD" w:rsidRPr="00751F3B" w:rsidRDefault="00F341AD" w:rsidP="00046F0F">
            <w:pPr>
              <w:spacing w:after="160" w:line="259" w:lineRule="auto"/>
              <w:rPr>
                <w:rFonts w:ascii="Arial" w:eastAsiaTheme="minorHAnsi" w:hAnsi="Arial" w:cs="Arial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b/>
                <w:bCs/>
                <w:kern w:val="2"/>
                <w:sz w:val="24"/>
                <w:szCs w:val="24"/>
                <w14:ligatures w14:val="standardContextual"/>
              </w:rPr>
              <w:t>Include</w:t>
            </w:r>
          </w:p>
        </w:tc>
        <w:tc>
          <w:tcPr>
            <w:tcW w:w="1769" w:type="pct"/>
            <w:tcBorders>
              <w:left w:val="single" w:sz="4" w:space="0" w:color="auto"/>
              <w:bottom w:val="single" w:sz="4" w:space="0" w:color="auto"/>
            </w:tcBorders>
            <w:shd w:val="clear" w:color="auto" w:fill="D3D3D3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9B1F8C" w14:textId="77777777" w:rsidR="00F341AD" w:rsidRPr="00751F3B" w:rsidRDefault="00F341AD" w:rsidP="00046F0F">
            <w:pPr>
              <w:spacing w:after="160" w:line="259" w:lineRule="auto"/>
              <w:rPr>
                <w:rFonts w:ascii="Arial" w:eastAsiaTheme="minorHAnsi" w:hAnsi="Arial" w:cs="Arial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b/>
                <w:bCs/>
                <w:kern w:val="2"/>
                <w:sz w:val="24"/>
                <w:szCs w:val="24"/>
                <w14:ligatures w14:val="standardContextual"/>
              </w:rPr>
              <w:t>Exclude</w:t>
            </w:r>
          </w:p>
        </w:tc>
      </w:tr>
      <w:tr w:rsidR="00F341AD" w:rsidRPr="00751F3B" w14:paraId="707C3132" w14:textId="77777777" w:rsidTr="00046F0F">
        <w:tc>
          <w:tcPr>
            <w:tcW w:w="65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3058D9" w14:textId="77777777" w:rsidR="00F341AD" w:rsidRPr="00751F3B" w:rsidRDefault="00F341AD" w:rsidP="00046F0F">
            <w:pPr>
              <w:spacing w:after="160" w:line="259" w:lineRule="auto"/>
              <w:rPr>
                <w:rFonts w:ascii="Arial" w:eastAsiaTheme="minorHAnsi" w:hAnsi="Arial" w:cs="Arial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b/>
                <w:bCs/>
                <w:kern w:val="2"/>
                <w:sz w:val="24"/>
                <w:szCs w:val="24"/>
                <w14:ligatures w14:val="standardContextual"/>
              </w:rPr>
              <w:t>Population</w:t>
            </w:r>
          </w:p>
        </w:tc>
        <w:tc>
          <w:tcPr>
            <w:tcW w:w="2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CD3BB3" w14:textId="77777777" w:rsidR="00F341AD" w:rsidRPr="00751F3B" w:rsidRDefault="00F341AD" w:rsidP="00F341AD">
            <w:pPr>
              <w:numPr>
                <w:ilvl w:val="0"/>
                <w:numId w:val="1"/>
              </w:num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t>Transgenic murine model with targeted replacement (or "knock-in") of the endogenous Apolipoprotein E (APOE) gene with humanized apoE gene.</w:t>
            </w:r>
          </w:p>
          <w:p w14:paraId="507804B6" w14:textId="77777777" w:rsidR="00F341AD" w:rsidRPr="00751F3B" w:rsidRDefault="00F341AD" w:rsidP="00F341AD">
            <w:pPr>
              <w:numPr>
                <w:ilvl w:val="0"/>
                <w:numId w:val="1"/>
              </w:num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t>APOE-TR</w:t>
            </w:r>
          </w:p>
          <w:p w14:paraId="2759AD49" w14:textId="77777777" w:rsidR="00F341AD" w:rsidRPr="00751F3B" w:rsidRDefault="00F341AD" w:rsidP="00F341AD">
            <w:pPr>
              <w:numPr>
                <w:ilvl w:val="0"/>
                <w:numId w:val="1"/>
              </w:num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t>5xFAD (EFAD) mice</w:t>
            </w:r>
          </w:p>
        </w:tc>
        <w:tc>
          <w:tcPr>
            <w:tcW w:w="1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5983F7" w14:textId="77777777" w:rsidR="00F341AD" w:rsidRPr="00751F3B" w:rsidRDefault="00F341AD" w:rsidP="00F341AD">
            <w:pPr>
              <w:numPr>
                <w:ilvl w:val="0"/>
                <w:numId w:val="2"/>
              </w:num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t>All other transgenic models, crosses with additional models (such as APP knock-in mouse model)</w:t>
            </w:r>
          </w:p>
          <w:p w14:paraId="23286849" w14:textId="77777777" w:rsidR="00F341AD" w:rsidRPr="00751F3B" w:rsidRDefault="00F341AD" w:rsidP="00F341AD">
            <w:pPr>
              <w:numPr>
                <w:ilvl w:val="0"/>
                <w:numId w:val="2"/>
              </w:num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t>APOE -/- (apoE deficient mice)</w:t>
            </w:r>
          </w:p>
          <w:p w14:paraId="60356BEB" w14:textId="77777777" w:rsidR="00F341AD" w:rsidRPr="00751F3B" w:rsidRDefault="00F341AD" w:rsidP="00F341AD">
            <w:pPr>
              <w:numPr>
                <w:ilvl w:val="0"/>
                <w:numId w:val="2"/>
              </w:num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lastRenderedPageBreak/>
              <w:t>Humans, primates, non-rodent models.</w:t>
            </w:r>
          </w:p>
          <w:p w14:paraId="7C7A076F" w14:textId="77777777" w:rsidR="00F341AD" w:rsidRPr="00751F3B" w:rsidRDefault="00F341AD" w:rsidP="00F341AD">
            <w:pPr>
              <w:numPr>
                <w:ilvl w:val="0"/>
                <w:numId w:val="2"/>
              </w:num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t>Wild Type mice</w:t>
            </w:r>
          </w:p>
        </w:tc>
      </w:tr>
      <w:tr w:rsidR="00F341AD" w:rsidRPr="00751F3B" w14:paraId="6F12EE9E" w14:textId="77777777" w:rsidTr="00046F0F">
        <w:trPr>
          <w:trHeight w:val="2280"/>
        </w:trPr>
        <w:tc>
          <w:tcPr>
            <w:tcW w:w="656" w:type="pct"/>
            <w:tcBorders>
              <w:top w:val="single" w:sz="4" w:space="0" w:color="auto"/>
              <w:right w:val="single" w:sz="4" w:space="0" w:color="auto"/>
            </w:tcBorders>
            <w:shd w:val="clear" w:color="auto" w:fill="D3D3D3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783F60" w14:textId="77777777" w:rsidR="00F341AD" w:rsidRPr="00751F3B" w:rsidRDefault="00F341AD" w:rsidP="00046F0F">
            <w:pPr>
              <w:spacing w:after="160" w:line="259" w:lineRule="auto"/>
              <w:rPr>
                <w:rFonts w:ascii="Arial" w:eastAsiaTheme="minorHAnsi" w:hAnsi="Arial" w:cs="Arial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b/>
                <w:bCs/>
                <w:kern w:val="2"/>
                <w:sz w:val="24"/>
                <w:szCs w:val="24"/>
                <w14:ligatures w14:val="standardContextual"/>
              </w:rPr>
              <w:lastRenderedPageBreak/>
              <w:t>Intervention</w:t>
            </w:r>
          </w:p>
        </w:tc>
        <w:tc>
          <w:tcPr>
            <w:tcW w:w="257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243B97" w14:textId="77777777" w:rsidR="00F341AD" w:rsidRPr="00751F3B" w:rsidRDefault="00F341AD" w:rsidP="00F341AD">
            <w:pPr>
              <w:numPr>
                <w:ilvl w:val="0"/>
                <w:numId w:val="3"/>
              </w:num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t>Transgenic murine model with apoE gene replaced by human apoE gene sequence</w:t>
            </w:r>
          </w:p>
          <w:p w14:paraId="080ED10C" w14:textId="77777777" w:rsidR="00F341AD" w:rsidRPr="00751F3B" w:rsidRDefault="00F341AD" w:rsidP="00F341AD">
            <w:pPr>
              <w:numPr>
                <w:ilvl w:val="0"/>
                <w:numId w:val="3"/>
              </w:num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t>In vitro BBB model consisting of cells from transgenic apoE murine model</w:t>
            </w:r>
          </w:p>
        </w:tc>
        <w:tc>
          <w:tcPr>
            <w:tcW w:w="1769" w:type="pct"/>
            <w:tcBorders>
              <w:top w:val="single" w:sz="4" w:space="0" w:color="auto"/>
              <w:lef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766DE2" w14:textId="77777777" w:rsidR="00F341AD" w:rsidRPr="00751F3B" w:rsidRDefault="00F341AD" w:rsidP="00F341AD">
            <w:pPr>
              <w:numPr>
                <w:ilvl w:val="0"/>
                <w:numId w:val="4"/>
              </w:num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t>Multiple strain mutant transgenic models such as APP or Pdgfb knockout (pdgfbcKO) .</w:t>
            </w:r>
          </w:p>
          <w:p w14:paraId="49625D9A" w14:textId="77777777" w:rsidR="00F341AD" w:rsidRPr="00751F3B" w:rsidRDefault="00F341AD" w:rsidP="00F341AD">
            <w:pPr>
              <w:numPr>
                <w:ilvl w:val="0"/>
                <w:numId w:val="4"/>
              </w:num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t>Transgenic models that do not have humanized ApoE background.</w:t>
            </w:r>
          </w:p>
          <w:p w14:paraId="5DADC95D" w14:textId="77777777" w:rsidR="00F341AD" w:rsidRPr="00751F3B" w:rsidRDefault="00F341AD" w:rsidP="00F341AD">
            <w:pPr>
              <w:numPr>
                <w:ilvl w:val="0"/>
                <w:numId w:val="4"/>
              </w:num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t>Traumatic brain injury, cerebral artery occlusion/focal ischemia, intracerebral injections</w:t>
            </w:r>
          </w:p>
        </w:tc>
      </w:tr>
      <w:tr w:rsidR="00F341AD" w:rsidRPr="00751F3B" w14:paraId="005F03C7" w14:textId="77777777" w:rsidTr="00046F0F">
        <w:tc>
          <w:tcPr>
            <w:tcW w:w="65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590A93" w14:textId="77777777" w:rsidR="00F341AD" w:rsidRPr="00751F3B" w:rsidRDefault="00F341AD" w:rsidP="00046F0F">
            <w:pPr>
              <w:spacing w:after="160" w:line="259" w:lineRule="auto"/>
              <w:rPr>
                <w:rFonts w:ascii="Arial" w:eastAsiaTheme="minorHAnsi" w:hAnsi="Arial" w:cs="Arial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b/>
                <w:bCs/>
                <w:kern w:val="2"/>
                <w:sz w:val="24"/>
                <w:szCs w:val="24"/>
                <w14:ligatures w14:val="standardContextual"/>
              </w:rPr>
              <w:t>Comparator</w:t>
            </w:r>
          </w:p>
        </w:tc>
        <w:tc>
          <w:tcPr>
            <w:tcW w:w="2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F787E4" w14:textId="77777777" w:rsidR="00F341AD" w:rsidRPr="00751F3B" w:rsidRDefault="00F341AD" w:rsidP="00F341AD">
            <w:pPr>
              <w:numPr>
                <w:ilvl w:val="0"/>
                <w:numId w:val="5"/>
              </w:num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t>The study should include targeted replacement APOE3 mice to compare to the targeted replacement APOE4 mice</w:t>
            </w:r>
          </w:p>
        </w:tc>
        <w:tc>
          <w:tcPr>
            <w:tcW w:w="1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24EB2E" w14:textId="77777777" w:rsidR="00F341AD" w:rsidRPr="00751F3B" w:rsidRDefault="00F341AD" w:rsidP="00F341AD">
            <w:pPr>
              <w:numPr>
                <w:ilvl w:val="0"/>
                <w:numId w:val="6"/>
              </w:num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t>Amyloid-only mechanisms of ApoE x dementia</w:t>
            </w:r>
          </w:p>
        </w:tc>
      </w:tr>
      <w:tr w:rsidR="00F341AD" w:rsidRPr="00751F3B" w14:paraId="39F4DC14" w14:textId="77777777" w:rsidTr="00046F0F">
        <w:tc>
          <w:tcPr>
            <w:tcW w:w="65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20A862" w14:textId="77777777" w:rsidR="00F341AD" w:rsidRPr="00751F3B" w:rsidRDefault="00F341AD" w:rsidP="00046F0F">
            <w:pPr>
              <w:spacing w:after="160" w:line="259" w:lineRule="auto"/>
              <w:rPr>
                <w:rFonts w:ascii="Arial" w:eastAsiaTheme="minorHAnsi" w:hAnsi="Arial" w:cs="Arial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b/>
                <w:bCs/>
                <w:kern w:val="2"/>
                <w:sz w:val="24"/>
                <w:szCs w:val="24"/>
                <w14:ligatures w14:val="standardContextual"/>
              </w:rPr>
              <w:t>Outcome</w:t>
            </w:r>
          </w:p>
        </w:tc>
        <w:tc>
          <w:tcPr>
            <w:tcW w:w="2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E89AB0" w14:textId="77777777" w:rsidR="00F341AD" w:rsidRPr="00751F3B" w:rsidRDefault="00F341AD" w:rsidP="00046F0F">
            <w:p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t>Outcome measures will include quantitative assessments of:</w:t>
            </w:r>
          </w:p>
          <w:p w14:paraId="318359A2" w14:textId="77777777" w:rsidR="00F341AD" w:rsidRPr="00751F3B" w:rsidRDefault="00F341AD" w:rsidP="00F341AD">
            <w:pPr>
              <w:numPr>
                <w:ilvl w:val="0"/>
                <w:numId w:val="7"/>
              </w:num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t>BBB integrity/vascular morphology (antibody staining for density, permeability, basement membrane integrity - such as CD31+, Laminin+, Fibrinogen+, MMP9+)</w:t>
            </w:r>
          </w:p>
        </w:tc>
        <w:tc>
          <w:tcPr>
            <w:tcW w:w="1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1273E5" w14:textId="77777777" w:rsidR="00F341AD" w:rsidRPr="00751F3B" w:rsidRDefault="00F341AD" w:rsidP="00F341AD">
            <w:pPr>
              <w:numPr>
                <w:ilvl w:val="0"/>
                <w:numId w:val="8"/>
              </w:num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t>TBD</w:t>
            </w:r>
          </w:p>
        </w:tc>
      </w:tr>
      <w:tr w:rsidR="00F341AD" w:rsidRPr="00751F3B" w14:paraId="6D98B71D" w14:textId="77777777" w:rsidTr="00046F0F">
        <w:tc>
          <w:tcPr>
            <w:tcW w:w="656" w:type="pct"/>
            <w:tcBorders>
              <w:top w:val="single" w:sz="4" w:space="0" w:color="auto"/>
              <w:right w:val="single" w:sz="4" w:space="0" w:color="auto"/>
            </w:tcBorders>
            <w:shd w:val="clear" w:color="auto" w:fill="D3D3D3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ABB47A" w14:textId="77777777" w:rsidR="00F341AD" w:rsidRPr="00751F3B" w:rsidRDefault="00F341AD" w:rsidP="00046F0F">
            <w:pPr>
              <w:spacing w:after="160" w:line="259" w:lineRule="auto"/>
              <w:rPr>
                <w:rFonts w:ascii="Arial" w:eastAsiaTheme="minorHAnsi" w:hAnsi="Arial" w:cs="Arial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b/>
                <w:bCs/>
                <w:kern w:val="2"/>
                <w:sz w:val="24"/>
                <w:szCs w:val="24"/>
                <w14:ligatures w14:val="standardContextual"/>
              </w:rPr>
              <w:t>Study Characteristics</w:t>
            </w:r>
          </w:p>
        </w:tc>
        <w:tc>
          <w:tcPr>
            <w:tcW w:w="257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374B31" w14:textId="77777777" w:rsidR="00F341AD" w:rsidRPr="00751F3B" w:rsidRDefault="00F341AD" w:rsidP="00F341AD">
            <w:pPr>
              <w:numPr>
                <w:ilvl w:val="0"/>
                <w:numId w:val="9"/>
              </w:num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t>No restrictions on the type of study design which are eligible for inclusion.</w:t>
            </w:r>
          </w:p>
        </w:tc>
        <w:tc>
          <w:tcPr>
            <w:tcW w:w="1769" w:type="pct"/>
            <w:tcBorders>
              <w:top w:val="single" w:sz="4" w:space="0" w:color="auto"/>
              <w:left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4C6A59" w14:textId="77777777" w:rsidR="00F341AD" w:rsidRPr="00751F3B" w:rsidRDefault="00F341AD" w:rsidP="00F341AD">
            <w:pPr>
              <w:numPr>
                <w:ilvl w:val="0"/>
                <w:numId w:val="10"/>
              </w:numPr>
              <w:spacing w:after="160" w:line="259" w:lineRule="auto"/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</w:pPr>
            <w:r w:rsidRPr="00751F3B">
              <w:rPr>
                <w:rFonts w:ascii="Arial" w:eastAsiaTheme="minorHAnsi" w:hAnsi="Arial" w:cs="Arial"/>
                <w:kern w:val="2"/>
                <w:sz w:val="24"/>
                <w:szCs w:val="24"/>
                <w14:ligatures w14:val="standardContextual"/>
              </w:rPr>
              <w:t>TBD</w:t>
            </w:r>
          </w:p>
        </w:tc>
      </w:tr>
    </w:tbl>
    <w:p w14:paraId="16B5CB33" w14:textId="77777777" w:rsidR="00F341AD" w:rsidRPr="00751F3B" w:rsidRDefault="00F341AD" w:rsidP="00F341AD">
      <w:pPr>
        <w:spacing w:after="160" w:line="259" w:lineRule="auto"/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</w:pPr>
      <w:r w:rsidRPr="00751F3B">
        <w:rPr>
          <w:rFonts w:ascii="Arial" w:eastAsiaTheme="minorHAnsi" w:hAnsi="Arial" w:cs="Arial"/>
          <w:color w:val="6A6C6F"/>
          <w:kern w:val="2"/>
          <w:sz w:val="24"/>
          <w:szCs w:val="24"/>
          <w:shd w:val="clear" w:color="auto" w:fill="FFFFFF"/>
          <w14:ligatures w14:val="standardContextual"/>
        </w:rPr>
        <w:t>Sup. Table 2: Inclusion and exclusion criteria, specifying criteria used to identify population, interventions and outcome measures</w:t>
      </w:r>
    </w:p>
    <w:p w14:paraId="57411A26" w14:textId="77777777" w:rsidR="00F341AD" w:rsidRPr="00751F3B" w:rsidRDefault="00F341AD" w:rsidP="00F341AD">
      <w:pPr>
        <w:shd w:val="clear" w:color="auto" w:fill="FFFFFF"/>
        <w:spacing w:before="90" w:after="150" w:line="240" w:lineRule="auto"/>
        <w:outlineLvl w:val="0"/>
        <w:rPr>
          <w:rFonts w:ascii="Arial" w:eastAsia="Times New Roman" w:hAnsi="Arial" w:cs="Arial"/>
          <w:color w:val="6A6C6F"/>
          <w:kern w:val="36"/>
          <w:sz w:val="24"/>
          <w:szCs w:val="24"/>
          <w:lang w:eastAsia="en-GB"/>
        </w:rPr>
      </w:pPr>
      <w:bookmarkStart w:id="2" w:name="_Toc210759659"/>
      <w:bookmarkStart w:id="3" w:name="_Toc210759658"/>
      <w:r w:rsidRPr="00751F3B">
        <w:rPr>
          <w:rFonts w:ascii="Arial" w:eastAsia="Times New Roman" w:hAnsi="Arial" w:cs="Arial"/>
          <w:color w:val="6A6C6F"/>
          <w:kern w:val="36"/>
          <w:sz w:val="24"/>
          <w:szCs w:val="24"/>
          <w:lang w:eastAsia="en-GB"/>
        </w:rPr>
        <w:lastRenderedPageBreak/>
        <w:t xml:space="preserve">Supplementary Material </w:t>
      </w:r>
      <w:r>
        <w:rPr>
          <w:rFonts w:ascii="Arial" w:eastAsia="Times New Roman" w:hAnsi="Arial" w:cs="Arial"/>
          <w:color w:val="6A6C6F"/>
          <w:kern w:val="36"/>
          <w:sz w:val="24"/>
          <w:szCs w:val="24"/>
          <w:lang w:eastAsia="en-GB"/>
        </w:rPr>
        <w:t>3</w:t>
      </w:r>
      <w:r w:rsidRPr="00751F3B">
        <w:rPr>
          <w:rFonts w:ascii="Arial" w:eastAsia="Times New Roman" w:hAnsi="Arial" w:cs="Arial"/>
          <w:color w:val="6A6C6F"/>
          <w:kern w:val="36"/>
          <w:sz w:val="24"/>
          <w:szCs w:val="24"/>
          <w:lang w:eastAsia="en-GB"/>
        </w:rPr>
        <w:t>: Inclusion/Exclusion Annotations</w:t>
      </w:r>
      <w:bookmarkEnd w:id="2"/>
    </w:p>
    <w:p w14:paraId="77950D9A" w14:textId="77777777" w:rsidR="00F341AD" w:rsidRPr="00B249A8" w:rsidRDefault="00F341AD" w:rsidP="00F341AD">
      <w:pPr>
        <w:rPr>
          <w:rFonts w:ascii="Arial" w:hAnsi="Arial" w:cs="Arial"/>
          <w:sz w:val="24"/>
          <w:szCs w:val="24"/>
        </w:rPr>
      </w:pPr>
      <w:r w:rsidRPr="00B249A8">
        <w:rPr>
          <w:rFonts w:ascii="Arial" w:eastAsia="Times New Roman" w:hAnsi="Arial" w:cs="Arial"/>
          <w:sz w:val="24"/>
          <w:szCs w:val="24"/>
          <w:lang w:eastAsia="en-GB"/>
        </w:rPr>
        <w:t>Supplementary_Table_3_Laing.xlsx</w:t>
      </w:r>
    </w:p>
    <w:p w14:paraId="2C37B912" w14:textId="77777777" w:rsidR="00F341AD" w:rsidRPr="00527430" w:rsidRDefault="00F341AD" w:rsidP="00F341AD">
      <w:pPr>
        <w:rPr>
          <w:rFonts w:eastAsia="Times New Roman"/>
          <w:lang w:eastAsia="en-GB"/>
        </w:rPr>
      </w:pPr>
    </w:p>
    <w:p w14:paraId="70C39F35" w14:textId="77777777" w:rsidR="00F341AD" w:rsidRPr="00751F3B" w:rsidRDefault="00F341AD" w:rsidP="00F341AD">
      <w:pPr>
        <w:shd w:val="clear" w:color="auto" w:fill="FFFFFF"/>
        <w:spacing w:before="90" w:after="150" w:line="240" w:lineRule="auto"/>
        <w:outlineLvl w:val="0"/>
        <w:rPr>
          <w:rFonts w:ascii="Arial" w:eastAsia="Times New Roman" w:hAnsi="Arial" w:cs="Arial"/>
          <w:color w:val="6A6C6F"/>
          <w:kern w:val="36"/>
          <w:sz w:val="24"/>
          <w:szCs w:val="24"/>
          <w:lang w:eastAsia="en-GB"/>
        </w:rPr>
      </w:pPr>
      <w:r w:rsidRPr="00751F3B">
        <w:rPr>
          <w:rFonts w:ascii="Arial" w:eastAsia="Times New Roman" w:hAnsi="Arial" w:cs="Arial"/>
          <w:color w:val="6A6C6F"/>
          <w:kern w:val="36"/>
          <w:sz w:val="24"/>
          <w:szCs w:val="24"/>
          <w:lang w:eastAsia="en-GB"/>
        </w:rPr>
        <w:t xml:space="preserve">Supplementary Table </w:t>
      </w:r>
      <w:r>
        <w:rPr>
          <w:rFonts w:ascii="Arial" w:eastAsia="Times New Roman" w:hAnsi="Arial" w:cs="Arial"/>
          <w:color w:val="6A6C6F"/>
          <w:kern w:val="36"/>
          <w:sz w:val="24"/>
          <w:szCs w:val="24"/>
          <w:lang w:eastAsia="en-GB"/>
        </w:rPr>
        <w:t>4</w:t>
      </w:r>
      <w:r w:rsidRPr="00751F3B">
        <w:rPr>
          <w:rFonts w:ascii="Arial" w:eastAsia="Times New Roman" w:hAnsi="Arial" w:cs="Arial"/>
          <w:color w:val="6A6C6F"/>
          <w:kern w:val="36"/>
          <w:sz w:val="24"/>
          <w:szCs w:val="24"/>
          <w:lang w:eastAsia="en-GB"/>
        </w:rPr>
        <w:t>: SYRCLE Risk of Bias Tool assessment by domain.</w:t>
      </w:r>
      <w:bookmarkEnd w:id="3"/>
    </w:p>
    <w:p w14:paraId="1BBFB2E3" w14:textId="77777777" w:rsidR="00F341AD" w:rsidRPr="00751F3B" w:rsidRDefault="00F341AD" w:rsidP="00F341AD">
      <w:pPr>
        <w:pStyle w:val="Subtitle"/>
        <w:jc w:val="both"/>
        <w:rPr>
          <w:rFonts w:ascii="Arial" w:eastAsiaTheme="minorEastAsia" w:hAnsi="Arial" w:cs="Arial"/>
          <w:i/>
          <w:iCs/>
          <w:sz w:val="24"/>
          <w:szCs w:val="24"/>
        </w:rPr>
      </w:pPr>
      <w:r w:rsidRPr="00751F3B">
        <w:rPr>
          <w:rStyle w:val="SubtleEmphasis"/>
          <w:rFonts w:ascii="Arial" w:hAnsi="Arial" w:cs="Arial"/>
          <w:sz w:val="24"/>
          <w:szCs w:val="24"/>
        </w:rPr>
        <w:t>Risk of bias was evaluated across ten domains: (1) Sequence generation (Was the allocation sequence adequately generated and applied?); (2) Baseline characteristics (Were groups similar at baseline, or adjusted for confounders?); (3) Allocation concealment (Was allocation adequately concealed?); (4) Random housing (Were animals housed randomly during the experiment?);  (5) Blinding of caregivers/investigators (Were caregivers/investigators blinded to treatment?); (6) Random outcome assessment (Were animals randomly selected for outcome assessment?); (7) Blinding of outcome assessors (Were outcome assessors blinded?); (8) Incomplete outcome data (Were incomplete data adequately addressed?); (9) Selective outcome reporting (Were reports free from selective outcome reporting?); (10) Other sources of bias (Was the study free of other issues (e.g., contamination, unit</w:t>
      </w:r>
      <w:r w:rsidRPr="00751F3B">
        <w:rPr>
          <w:rStyle w:val="SubtleEmphasis"/>
          <w:rFonts w:ascii="Cambria Math" w:hAnsi="Cambria Math" w:cs="Cambria Math"/>
          <w:sz w:val="24"/>
          <w:szCs w:val="24"/>
        </w:rPr>
        <w:t>‑</w:t>
      </w:r>
      <w:r w:rsidRPr="00751F3B">
        <w:rPr>
          <w:rStyle w:val="SubtleEmphasis"/>
          <w:rFonts w:ascii="Arial" w:hAnsi="Arial" w:cs="Arial"/>
          <w:sz w:val="24"/>
          <w:szCs w:val="24"/>
        </w:rPr>
        <w:t>of</w:t>
      </w:r>
      <w:r w:rsidRPr="00751F3B">
        <w:rPr>
          <w:rStyle w:val="SubtleEmphasis"/>
          <w:rFonts w:ascii="Cambria Math" w:hAnsi="Cambria Math" w:cs="Cambria Math"/>
          <w:sz w:val="24"/>
          <w:szCs w:val="24"/>
        </w:rPr>
        <w:t>‑</w:t>
      </w:r>
      <w:r w:rsidRPr="00751F3B">
        <w:rPr>
          <w:rStyle w:val="SubtleEmphasis"/>
          <w:rFonts w:ascii="Arial" w:hAnsi="Arial" w:cs="Arial"/>
          <w:sz w:val="24"/>
          <w:szCs w:val="24"/>
        </w:rPr>
        <w:t xml:space="preserve">analysis errors)?). See supplementary material for additional details. </w:t>
      </w:r>
      <w:r w:rsidRPr="00751F3B">
        <w:rPr>
          <w:rStyle w:val="SubtleEmphasis"/>
          <w:rFonts w:ascii="Arial" w:hAnsi="Arial" w:cs="Arial"/>
          <w:b/>
          <w:bCs/>
          <w:sz w:val="24"/>
          <w:szCs w:val="24"/>
        </w:rPr>
        <w:t>Italicized</w:t>
      </w:r>
      <w:r w:rsidRPr="00751F3B">
        <w:rPr>
          <w:rStyle w:val="SubtleEmphasis"/>
          <w:rFonts w:ascii="Arial" w:hAnsi="Arial" w:cs="Arial"/>
          <w:sz w:val="24"/>
          <w:szCs w:val="24"/>
        </w:rPr>
        <w:t xml:space="preserve"> studies indicate inclusion in the synthesis. Judgement categories: </w:t>
      </w:r>
      <w:r w:rsidRPr="00751F3B">
        <w:rPr>
          <w:rStyle w:val="SubtleEmphasis"/>
          <w:rFonts w:ascii="Arial" w:hAnsi="Arial" w:cs="Arial"/>
          <w:color w:val="EE0000"/>
          <w:sz w:val="24"/>
          <w:szCs w:val="24"/>
        </w:rPr>
        <w:t>High Risk</w:t>
      </w:r>
      <w:r w:rsidRPr="00751F3B">
        <w:rPr>
          <w:rStyle w:val="SubtleEmphasis"/>
          <w:rFonts w:ascii="Arial" w:hAnsi="Arial" w:cs="Arial"/>
          <w:sz w:val="24"/>
          <w:szCs w:val="24"/>
        </w:rPr>
        <w:t xml:space="preserve">, </w:t>
      </w:r>
      <w:r w:rsidRPr="00751F3B">
        <w:rPr>
          <w:rStyle w:val="SubtleEmphasis"/>
          <w:rFonts w:ascii="Arial" w:hAnsi="Arial" w:cs="Arial"/>
          <w:color w:val="0F9ED5" w:themeColor="accent4"/>
          <w:sz w:val="24"/>
          <w:szCs w:val="24"/>
        </w:rPr>
        <w:t>Unclear,</w:t>
      </w:r>
      <w:r w:rsidRPr="00751F3B">
        <w:rPr>
          <w:rStyle w:val="SubtleEmphasis"/>
          <w:rFonts w:ascii="Arial" w:hAnsi="Arial" w:cs="Arial"/>
          <w:sz w:val="24"/>
          <w:szCs w:val="24"/>
        </w:rPr>
        <w:t xml:space="preserve"> </w:t>
      </w:r>
      <w:r w:rsidRPr="00751F3B">
        <w:rPr>
          <w:rStyle w:val="SubtleEmphasis"/>
          <w:rFonts w:ascii="Arial" w:hAnsi="Arial" w:cs="Arial"/>
          <w:color w:val="00B050"/>
          <w:sz w:val="24"/>
          <w:szCs w:val="24"/>
        </w:rPr>
        <w:t>Low Risk</w:t>
      </w:r>
      <w:r w:rsidRPr="00751F3B">
        <w:rPr>
          <w:rStyle w:val="SubtleEmphasis"/>
          <w:rFonts w:ascii="Arial" w:hAnsi="Arial" w:cs="Arial"/>
          <w:sz w:val="24"/>
          <w:szCs w:val="24"/>
        </w:rPr>
        <w:t xml:space="preserve">. </w:t>
      </w:r>
    </w:p>
    <w:tbl>
      <w:tblPr>
        <w:tblStyle w:val="GridTable1Light"/>
        <w:tblW w:w="0" w:type="auto"/>
        <w:jc w:val="center"/>
        <w:tblLook w:val="04A0" w:firstRow="1" w:lastRow="0" w:firstColumn="1" w:lastColumn="0" w:noHBand="0" w:noVBand="1"/>
      </w:tblPr>
      <w:tblGrid>
        <w:gridCol w:w="1904"/>
        <w:gridCol w:w="710"/>
        <w:gridCol w:w="1137"/>
        <w:gridCol w:w="1097"/>
        <w:gridCol w:w="1211"/>
        <w:gridCol w:w="1257"/>
        <w:gridCol w:w="1403"/>
        <w:gridCol w:w="1270"/>
        <w:gridCol w:w="1507"/>
        <w:gridCol w:w="1355"/>
        <w:gridCol w:w="1097"/>
      </w:tblGrid>
      <w:tr w:rsidR="00F341AD" w:rsidRPr="00751F3B" w14:paraId="200B7A1A" w14:textId="77777777" w:rsidTr="00046F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Merge w:val="restart"/>
            <w:vAlign w:val="center"/>
          </w:tcPr>
          <w:p w14:paraId="243E610B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Arial" w:hAnsi="Arial" w:cs="Arial"/>
                <w:sz w:val="24"/>
                <w:szCs w:val="24"/>
              </w:rPr>
              <w:t>Study</w:t>
            </w:r>
          </w:p>
        </w:tc>
        <w:tc>
          <w:tcPr>
            <w:tcW w:w="2423" w:type="dxa"/>
            <w:gridSpan w:val="3"/>
            <w:vAlign w:val="center"/>
          </w:tcPr>
          <w:p w14:paraId="081DADC7" w14:textId="77777777" w:rsidR="00F341AD" w:rsidRPr="00751F3B" w:rsidRDefault="00F341AD" w:rsidP="00046F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Arial" w:hAnsi="Arial" w:cs="Arial"/>
                <w:sz w:val="24"/>
                <w:szCs w:val="24"/>
              </w:rPr>
              <w:t>Selection Bias</w:t>
            </w:r>
          </w:p>
        </w:tc>
        <w:tc>
          <w:tcPr>
            <w:tcW w:w="2537" w:type="dxa"/>
            <w:gridSpan w:val="2"/>
            <w:vAlign w:val="center"/>
          </w:tcPr>
          <w:p w14:paraId="75A06968" w14:textId="77777777" w:rsidR="00F341AD" w:rsidRPr="00751F3B" w:rsidRDefault="00F341AD" w:rsidP="00046F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Arial" w:hAnsi="Arial" w:cs="Arial"/>
                <w:sz w:val="24"/>
                <w:szCs w:val="24"/>
              </w:rPr>
              <w:t>Performance Bias</w:t>
            </w:r>
          </w:p>
        </w:tc>
        <w:tc>
          <w:tcPr>
            <w:tcW w:w="2868" w:type="dxa"/>
            <w:gridSpan w:val="2"/>
            <w:vAlign w:val="center"/>
          </w:tcPr>
          <w:p w14:paraId="25F8AAE0" w14:textId="77777777" w:rsidR="00F341AD" w:rsidRPr="00751F3B" w:rsidRDefault="00F341AD" w:rsidP="00046F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Arial" w:hAnsi="Arial" w:cs="Arial"/>
                <w:sz w:val="24"/>
                <w:szCs w:val="24"/>
              </w:rPr>
              <w:t>Detection Bias</w:t>
            </w:r>
          </w:p>
        </w:tc>
        <w:tc>
          <w:tcPr>
            <w:tcW w:w="1588" w:type="dxa"/>
            <w:vAlign w:val="center"/>
          </w:tcPr>
          <w:p w14:paraId="4FC02306" w14:textId="77777777" w:rsidR="00F341AD" w:rsidRPr="00751F3B" w:rsidRDefault="00F341AD" w:rsidP="00046F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Arial" w:hAnsi="Arial" w:cs="Arial"/>
                <w:sz w:val="24"/>
                <w:szCs w:val="24"/>
              </w:rPr>
              <w:t>Attrition Bias</w:t>
            </w:r>
          </w:p>
        </w:tc>
        <w:tc>
          <w:tcPr>
            <w:tcW w:w="1358" w:type="dxa"/>
            <w:vAlign w:val="center"/>
          </w:tcPr>
          <w:p w14:paraId="190C7A3E" w14:textId="77777777" w:rsidR="00F341AD" w:rsidRPr="00751F3B" w:rsidRDefault="00F341AD" w:rsidP="00046F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Arial" w:hAnsi="Arial" w:cs="Arial"/>
                <w:sz w:val="24"/>
                <w:szCs w:val="24"/>
              </w:rPr>
              <w:t>Reporting Bias</w:t>
            </w:r>
          </w:p>
        </w:tc>
        <w:tc>
          <w:tcPr>
            <w:tcW w:w="0" w:type="auto"/>
            <w:vAlign w:val="center"/>
          </w:tcPr>
          <w:p w14:paraId="0EBA66EE" w14:textId="77777777" w:rsidR="00F341AD" w:rsidRPr="00751F3B" w:rsidRDefault="00F341AD" w:rsidP="00046F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Arial" w:hAnsi="Arial" w:cs="Arial"/>
                <w:sz w:val="24"/>
                <w:szCs w:val="24"/>
              </w:rPr>
              <w:t>Other Bias</w:t>
            </w:r>
          </w:p>
        </w:tc>
      </w:tr>
      <w:tr w:rsidR="00F341AD" w:rsidRPr="00751F3B" w14:paraId="1EAE3373" w14:textId="77777777" w:rsidTr="00046F0F">
        <w:trPr>
          <w:trHeight w:val="5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Merge/>
            <w:vAlign w:val="center"/>
          </w:tcPr>
          <w:p w14:paraId="7357EF6A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F88A9A6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51F3B">
              <w:rPr>
                <w:rFonts w:ascii="Arial" w:hAnsi="Arial" w:cs="Arial"/>
                <w:sz w:val="24"/>
                <w:szCs w:val="24"/>
              </w:rPr>
              <w:t>Seq. Gen</w:t>
            </w:r>
          </w:p>
        </w:tc>
        <w:tc>
          <w:tcPr>
            <w:tcW w:w="0" w:type="auto"/>
            <w:vAlign w:val="center"/>
          </w:tcPr>
          <w:p w14:paraId="08E10DC4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51F3B">
              <w:rPr>
                <w:rFonts w:ascii="Arial" w:hAnsi="Arial" w:cs="Arial"/>
                <w:sz w:val="24"/>
                <w:szCs w:val="24"/>
              </w:rPr>
              <w:t>Baseline</w:t>
            </w:r>
          </w:p>
        </w:tc>
        <w:tc>
          <w:tcPr>
            <w:tcW w:w="913" w:type="dxa"/>
            <w:vAlign w:val="center"/>
          </w:tcPr>
          <w:p w14:paraId="3CD9BE1E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51F3B">
              <w:rPr>
                <w:rFonts w:ascii="Arial" w:hAnsi="Arial" w:cs="Arial"/>
                <w:sz w:val="24"/>
                <w:szCs w:val="24"/>
              </w:rPr>
              <w:t>Alloc. Conceal</w:t>
            </w:r>
          </w:p>
        </w:tc>
        <w:tc>
          <w:tcPr>
            <w:tcW w:w="1290" w:type="dxa"/>
            <w:vAlign w:val="center"/>
          </w:tcPr>
          <w:p w14:paraId="085F5B4B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51F3B">
              <w:rPr>
                <w:rFonts w:ascii="Arial" w:hAnsi="Arial" w:cs="Arial"/>
                <w:sz w:val="24"/>
                <w:szCs w:val="24"/>
              </w:rPr>
              <w:t>Rand. Housing</w:t>
            </w:r>
          </w:p>
        </w:tc>
        <w:tc>
          <w:tcPr>
            <w:tcW w:w="1247" w:type="dxa"/>
            <w:vAlign w:val="center"/>
          </w:tcPr>
          <w:p w14:paraId="4D3E1048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51F3B">
              <w:rPr>
                <w:rFonts w:ascii="Arial" w:hAnsi="Arial" w:cs="Arial"/>
                <w:sz w:val="24"/>
                <w:szCs w:val="24"/>
              </w:rPr>
              <w:t>Caregiver Blinding</w:t>
            </w:r>
          </w:p>
        </w:tc>
        <w:tc>
          <w:tcPr>
            <w:tcW w:w="1551" w:type="dxa"/>
            <w:vAlign w:val="center"/>
          </w:tcPr>
          <w:p w14:paraId="6103714C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51F3B">
              <w:rPr>
                <w:rFonts w:ascii="Arial" w:hAnsi="Arial" w:cs="Arial"/>
                <w:sz w:val="24"/>
                <w:szCs w:val="24"/>
              </w:rPr>
              <w:t>Rand. Outcome Assess.</w:t>
            </w:r>
          </w:p>
        </w:tc>
        <w:tc>
          <w:tcPr>
            <w:tcW w:w="1317" w:type="dxa"/>
            <w:vAlign w:val="center"/>
          </w:tcPr>
          <w:p w14:paraId="5C1E53F7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51F3B">
              <w:rPr>
                <w:rFonts w:ascii="Arial" w:hAnsi="Arial" w:cs="Arial"/>
                <w:sz w:val="24"/>
                <w:szCs w:val="24"/>
              </w:rPr>
              <w:t>Assessor Blinding</w:t>
            </w:r>
          </w:p>
        </w:tc>
        <w:tc>
          <w:tcPr>
            <w:tcW w:w="1588" w:type="dxa"/>
            <w:vAlign w:val="center"/>
          </w:tcPr>
          <w:p w14:paraId="1287FF07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51F3B">
              <w:rPr>
                <w:rFonts w:ascii="Arial" w:hAnsi="Arial" w:cs="Arial"/>
                <w:sz w:val="24"/>
                <w:szCs w:val="24"/>
              </w:rPr>
              <w:t>Incomplete Data</w:t>
            </w:r>
          </w:p>
        </w:tc>
        <w:tc>
          <w:tcPr>
            <w:tcW w:w="1358" w:type="dxa"/>
            <w:vAlign w:val="center"/>
          </w:tcPr>
          <w:p w14:paraId="064F7049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51F3B">
              <w:rPr>
                <w:rFonts w:ascii="Arial" w:hAnsi="Arial" w:cs="Arial"/>
                <w:sz w:val="24"/>
                <w:szCs w:val="24"/>
              </w:rPr>
              <w:t>Selective Reporting</w:t>
            </w:r>
          </w:p>
        </w:tc>
        <w:tc>
          <w:tcPr>
            <w:tcW w:w="0" w:type="auto"/>
            <w:vAlign w:val="center"/>
          </w:tcPr>
          <w:p w14:paraId="30935199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Arial" w:hAnsi="Arial" w:cs="Arial"/>
                <w:sz w:val="24"/>
                <w:szCs w:val="24"/>
              </w:rPr>
              <w:t>Other Sources</w:t>
            </w:r>
          </w:p>
        </w:tc>
      </w:tr>
      <w:tr w:rsidR="00F341AD" w:rsidRPr="00751F3B" w14:paraId="27A66CE9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</w:tcPr>
          <w:p w14:paraId="1BF88697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751F3B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Nishitsuji et al., 2011</w:t>
            </w:r>
          </w:p>
        </w:tc>
        <w:tc>
          <w:tcPr>
            <w:tcW w:w="0" w:type="auto"/>
            <w:vAlign w:val="center"/>
          </w:tcPr>
          <w:p w14:paraId="28501118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0" w:type="auto"/>
            <w:vAlign w:val="center"/>
          </w:tcPr>
          <w:p w14:paraId="22AC8F13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913" w:type="dxa"/>
            <w:vAlign w:val="center"/>
          </w:tcPr>
          <w:p w14:paraId="50F99F12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90" w:type="dxa"/>
            <w:vAlign w:val="center"/>
          </w:tcPr>
          <w:p w14:paraId="13586735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417C24C9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51" w:type="dxa"/>
            <w:vAlign w:val="center"/>
          </w:tcPr>
          <w:p w14:paraId="529C0644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317" w:type="dxa"/>
            <w:vAlign w:val="center"/>
          </w:tcPr>
          <w:p w14:paraId="46A930F9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88" w:type="dxa"/>
            <w:vAlign w:val="center"/>
          </w:tcPr>
          <w:p w14:paraId="63C8AB3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245DCA0E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3D1D49D6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2826241D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36ACFC23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751F3B">
              <w:rPr>
                <w:rFonts w:ascii="Arial" w:hAnsi="Arial" w:cs="Arial"/>
                <w:i/>
                <w:iCs/>
                <w:sz w:val="24"/>
                <w:szCs w:val="24"/>
              </w:rPr>
              <w:t>Bell et al., 2012</w:t>
            </w:r>
          </w:p>
        </w:tc>
        <w:tc>
          <w:tcPr>
            <w:tcW w:w="0" w:type="auto"/>
            <w:vAlign w:val="center"/>
          </w:tcPr>
          <w:p w14:paraId="2551AE39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0" w:type="auto"/>
            <w:vAlign w:val="center"/>
          </w:tcPr>
          <w:p w14:paraId="49957C93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06D8F244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90" w:type="dxa"/>
            <w:vAlign w:val="center"/>
          </w:tcPr>
          <w:p w14:paraId="4BD2CC88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70FD4F3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51" w:type="dxa"/>
            <w:vAlign w:val="center"/>
          </w:tcPr>
          <w:p w14:paraId="40D54B66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317" w:type="dxa"/>
            <w:vAlign w:val="center"/>
          </w:tcPr>
          <w:p w14:paraId="51BA4E1D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88" w:type="dxa"/>
            <w:vAlign w:val="center"/>
          </w:tcPr>
          <w:p w14:paraId="73538201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65AF478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1058579F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0FD3165E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5A442C99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751F3B">
              <w:rPr>
                <w:rFonts w:ascii="Arial" w:hAnsi="Arial" w:cs="Arial"/>
                <w:i/>
                <w:iCs/>
                <w:sz w:val="24"/>
                <w:szCs w:val="24"/>
              </w:rPr>
              <w:t>Alata et al., 2015</w:t>
            </w:r>
          </w:p>
        </w:tc>
        <w:tc>
          <w:tcPr>
            <w:tcW w:w="0" w:type="auto"/>
            <w:vAlign w:val="center"/>
          </w:tcPr>
          <w:p w14:paraId="046FCF0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0" w:type="auto"/>
            <w:vAlign w:val="center"/>
          </w:tcPr>
          <w:p w14:paraId="506663DC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0311D5B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90" w:type="dxa"/>
            <w:vAlign w:val="center"/>
          </w:tcPr>
          <w:p w14:paraId="5E40FC23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7E15B410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51" w:type="dxa"/>
            <w:vAlign w:val="center"/>
          </w:tcPr>
          <w:p w14:paraId="21A9C97E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317" w:type="dxa"/>
            <w:vAlign w:val="center"/>
          </w:tcPr>
          <w:p w14:paraId="09A3AE09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88" w:type="dxa"/>
            <w:vAlign w:val="center"/>
          </w:tcPr>
          <w:p w14:paraId="675838C7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3E871C42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6053F461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45F492C7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300DC18E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751F3B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Thomas et al., 2017</w:t>
            </w:r>
          </w:p>
        </w:tc>
        <w:tc>
          <w:tcPr>
            <w:tcW w:w="0" w:type="auto"/>
            <w:vAlign w:val="center"/>
          </w:tcPr>
          <w:p w14:paraId="1AC74146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0" w:type="auto"/>
            <w:vAlign w:val="center"/>
          </w:tcPr>
          <w:p w14:paraId="691FE85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0821C14E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90" w:type="dxa"/>
            <w:vAlign w:val="center"/>
          </w:tcPr>
          <w:p w14:paraId="12018370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5F1C18B5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51" w:type="dxa"/>
            <w:vAlign w:val="center"/>
          </w:tcPr>
          <w:p w14:paraId="53ECBA5C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17" w:type="dxa"/>
            <w:vAlign w:val="center"/>
          </w:tcPr>
          <w:p w14:paraId="3BB636C3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588" w:type="dxa"/>
            <w:vAlign w:val="center"/>
          </w:tcPr>
          <w:p w14:paraId="585F9A6D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66B41B4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2687E1F7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402DD05C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52AFB229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751F3B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Lin et al., 2017</w:t>
            </w:r>
          </w:p>
        </w:tc>
        <w:tc>
          <w:tcPr>
            <w:tcW w:w="0" w:type="auto"/>
            <w:vAlign w:val="center"/>
          </w:tcPr>
          <w:p w14:paraId="3952AEE1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0" w:type="auto"/>
            <w:vAlign w:val="center"/>
          </w:tcPr>
          <w:p w14:paraId="340BBB5D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411FBF85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90" w:type="dxa"/>
            <w:vAlign w:val="center"/>
          </w:tcPr>
          <w:p w14:paraId="7A0317E5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63B8B070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51" w:type="dxa"/>
            <w:vAlign w:val="center"/>
          </w:tcPr>
          <w:p w14:paraId="3F55A974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17" w:type="dxa"/>
            <w:vAlign w:val="center"/>
          </w:tcPr>
          <w:p w14:paraId="5452AF24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88" w:type="dxa"/>
            <w:vAlign w:val="center"/>
          </w:tcPr>
          <w:p w14:paraId="0315D66B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77CF6E48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6BC6AED3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0D4CDB4C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389F2F11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751F3B">
              <w:rPr>
                <w:rFonts w:ascii="Arial" w:hAnsi="Arial" w:cs="Arial"/>
                <w:i/>
                <w:iCs/>
                <w:sz w:val="24"/>
                <w:szCs w:val="24"/>
              </w:rPr>
              <w:t>Marottoli et al., 2017</w:t>
            </w:r>
          </w:p>
        </w:tc>
        <w:tc>
          <w:tcPr>
            <w:tcW w:w="0" w:type="auto"/>
            <w:vAlign w:val="center"/>
          </w:tcPr>
          <w:p w14:paraId="4DDD6A41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0" w:type="auto"/>
            <w:vAlign w:val="center"/>
          </w:tcPr>
          <w:p w14:paraId="4242199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7CDD088D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90" w:type="dxa"/>
            <w:vAlign w:val="center"/>
          </w:tcPr>
          <w:p w14:paraId="469E00BC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368EFB59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51" w:type="dxa"/>
            <w:vAlign w:val="center"/>
          </w:tcPr>
          <w:p w14:paraId="264D5103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17" w:type="dxa"/>
            <w:vAlign w:val="center"/>
          </w:tcPr>
          <w:p w14:paraId="7F29A518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588" w:type="dxa"/>
            <w:vAlign w:val="center"/>
          </w:tcPr>
          <w:p w14:paraId="7BAF9515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19F74124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3D8AB4F4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4F87CFDC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5885A03D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751F3B">
              <w:rPr>
                <w:rFonts w:ascii="Arial" w:hAnsi="Arial" w:cs="Arial"/>
                <w:i/>
                <w:iCs/>
                <w:sz w:val="24"/>
                <w:szCs w:val="24"/>
              </w:rPr>
              <w:t>Koizumi et al., 2018</w:t>
            </w:r>
          </w:p>
        </w:tc>
        <w:tc>
          <w:tcPr>
            <w:tcW w:w="0" w:type="auto"/>
            <w:vAlign w:val="center"/>
          </w:tcPr>
          <w:p w14:paraId="196135C1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4157EEAD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656C3A36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90" w:type="dxa"/>
            <w:vAlign w:val="center"/>
          </w:tcPr>
          <w:p w14:paraId="040221E2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60DA7CAB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51" w:type="dxa"/>
            <w:vAlign w:val="center"/>
          </w:tcPr>
          <w:p w14:paraId="38ED9459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17" w:type="dxa"/>
            <w:vAlign w:val="center"/>
          </w:tcPr>
          <w:p w14:paraId="0D60E736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588" w:type="dxa"/>
            <w:vAlign w:val="center"/>
          </w:tcPr>
          <w:p w14:paraId="5992C407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6E773055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6D862D61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4233C474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283DFADF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751F3B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Johnson et al., 2019</w:t>
            </w:r>
          </w:p>
        </w:tc>
        <w:tc>
          <w:tcPr>
            <w:tcW w:w="0" w:type="auto"/>
            <w:vAlign w:val="center"/>
          </w:tcPr>
          <w:p w14:paraId="6CCE0F95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0" w:type="auto"/>
            <w:vAlign w:val="center"/>
          </w:tcPr>
          <w:p w14:paraId="3838A76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707B50B7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90" w:type="dxa"/>
            <w:vAlign w:val="center"/>
          </w:tcPr>
          <w:p w14:paraId="45D47A0F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035B7BC7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51" w:type="dxa"/>
            <w:vAlign w:val="center"/>
          </w:tcPr>
          <w:p w14:paraId="67A82B1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317" w:type="dxa"/>
            <w:vAlign w:val="center"/>
          </w:tcPr>
          <w:p w14:paraId="398A6BEC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88" w:type="dxa"/>
            <w:vAlign w:val="center"/>
          </w:tcPr>
          <w:p w14:paraId="0E5B10A8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569AC14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09F61FEF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62F422D5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57046B8F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751F3B">
              <w:rPr>
                <w:rFonts w:ascii="Arial" w:hAnsi="Arial" w:cs="Arial"/>
                <w:i/>
                <w:iCs/>
                <w:sz w:val="24"/>
                <w:szCs w:val="24"/>
              </w:rPr>
              <w:t>Yamazaki et al., 2020</w:t>
            </w:r>
          </w:p>
        </w:tc>
        <w:tc>
          <w:tcPr>
            <w:tcW w:w="0" w:type="auto"/>
            <w:vAlign w:val="center"/>
          </w:tcPr>
          <w:p w14:paraId="5F9F297C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0" w:type="auto"/>
            <w:vAlign w:val="center"/>
          </w:tcPr>
          <w:p w14:paraId="78076065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4E0A078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90" w:type="dxa"/>
            <w:vAlign w:val="center"/>
          </w:tcPr>
          <w:p w14:paraId="71D014EB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56BF68C4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51" w:type="dxa"/>
            <w:vAlign w:val="center"/>
          </w:tcPr>
          <w:p w14:paraId="0823088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317" w:type="dxa"/>
            <w:vAlign w:val="center"/>
          </w:tcPr>
          <w:p w14:paraId="430B47BC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88" w:type="dxa"/>
            <w:vAlign w:val="center"/>
          </w:tcPr>
          <w:p w14:paraId="22CBDA94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018D2D19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2007B695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4F913AF0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4AE92D44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751F3B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Ringland et al., 2020</w:t>
            </w:r>
          </w:p>
        </w:tc>
        <w:tc>
          <w:tcPr>
            <w:tcW w:w="0" w:type="auto"/>
            <w:vAlign w:val="center"/>
          </w:tcPr>
          <w:p w14:paraId="6E7A70CD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0" w:type="auto"/>
            <w:vAlign w:val="center"/>
          </w:tcPr>
          <w:p w14:paraId="6A466646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29CE8ABC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90" w:type="dxa"/>
            <w:vAlign w:val="center"/>
          </w:tcPr>
          <w:p w14:paraId="73AD1913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52A7D261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51" w:type="dxa"/>
            <w:vAlign w:val="center"/>
          </w:tcPr>
          <w:p w14:paraId="0B3EC369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🔴</w:t>
            </w:r>
          </w:p>
        </w:tc>
        <w:tc>
          <w:tcPr>
            <w:tcW w:w="1317" w:type="dxa"/>
            <w:vAlign w:val="center"/>
          </w:tcPr>
          <w:p w14:paraId="01DB4367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88" w:type="dxa"/>
            <w:vAlign w:val="center"/>
          </w:tcPr>
          <w:p w14:paraId="53B578FE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73EF996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49DD72FD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</w:tr>
      <w:tr w:rsidR="00F341AD" w:rsidRPr="00751F3B" w14:paraId="0278C3B5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118ED9AA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751F3B">
              <w:rPr>
                <w:rFonts w:ascii="Arial" w:hAnsi="Arial" w:cs="Arial"/>
                <w:i/>
                <w:iCs/>
                <w:sz w:val="24"/>
                <w:szCs w:val="24"/>
              </w:rPr>
              <w:t>Lin et al., 2020</w:t>
            </w:r>
          </w:p>
        </w:tc>
        <w:tc>
          <w:tcPr>
            <w:tcW w:w="0" w:type="auto"/>
            <w:vAlign w:val="center"/>
          </w:tcPr>
          <w:p w14:paraId="30410562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49784409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25D6F965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90" w:type="dxa"/>
            <w:vAlign w:val="center"/>
          </w:tcPr>
          <w:p w14:paraId="432A4F4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49309B2E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51" w:type="dxa"/>
            <w:vAlign w:val="center"/>
          </w:tcPr>
          <w:p w14:paraId="68BE109F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317" w:type="dxa"/>
            <w:vAlign w:val="center"/>
          </w:tcPr>
          <w:p w14:paraId="5E908697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88" w:type="dxa"/>
            <w:vAlign w:val="center"/>
          </w:tcPr>
          <w:p w14:paraId="69883F19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2AE97FAB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5AD397F0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3C9C27C5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6DF8B158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751F3B">
              <w:rPr>
                <w:rFonts w:ascii="Arial" w:hAnsi="Arial" w:cs="Arial"/>
                <w:i/>
                <w:iCs/>
                <w:sz w:val="24"/>
                <w:szCs w:val="24"/>
              </w:rPr>
              <w:t>Montagne et al., 2021</w:t>
            </w:r>
          </w:p>
        </w:tc>
        <w:tc>
          <w:tcPr>
            <w:tcW w:w="0" w:type="auto"/>
            <w:vAlign w:val="center"/>
          </w:tcPr>
          <w:p w14:paraId="78B87ED2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58E626D0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106BE264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290" w:type="dxa"/>
            <w:vAlign w:val="center"/>
          </w:tcPr>
          <w:p w14:paraId="15D8CE3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396C4DE1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551" w:type="dxa"/>
            <w:vAlign w:val="center"/>
          </w:tcPr>
          <w:p w14:paraId="0AF47D2B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17" w:type="dxa"/>
            <w:vAlign w:val="center"/>
          </w:tcPr>
          <w:p w14:paraId="60729896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588" w:type="dxa"/>
            <w:vAlign w:val="center"/>
          </w:tcPr>
          <w:p w14:paraId="275494A6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72D77C31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4FC4667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0522C546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4DAE750D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751F3B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Yamazaki et al., 2021</w:t>
            </w:r>
          </w:p>
        </w:tc>
        <w:tc>
          <w:tcPr>
            <w:tcW w:w="0" w:type="auto"/>
            <w:vAlign w:val="center"/>
          </w:tcPr>
          <w:p w14:paraId="38CD4E50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37421DB1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7E79E5D7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90" w:type="dxa"/>
            <w:vAlign w:val="center"/>
          </w:tcPr>
          <w:p w14:paraId="25736171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566DFB19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51" w:type="dxa"/>
            <w:vAlign w:val="center"/>
          </w:tcPr>
          <w:p w14:paraId="5446E01F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17" w:type="dxa"/>
            <w:vAlign w:val="center"/>
          </w:tcPr>
          <w:p w14:paraId="3E10F0A2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88" w:type="dxa"/>
            <w:vAlign w:val="center"/>
          </w:tcPr>
          <w:p w14:paraId="2AEC5BDB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488CB4B4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58FD368E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097AD0EB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21F6C02F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751F3B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Rhea et al., 2021</w:t>
            </w:r>
          </w:p>
        </w:tc>
        <w:tc>
          <w:tcPr>
            <w:tcW w:w="0" w:type="auto"/>
            <w:vAlign w:val="center"/>
          </w:tcPr>
          <w:p w14:paraId="123795EE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797F908B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2DD91078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90" w:type="dxa"/>
            <w:vAlign w:val="center"/>
          </w:tcPr>
          <w:p w14:paraId="7B599BB0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37B6B5CF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51" w:type="dxa"/>
            <w:vAlign w:val="center"/>
          </w:tcPr>
          <w:p w14:paraId="77699E3D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17" w:type="dxa"/>
            <w:vAlign w:val="center"/>
          </w:tcPr>
          <w:p w14:paraId="29E87469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88" w:type="dxa"/>
            <w:vAlign w:val="center"/>
          </w:tcPr>
          <w:p w14:paraId="55C6A980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416166AC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50AC9FC9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58BBEB89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47AD7441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751F3B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Barisano et al., 2022</w:t>
            </w:r>
          </w:p>
        </w:tc>
        <w:tc>
          <w:tcPr>
            <w:tcW w:w="0" w:type="auto"/>
            <w:vAlign w:val="center"/>
          </w:tcPr>
          <w:p w14:paraId="6451B3E2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2D6ECFE0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0F299800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290" w:type="dxa"/>
            <w:vAlign w:val="center"/>
          </w:tcPr>
          <w:p w14:paraId="49B8E063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54850C22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551" w:type="dxa"/>
            <w:vAlign w:val="center"/>
          </w:tcPr>
          <w:p w14:paraId="0F2F49D9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17" w:type="dxa"/>
            <w:vAlign w:val="center"/>
          </w:tcPr>
          <w:p w14:paraId="2430C6F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588" w:type="dxa"/>
            <w:vAlign w:val="center"/>
          </w:tcPr>
          <w:p w14:paraId="7E4E20AF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1648DECD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04981074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06293A2F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3C47C5DB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751F3B">
              <w:rPr>
                <w:rFonts w:ascii="Arial" w:hAnsi="Arial" w:cs="Arial"/>
                <w:b w:val="0"/>
                <w:bCs w:val="0"/>
                <w:sz w:val="24"/>
                <w:szCs w:val="24"/>
              </w:rPr>
              <w:lastRenderedPageBreak/>
              <w:t>Jackson et al., 2022</w:t>
            </w:r>
          </w:p>
        </w:tc>
        <w:tc>
          <w:tcPr>
            <w:tcW w:w="0" w:type="auto"/>
            <w:vAlign w:val="center"/>
          </w:tcPr>
          <w:p w14:paraId="287E294B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0" w:type="auto"/>
            <w:vAlign w:val="center"/>
          </w:tcPr>
          <w:p w14:paraId="0B02E7B5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097FCCD8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90" w:type="dxa"/>
            <w:vAlign w:val="center"/>
          </w:tcPr>
          <w:p w14:paraId="06E235E4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2F3A20E1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51" w:type="dxa"/>
            <w:vAlign w:val="center"/>
          </w:tcPr>
          <w:p w14:paraId="640C224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317" w:type="dxa"/>
            <w:vAlign w:val="center"/>
          </w:tcPr>
          <w:p w14:paraId="408C66D2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88" w:type="dxa"/>
            <w:vAlign w:val="center"/>
          </w:tcPr>
          <w:p w14:paraId="65515C61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7D51EA1F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4A8FB540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1C39C9B0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76A9E00F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751F3B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Yanckello et al., 2022</w:t>
            </w:r>
          </w:p>
        </w:tc>
        <w:tc>
          <w:tcPr>
            <w:tcW w:w="0" w:type="auto"/>
            <w:vAlign w:val="center"/>
          </w:tcPr>
          <w:p w14:paraId="6E05881F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65440405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7D5B3045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90" w:type="dxa"/>
            <w:vAlign w:val="center"/>
          </w:tcPr>
          <w:p w14:paraId="2E57BBF5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247" w:type="dxa"/>
            <w:vAlign w:val="center"/>
          </w:tcPr>
          <w:p w14:paraId="76D26743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51" w:type="dxa"/>
            <w:vAlign w:val="center"/>
          </w:tcPr>
          <w:p w14:paraId="00D07D90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17" w:type="dxa"/>
            <w:vAlign w:val="center"/>
          </w:tcPr>
          <w:p w14:paraId="596DB97B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88" w:type="dxa"/>
            <w:vAlign w:val="center"/>
          </w:tcPr>
          <w:p w14:paraId="6171780D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59178441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7639A347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6C72E024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6FFB382E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751F3B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Bonnar et al., 2023</w:t>
            </w:r>
          </w:p>
        </w:tc>
        <w:tc>
          <w:tcPr>
            <w:tcW w:w="0" w:type="auto"/>
            <w:vAlign w:val="center"/>
          </w:tcPr>
          <w:p w14:paraId="13A73559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0" w:type="auto"/>
            <w:vAlign w:val="center"/>
          </w:tcPr>
          <w:p w14:paraId="10B65BE5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3EF01B63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90" w:type="dxa"/>
            <w:vAlign w:val="center"/>
          </w:tcPr>
          <w:p w14:paraId="1C576B7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60C2D7DF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🔴</w:t>
            </w:r>
          </w:p>
        </w:tc>
        <w:tc>
          <w:tcPr>
            <w:tcW w:w="1551" w:type="dxa"/>
            <w:vAlign w:val="center"/>
          </w:tcPr>
          <w:p w14:paraId="2DE07AD4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317" w:type="dxa"/>
            <w:vAlign w:val="center"/>
          </w:tcPr>
          <w:p w14:paraId="17D4D150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588" w:type="dxa"/>
            <w:vAlign w:val="center"/>
          </w:tcPr>
          <w:p w14:paraId="5A6EA9AD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627033D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05822284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7274470E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0E0DBC24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751F3B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Onos et al., 2024</w:t>
            </w:r>
          </w:p>
        </w:tc>
        <w:tc>
          <w:tcPr>
            <w:tcW w:w="0" w:type="auto"/>
            <w:vAlign w:val="center"/>
          </w:tcPr>
          <w:p w14:paraId="3FF77CAE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1477039E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34D28729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290" w:type="dxa"/>
            <w:vAlign w:val="center"/>
          </w:tcPr>
          <w:p w14:paraId="0B9803AB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247" w:type="dxa"/>
            <w:vAlign w:val="center"/>
          </w:tcPr>
          <w:p w14:paraId="61D16D71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551" w:type="dxa"/>
            <w:vAlign w:val="center"/>
          </w:tcPr>
          <w:p w14:paraId="3A607C57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17" w:type="dxa"/>
            <w:vAlign w:val="center"/>
          </w:tcPr>
          <w:p w14:paraId="228EEBD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588" w:type="dxa"/>
            <w:vAlign w:val="center"/>
          </w:tcPr>
          <w:p w14:paraId="5FFAC04B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31AFDCA2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42AFEF18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64DF974E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71D6CE08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751F3B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Anderle et al., 2025</w:t>
            </w:r>
          </w:p>
        </w:tc>
        <w:tc>
          <w:tcPr>
            <w:tcW w:w="0" w:type="auto"/>
            <w:vAlign w:val="center"/>
          </w:tcPr>
          <w:p w14:paraId="58AB031D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33A35344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1BBE287A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90" w:type="dxa"/>
            <w:vAlign w:val="center"/>
          </w:tcPr>
          <w:p w14:paraId="6923A2D0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172A053E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51" w:type="dxa"/>
            <w:vAlign w:val="center"/>
          </w:tcPr>
          <w:p w14:paraId="4217E2C8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17" w:type="dxa"/>
            <w:vAlign w:val="center"/>
          </w:tcPr>
          <w:p w14:paraId="2963E288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588" w:type="dxa"/>
            <w:vAlign w:val="center"/>
          </w:tcPr>
          <w:p w14:paraId="77F64701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3E0EFC22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5FEB671C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</w:tr>
      <w:tr w:rsidR="00F341AD" w:rsidRPr="00751F3B" w14:paraId="16AB2C52" w14:textId="77777777" w:rsidTr="00046F0F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1" w:type="dxa"/>
            <w:vAlign w:val="center"/>
          </w:tcPr>
          <w:p w14:paraId="70BC6805" w14:textId="77777777" w:rsidR="00F341AD" w:rsidRPr="00751F3B" w:rsidRDefault="00F341AD" w:rsidP="00046F0F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751F3B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Bhattarai et al., 2025</w:t>
            </w:r>
          </w:p>
        </w:tc>
        <w:tc>
          <w:tcPr>
            <w:tcW w:w="0" w:type="auto"/>
            <w:vAlign w:val="center"/>
          </w:tcPr>
          <w:p w14:paraId="06EF7C1C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0" w:type="auto"/>
            <w:vAlign w:val="center"/>
          </w:tcPr>
          <w:p w14:paraId="2C78EE0D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913" w:type="dxa"/>
            <w:vAlign w:val="center"/>
          </w:tcPr>
          <w:p w14:paraId="3651452F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90" w:type="dxa"/>
            <w:vAlign w:val="center"/>
          </w:tcPr>
          <w:p w14:paraId="66D7FB75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247" w:type="dxa"/>
            <w:vAlign w:val="center"/>
          </w:tcPr>
          <w:p w14:paraId="06D69A1D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551" w:type="dxa"/>
            <w:vAlign w:val="center"/>
          </w:tcPr>
          <w:p w14:paraId="71E2FF82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  <w:tc>
          <w:tcPr>
            <w:tcW w:w="1317" w:type="dxa"/>
            <w:vAlign w:val="center"/>
          </w:tcPr>
          <w:p w14:paraId="2C71082D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588" w:type="dxa"/>
            <w:vAlign w:val="center"/>
          </w:tcPr>
          <w:p w14:paraId="07537A32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1358" w:type="dxa"/>
            <w:vAlign w:val="center"/>
          </w:tcPr>
          <w:p w14:paraId="28838D75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🟢</w:t>
            </w:r>
          </w:p>
        </w:tc>
        <w:tc>
          <w:tcPr>
            <w:tcW w:w="0" w:type="auto"/>
            <w:vAlign w:val="center"/>
          </w:tcPr>
          <w:p w14:paraId="59D68B4F" w14:textId="77777777" w:rsidR="00F341AD" w:rsidRPr="00751F3B" w:rsidRDefault="00F341AD" w:rsidP="00046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751F3B">
              <w:rPr>
                <w:rFonts w:ascii="Segoe UI Emoji" w:hAnsi="Segoe UI Emoji" w:cs="Segoe UI Emoji"/>
                <w:sz w:val="24"/>
                <w:szCs w:val="24"/>
              </w:rPr>
              <w:t>🟡</w:t>
            </w:r>
          </w:p>
        </w:tc>
      </w:tr>
    </w:tbl>
    <w:p w14:paraId="3FCFF85E" w14:textId="77777777" w:rsidR="00F341AD" w:rsidRPr="00751F3B" w:rsidRDefault="00F341AD" w:rsidP="00F341AD">
      <w:pPr>
        <w:rPr>
          <w:rFonts w:ascii="Arial" w:hAnsi="Arial" w:cs="Arial"/>
          <w:sz w:val="24"/>
          <w:szCs w:val="24"/>
        </w:rPr>
      </w:pPr>
    </w:p>
    <w:p w14:paraId="2877F8EE" w14:textId="77777777" w:rsidR="00F341AD" w:rsidRPr="00751F3B" w:rsidRDefault="00F341AD" w:rsidP="00F341AD">
      <w:pPr>
        <w:rPr>
          <w:rFonts w:ascii="Arial" w:eastAsia="Times New Roman" w:hAnsi="Arial" w:cs="Arial"/>
          <w:sz w:val="24"/>
          <w:szCs w:val="24"/>
          <w:lang w:eastAsia="en-GB"/>
        </w:rPr>
      </w:pPr>
    </w:p>
    <w:p w14:paraId="1D958094" w14:textId="77777777" w:rsidR="00F341AD" w:rsidRPr="00527430" w:rsidRDefault="00F341AD" w:rsidP="00F341AD">
      <w:pPr>
        <w:shd w:val="clear" w:color="auto" w:fill="FFFFFF"/>
        <w:spacing w:before="90" w:after="150" w:line="240" w:lineRule="auto"/>
        <w:outlineLvl w:val="0"/>
        <w:rPr>
          <w:rFonts w:ascii="Arial" w:eastAsia="Times New Roman" w:hAnsi="Arial" w:cs="Arial"/>
          <w:color w:val="6A6C6F"/>
          <w:kern w:val="36"/>
          <w:sz w:val="24"/>
          <w:szCs w:val="24"/>
          <w:lang w:eastAsia="en-GB"/>
        </w:rPr>
      </w:pPr>
    </w:p>
    <w:p w14:paraId="445286FC" w14:textId="77777777" w:rsidR="00DE6AE2" w:rsidRDefault="00DE6AE2"/>
    <w:sectPr w:rsidR="00DE6AE2" w:rsidSect="00F341A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D20D6"/>
    <w:multiLevelType w:val="multilevel"/>
    <w:tmpl w:val="F23C9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04350F"/>
    <w:multiLevelType w:val="multilevel"/>
    <w:tmpl w:val="7F624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4513D3"/>
    <w:multiLevelType w:val="multilevel"/>
    <w:tmpl w:val="586A5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091723"/>
    <w:multiLevelType w:val="multilevel"/>
    <w:tmpl w:val="A91E9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DE333B"/>
    <w:multiLevelType w:val="multilevel"/>
    <w:tmpl w:val="3BE07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097E7A"/>
    <w:multiLevelType w:val="multilevel"/>
    <w:tmpl w:val="B6C8B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8C6159"/>
    <w:multiLevelType w:val="multilevel"/>
    <w:tmpl w:val="CB7E3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AF0171"/>
    <w:multiLevelType w:val="multilevel"/>
    <w:tmpl w:val="D832A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8084EFF"/>
    <w:multiLevelType w:val="multilevel"/>
    <w:tmpl w:val="8294E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4064886"/>
    <w:multiLevelType w:val="multilevel"/>
    <w:tmpl w:val="ED546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6908823">
    <w:abstractNumId w:val="9"/>
  </w:num>
  <w:num w:numId="2" w16cid:durableId="2134597730">
    <w:abstractNumId w:val="3"/>
  </w:num>
  <w:num w:numId="3" w16cid:durableId="590358341">
    <w:abstractNumId w:val="7"/>
  </w:num>
  <w:num w:numId="4" w16cid:durableId="1008211321">
    <w:abstractNumId w:val="6"/>
  </w:num>
  <w:num w:numId="5" w16cid:durableId="2106729218">
    <w:abstractNumId w:val="0"/>
  </w:num>
  <w:num w:numId="6" w16cid:durableId="1081558351">
    <w:abstractNumId w:val="4"/>
  </w:num>
  <w:num w:numId="7" w16cid:durableId="1299996481">
    <w:abstractNumId w:val="5"/>
  </w:num>
  <w:num w:numId="8" w16cid:durableId="333604997">
    <w:abstractNumId w:val="1"/>
  </w:num>
  <w:num w:numId="9" w16cid:durableId="1122268283">
    <w:abstractNumId w:val="2"/>
  </w:num>
  <w:num w:numId="10" w16cid:durableId="26774177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1AD"/>
    <w:rsid w:val="00195413"/>
    <w:rsid w:val="003D0186"/>
    <w:rsid w:val="00487AF1"/>
    <w:rsid w:val="007278E4"/>
    <w:rsid w:val="00A3738C"/>
    <w:rsid w:val="00BC6C35"/>
    <w:rsid w:val="00CB270D"/>
    <w:rsid w:val="00CF7583"/>
    <w:rsid w:val="00DE6AE2"/>
    <w:rsid w:val="00F34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83DF5"/>
  <w15:chartTrackingRefBased/>
  <w15:docId w15:val="{12C4B977-DA3F-4204-8462-1808F61FB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1AD"/>
    <w:pPr>
      <w:spacing w:after="120" w:line="264" w:lineRule="auto"/>
    </w:pPr>
    <w:rPr>
      <w:rFonts w:eastAsiaTheme="minorEastAsia"/>
      <w:kern w:val="0"/>
      <w:sz w:val="21"/>
      <w:szCs w:val="21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41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41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41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41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41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41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41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41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41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41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41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41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41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41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41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41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41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41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41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41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41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41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41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41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41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41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41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41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41AD"/>
    <w:rPr>
      <w:b/>
      <w:bCs/>
      <w:smallCaps/>
      <w:color w:val="0F4761" w:themeColor="accent1" w:themeShade="BF"/>
      <w:spacing w:val="5"/>
    </w:rPr>
  </w:style>
  <w:style w:type="table" w:styleId="GridTable1Light">
    <w:name w:val="Grid Table 1 Light"/>
    <w:basedOn w:val="TableNormal"/>
    <w:uiPriority w:val="46"/>
    <w:rsid w:val="00F341AD"/>
    <w:pPr>
      <w:spacing w:after="0" w:line="240" w:lineRule="auto"/>
    </w:pPr>
    <w:rPr>
      <w:rFonts w:eastAsiaTheme="minorEastAsia"/>
      <w:kern w:val="0"/>
      <w:sz w:val="21"/>
      <w:szCs w:val="21"/>
      <w:lang w:val="en-GB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SubtleEmphasis">
    <w:name w:val="Subtle Emphasis"/>
    <w:basedOn w:val="DefaultParagraphFont"/>
    <w:uiPriority w:val="19"/>
    <w:qFormat/>
    <w:rsid w:val="00F341AD"/>
    <w:rPr>
      <w:i/>
      <w:iCs/>
      <w:color w:val="595959" w:themeColor="text1" w:themeTint="A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699</Words>
  <Characters>4188</Characters>
  <Application>Microsoft Office Word</Application>
  <DocSecurity>0</DocSecurity>
  <Lines>155</Lines>
  <Paragraphs>90</Paragraphs>
  <ScaleCrop>false</ScaleCrop>
  <Company>Springer Nature</Company>
  <LinksUpToDate>false</LinksUpToDate>
  <CharactersWithSpaces>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2026-01-29T10:47:00Z</dcterms:created>
  <dcterms:modified xsi:type="dcterms:W3CDTF">2026-01-29T10:47:00Z</dcterms:modified>
</cp:coreProperties>
</file>