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D9CA03" w14:textId="34FEBBAD" w:rsidR="001D43A3" w:rsidRDefault="001D43A3" w:rsidP="001D43A3">
      <w:pPr>
        <w:widowControl/>
        <w:tabs>
          <w:tab w:val="left" w:pos="567"/>
        </w:tabs>
        <w:spacing w:before="240" w:after="240"/>
        <w:ind w:left="567" w:hanging="567"/>
        <w:jc w:val="left"/>
        <w:rPr>
          <w:b/>
          <w:sz w:val="24"/>
        </w:rPr>
      </w:pPr>
      <w:r>
        <w:rPr>
          <w:rFonts w:ascii="Yu Mincho" w:eastAsia="Yu Mincho" w:hAnsi="Yu Mincho" w:cs="Yu Mincho"/>
          <w:b/>
          <w:sz w:val="24"/>
        </w:rPr>
        <w:t>Supplementary Table</w:t>
      </w:r>
    </w:p>
    <w:p w14:paraId="7027B1D9" w14:textId="77777777" w:rsidR="001D43A3" w:rsidRDefault="001D43A3" w:rsidP="001D43A3">
      <w:pPr>
        <w:widowControl/>
        <w:spacing w:before="120" w:after="240"/>
        <w:jc w:val="left"/>
        <w:rPr>
          <w:sz w:val="24"/>
        </w:rPr>
      </w:pPr>
      <w:bookmarkStart w:id="0" w:name="_GoBack"/>
      <w:r>
        <w:rPr>
          <w:rFonts w:ascii="Yu Mincho" w:eastAsia="Yu Mincho" w:hAnsi="Yu Mincho" w:cs="Yu Mincho"/>
          <w:b/>
          <w:sz w:val="24"/>
        </w:rPr>
        <w:t>Supplementary Table 1</w:t>
      </w:r>
      <w:r>
        <w:rPr>
          <w:rFonts w:ascii="Yu Mincho" w:eastAsia="Yu Mincho" w:hAnsi="Yu Mincho" w:cs="Yu Mincho"/>
          <w:sz w:val="24"/>
        </w:rPr>
        <w:t>. Overview of the assessment tools used in this study and their respective scoring systems</w:t>
      </w:r>
    </w:p>
    <w:bookmarkEnd w:id="0"/>
    <w:tbl>
      <w:tblPr>
        <w:tblStyle w:val="PlainTable2"/>
        <w:tblW w:w="0" w:type="auto"/>
        <w:tblLook w:val="0420" w:firstRow="1" w:lastRow="0" w:firstColumn="0" w:lastColumn="0" w:noHBand="0" w:noVBand="1"/>
      </w:tblPr>
      <w:tblGrid>
        <w:gridCol w:w="1917"/>
        <w:gridCol w:w="1897"/>
        <w:gridCol w:w="2820"/>
        <w:gridCol w:w="1870"/>
      </w:tblGrid>
      <w:tr w:rsidR="001D43A3" w14:paraId="353430E5" w14:textId="77777777" w:rsidTr="005E2A9E">
        <w:trPr>
          <w:cnfStyle w:val="100000000000" w:firstRow="1" w:lastRow="0" w:firstColumn="0" w:lastColumn="0" w:oddVBand="0" w:evenVBand="0" w:oddHBand="0" w:evenHBand="0" w:firstRowFirstColumn="0" w:firstRowLastColumn="0" w:lastRowFirstColumn="0" w:lastRowLastColumn="0"/>
          <w:trHeight w:val="172"/>
        </w:trPr>
        <w:tc>
          <w:tcPr>
            <w:tcW w:w="1374" w:type="dxa"/>
          </w:tcPr>
          <w:p w14:paraId="3DDECD17" w14:textId="77777777" w:rsidR="001D43A3" w:rsidRDefault="001D43A3" w:rsidP="00182A6A">
            <w:pPr>
              <w:widowControl/>
              <w:spacing w:before="120" w:after="240"/>
              <w:jc w:val="left"/>
              <w:rPr>
                <w:sz w:val="22"/>
              </w:rPr>
            </w:pPr>
          </w:p>
        </w:tc>
        <w:tc>
          <w:tcPr>
            <w:tcW w:w="1934" w:type="dxa"/>
          </w:tcPr>
          <w:p w14:paraId="276EBD8E" w14:textId="77777777" w:rsidR="001D43A3" w:rsidRDefault="001D43A3" w:rsidP="00182A6A">
            <w:pPr>
              <w:widowControl/>
              <w:snapToGrid w:val="0"/>
              <w:spacing w:before="120" w:after="240"/>
              <w:jc w:val="left"/>
              <w:rPr>
                <w:b w:val="0"/>
                <w:sz w:val="22"/>
              </w:rPr>
            </w:pPr>
            <w:r>
              <w:rPr>
                <w:rFonts w:ascii="Yu Mincho" w:eastAsia="Yu Mincho" w:hAnsi="Yu Mincho" w:cs="Yu Mincho"/>
                <w:sz w:val="22"/>
              </w:rPr>
              <w:t>Aim</w:t>
            </w:r>
          </w:p>
        </w:tc>
        <w:tc>
          <w:tcPr>
            <w:tcW w:w="4145" w:type="dxa"/>
          </w:tcPr>
          <w:p w14:paraId="5E6AAE07" w14:textId="77777777" w:rsidR="001D43A3" w:rsidRDefault="001D43A3" w:rsidP="00182A6A">
            <w:pPr>
              <w:widowControl/>
              <w:snapToGrid w:val="0"/>
              <w:spacing w:before="120" w:after="240"/>
              <w:jc w:val="left"/>
              <w:rPr>
                <w:b w:val="0"/>
                <w:sz w:val="22"/>
              </w:rPr>
            </w:pPr>
            <w:r>
              <w:rPr>
                <w:rFonts w:ascii="Yu Mincho" w:eastAsia="Yu Mincho" w:hAnsi="Yu Mincho" w:cs="Yu Mincho"/>
                <w:sz w:val="22"/>
              </w:rPr>
              <w:t>Test</w:t>
            </w:r>
          </w:p>
        </w:tc>
        <w:tc>
          <w:tcPr>
            <w:tcW w:w="2460" w:type="dxa"/>
          </w:tcPr>
          <w:p w14:paraId="3DA31A49" w14:textId="77777777" w:rsidR="001D43A3" w:rsidRDefault="001D43A3" w:rsidP="00182A6A">
            <w:pPr>
              <w:widowControl/>
              <w:snapToGrid w:val="0"/>
              <w:spacing w:before="120" w:after="240"/>
              <w:jc w:val="left"/>
              <w:rPr>
                <w:b w:val="0"/>
                <w:sz w:val="22"/>
              </w:rPr>
            </w:pPr>
            <w:r>
              <w:rPr>
                <w:rFonts w:ascii="Yu Mincho" w:eastAsia="Yu Mincho" w:hAnsi="Yu Mincho" w:cs="Yu Mincho"/>
                <w:sz w:val="22"/>
              </w:rPr>
              <w:t>Scoring and criteria</w:t>
            </w:r>
          </w:p>
        </w:tc>
      </w:tr>
      <w:tr w:rsidR="001D43A3" w14:paraId="637E0B96" w14:textId="77777777" w:rsidTr="005E2A9E">
        <w:trPr>
          <w:cnfStyle w:val="000000100000" w:firstRow="0" w:lastRow="0" w:firstColumn="0" w:lastColumn="0" w:oddVBand="0" w:evenVBand="0" w:oddHBand="1" w:evenHBand="0" w:firstRowFirstColumn="0" w:firstRowLastColumn="0" w:lastRowFirstColumn="0" w:lastRowLastColumn="0"/>
          <w:trHeight w:val="709"/>
        </w:trPr>
        <w:tc>
          <w:tcPr>
            <w:tcW w:w="1374" w:type="dxa"/>
            <w:vMerge w:val="restart"/>
          </w:tcPr>
          <w:p w14:paraId="2E449AE2" w14:textId="77777777" w:rsidR="001D43A3" w:rsidRDefault="001D43A3" w:rsidP="00182A6A">
            <w:pPr>
              <w:widowControl/>
              <w:spacing w:before="120" w:after="240"/>
              <w:ind w:left="113" w:right="113"/>
              <w:jc w:val="center"/>
              <w:rPr>
                <w:b/>
                <w:sz w:val="22"/>
              </w:rPr>
            </w:pPr>
            <w:r>
              <w:rPr>
                <w:rFonts w:ascii="Yu Mincho" w:eastAsia="Yu Mincho" w:hAnsi="Yu Mincho" w:cs="Yu Mincho"/>
                <w:b/>
                <w:sz w:val="22"/>
              </w:rPr>
              <w:t>Questionnaires</w:t>
            </w:r>
          </w:p>
        </w:tc>
        <w:tc>
          <w:tcPr>
            <w:tcW w:w="1934" w:type="dxa"/>
          </w:tcPr>
          <w:p w14:paraId="18F693D7" w14:textId="77777777" w:rsidR="001D43A3" w:rsidRDefault="001D43A3" w:rsidP="00182A6A">
            <w:pPr>
              <w:widowControl/>
              <w:snapToGrid w:val="0"/>
              <w:spacing w:before="120" w:after="240"/>
              <w:jc w:val="left"/>
              <w:rPr>
                <w:sz w:val="22"/>
              </w:rPr>
            </w:pPr>
            <w:r>
              <w:rPr>
                <w:rFonts w:ascii="Yu Mincho" w:eastAsia="Yu Mincho" w:hAnsi="Yu Mincho" w:cs="Yu Mincho"/>
                <w:sz w:val="22"/>
              </w:rPr>
              <w:t>Degree of vertigo/dizziness</w:t>
            </w:r>
          </w:p>
        </w:tc>
        <w:tc>
          <w:tcPr>
            <w:tcW w:w="4145" w:type="dxa"/>
          </w:tcPr>
          <w:p w14:paraId="46925A60" w14:textId="77777777" w:rsidR="001D43A3" w:rsidRDefault="001D43A3" w:rsidP="00182A6A">
            <w:pPr>
              <w:widowControl/>
              <w:snapToGrid w:val="0"/>
              <w:spacing w:before="120" w:after="240"/>
              <w:jc w:val="left"/>
              <w:rPr>
                <w:sz w:val="22"/>
              </w:rPr>
            </w:pPr>
            <w:r>
              <w:rPr>
                <w:rFonts w:ascii="Yu Mincho" w:eastAsia="Yu Mincho" w:hAnsi="Yu Mincho" w:cs="Yu Mincho"/>
                <w:sz w:val="22"/>
              </w:rPr>
              <w:t xml:space="preserve">DHI </w:t>
            </w:r>
            <w:r>
              <w:rPr>
                <w:rFonts w:eastAsiaTheme="minorHAnsi" w:cs="Times New Roman"/>
                <w:kern w:val="0"/>
                <w:sz w:val="22"/>
              </w:rPr>
              <w:fldChar w:fldCharType="begin" w:fldLock="1"/>
            </w:r>
            <w:r>
              <w:rPr>
                <w:rFonts w:eastAsiaTheme="minorHAnsi" w:cs="Times New Roman"/>
                <w:kern w:val="0"/>
                <w:sz w:val="22"/>
              </w:rPr>
              <w:instrText>ADDIN CSL_CITATION {"citationItems":[{"id":"ITEM-1","itemData":{"ISSN":"0886-4470","PMID":"2317323","abstract":"Conventional vestibulometric techniques are inadequate for quantifying the impact of dizziness on everyday life. The 25-item Dizziness Handicap Inventory (DHI) was developed to evaluate the self-perceived handicapping effects imposed by vestibular system disease. The development of the preliminary (37 items) and final versions (25 items) of the DHI are described. The items were subgrouped into three content domains representing functional, emotional, and physical aspects of dizziness and unsteadiness. Cronbach's alpha coefficient was employed to measure reliability based on consistency of the preliminary version. The final version of the DHI was administered to 106 consecutive patients and demonstrated good internal consistency reliability. With the exception of the physical subscale, the mean values for DHI scale scores increased significantly with increases in the frequency of dizziness episodes. Test-retest reliability was high.","author":[{"dropping-particle":"","family":"Jacobson","given":"G P","non-dropping-particle":"","parse-names":false,"suffix":""},{"dropping-particle":"","family":"Newman","given":"C W","non-dropping-particle":"","parse-names":false,"suffix":""}],"container-title":"Archives of otolaryngology--head &amp; neck surgery","id":"ITEM-1","issue":"4","issued":{"date-parts":[["1990","4"]]},"page":"424-7","title":"The development of the Dizziness Handicap Inventory.","type":"article-journal","volume":"116"},"uris":["http://www.mendeley.com/documents/?uuid=8ed7369e-bb52-313c-ab8e-4c79993d36e9"]}],"mendeley":{"formattedCitation":"[22]","plainTextFormattedCitation":"[22]","previouslyFormattedCitation":"[20]"},"properties":{"noteIndex":0},"schema":"https://github.com/citation-style-language/schema/raw/master/csl-citation.json"}</w:instrText>
            </w:r>
            <w:r>
              <w:rPr>
                <w:rFonts w:eastAsiaTheme="minorHAnsi" w:cs="Times New Roman"/>
                <w:kern w:val="0"/>
                <w:sz w:val="22"/>
              </w:rPr>
              <w:fldChar w:fldCharType="separate"/>
            </w:r>
            <w:r>
              <w:rPr>
                <w:rFonts w:ascii="Yu Mincho" w:eastAsia="Yu Mincho" w:hAnsi="Yu Mincho" w:cs="Yu Mincho"/>
                <w:sz w:val="22"/>
              </w:rPr>
              <w:t>[22]</w:t>
            </w:r>
            <w:r>
              <w:rPr>
                <w:rFonts w:ascii="Yu Mincho" w:eastAsia="Yu Mincho" w:hAnsi="Yu Mincho" w:cs="Yu Mincho"/>
                <w:sz w:val="22"/>
              </w:rPr>
              <w:fldChar w:fldCharType="end"/>
            </w:r>
          </w:p>
          <w:p w14:paraId="77A1E259" w14:textId="77777777" w:rsidR="001D43A3" w:rsidRDefault="001D43A3" w:rsidP="00182A6A">
            <w:pPr>
              <w:widowControl/>
              <w:snapToGrid w:val="0"/>
              <w:spacing w:before="120" w:after="240"/>
              <w:jc w:val="left"/>
              <w:rPr>
                <w:sz w:val="22"/>
              </w:rPr>
            </w:pPr>
          </w:p>
        </w:tc>
        <w:tc>
          <w:tcPr>
            <w:tcW w:w="2460" w:type="dxa"/>
          </w:tcPr>
          <w:p w14:paraId="1875697E" w14:textId="77777777" w:rsidR="001D43A3" w:rsidRDefault="001D43A3" w:rsidP="00182A6A">
            <w:pPr>
              <w:widowControl/>
              <w:snapToGrid w:val="0"/>
              <w:spacing w:before="120" w:after="240"/>
              <w:jc w:val="left"/>
              <w:rPr>
                <w:sz w:val="22"/>
              </w:rPr>
            </w:pPr>
            <w:commentRangeStart w:id="1"/>
            <w:r>
              <w:rPr>
                <w:rFonts w:ascii="Yu Mincho" w:eastAsia="Yu Mincho" w:hAnsi="Yu Mincho" w:cs="Yu Mincho"/>
                <w:sz w:val="22"/>
              </w:rPr>
              <w:t>100-point scale, 25 items</w:t>
            </w:r>
          </w:p>
          <w:p w14:paraId="6B5CD5AC" w14:textId="20170EF1" w:rsidR="001D43A3" w:rsidRDefault="001D43A3" w:rsidP="00182A6A">
            <w:pPr>
              <w:widowControl/>
              <w:snapToGrid w:val="0"/>
              <w:spacing w:before="120" w:after="240"/>
              <w:jc w:val="left"/>
              <w:rPr>
                <w:sz w:val="22"/>
              </w:rPr>
            </w:pPr>
            <w:r>
              <w:rPr>
                <w:rFonts w:ascii="Yu Mincho" w:eastAsia="Yu Mincho" w:hAnsi="Yu Mincho" w:cs="Yu Mincho"/>
                <w:sz w:val="22"/>
              </w:rPr>
              <w:t>Sub-grouped into three domains: Physical (P)</w:t>
            </w:r>
            <w:r w:rsidR="00EA360D">
              <w:rPr>
                <w:rFonts w:ascii="Yu Mincho" w:eastAsia="Yu Mincho" w:hAnsi="Yu Mincho" w:cs="Yu Mincho"/>
                <w:sz w:val="22"/>
              </w:rPr>
              <w:t>: 7 items</w:t>
            </w:r>
            <w:r>
              <w:rPr>
                <w:rFonts w:ascii="Yu Mincho" w:eastAsia="Yu Mincho" w:hAnsi="Yu Mincho" w:cs="Yu Mincho"/>
                <w:sz w:val="22"/>
              </w:rPr>
              <w:t>, Emotional (E)</w:t>
            </w:r>
            <w:r w:rsidR="00EA360D">
              <w:rPr>
                <w:rFonts w:ascii="Yu Mincho" w:eastAsia="Yu Mincho" w:hAnsi="Yu Mincho" w:cs="Yu Mincho"/>
                <w:sz w:val="22"/>
              </w:rPr>
              <w:t>: 9 items</w:t>
            </w:r>
            <w:r>
              <w:rPr>
                <w:rFonts w:ascii="Yu Mincho" w:eastAsia="Yu Mincho" w:hAnsi="Yu Mincho" w:cs="Yu Mincho"/>
                <w:sz w:val="22"/>
              </w:rPr>
              <w:t>, Functional (F)</w:t>
            </w:r>
            <w:commentRangeEnd w:id="1"/>
            <w:r w:rsidR="00EA360D">
              <w:rPr>
                <w:rFonts w:ascii="Yu Mincho" w:eastAsia="Yu Mincho" w:hAnsi="Yu Mincho" w:cs="Yu Mincho"/>
                <w:sz w:val="22"/>
              </w:rPr>
              <w:t>: 9 items</w:t>
            </w:r>
            <w:r>
              <w:rPr>
                <w:rStyle w:val="CommentReference"/>
                <w:rFonts w:ascii="Calibri" w:eastAsia="Calibri" w:hAnsi="Calibri" w:cs="Calibri"/>
              </w:rPr>
              <w:commentReference w:id="1"/>
            </w:r>
          </w:p>
        </w:tc>
      </w:tr>
      <w:tr w:rsidR="001D43A3" w14:paraId="755EC237" w14:textId="77777777" w:rsidTr="005E2A9E">
        <w:trPr>
          <w:trHeight w:val="536"/>
        </w:trPr>
        <w:tc>
          <w:tcPr>
            <w:tcW w:w="1374" w:type="dxa"/>
            <w:vMerge/>
          </w:tcPr>
          <w:p w14:paraId="758F6D1B" w14:textId="77777777" w:rsidR="001D43A3" w:rsidRDefault="001D43A3" w:rsidP="00182A6A"/>
        </w:tc>
        <w:tc>
          <w:tcPr>
            <w:tcW w:w="1934" w:type="dxa"/>
          </w:tcPr>
          <w:p w14:paraId="1A598911" w14:textId="77777777" w:rsidR="001D43A3" w:rsidRDefault="001D43A3" w:rsidP="00182A6A">
            <w:pPr>
              <w:widowControl/>
              <w:snapToGrid w:val="0"/>
              <w:spacing w:before="120" w:after="240"/>
              <w:jc w:val="left"/>
              <w:rPr>
                <w:sz w:val="22"/>
              </w:rPr>
            </w:pPr>
            <w:r>
              <w:rPr>
                <w:rFonts w:ascii="Yu Mincho" w:eastAsia="Yu Mincho" w:hAnsi="Yu Mincho" w:cs="Yu Mincho"/>
                <w:sz w:val="22"/>
              </w:rPr>
              <w:t>Anxiety and depression</w:t>
            </w:r>
          </w:p>
        </w:tc>
        <w:tc>
          <w:tcPr>
            <w:tcW w:w="4145" w:type="dxa"/>
          </w:tcPr>
          <w:p w14:paraId="77EC0626" w14:textId="77777777" w:rsidR="001D43A3" w:rsidRDefault="001D43A3" w:rsidP="00182A6A">
            <w:pPr>
              <w:widowControl/>
              <w:snapToGrid w:val="0"/>
              <w:spacing w:before="120" w:after="240"/>
              <w:jc w:val="left"/>
              <w:rPr>
                <w:sz w:val="22"/>
              </w:rPr>
            </w:pPr>
            <w:r>
              <w:rPr>
                <w:rFonts w:ascii="Yu Mincho" w:eastAsia="Yu Mincho" w:hAnsi="Yu Mincho" w:cs="Yu Mincho"/>
                <w:sz w:val="22"/>
              </w:rPr>
              <w:t xml:space="preserve">HADS </w:t>
            </w:r>
            <w:r>
              <w:rPr>
                <w:rFonts w:eastAsiaTheme="minorHAnsi" w:cs="Times New Roman"/>
                <w:kern w:val="0"/>
                <w:sz w:val="22"/>
                <w:lang w:eastAsia="en-US"/>
              </w:rPr>
              <w:fldChar w:fldCharType="begin" w:fldLock="1"/>
            </w:r>
            <w:r>
              <w:rPr>
                <w:rFonts w:eastAsiaTheme="minorHAnsi" w:cs="Times New Roman"/>
                <w:kern w:val="0"/>
                <w:sz w:val="22"/>
                <w:lang w:eastAsia="en-US"/>
              </w:rPr>
              <w:instrText>ADDIN CSL_CITATION {"citationItems":[{"id":"ITEM-1","itemData":{"ISSN":"0001-690X","PMID":"6880820","abstract":"A self-assessment scale has been developed and found to be a reliable instrument for detecting states of depression and anxiety in the setting of an hospital medical outpatient clinic. The anxiety and depressive subscales are also valid measures of severity of the emotional disorder. It is suggested that the introduction of the scales into general hospital practice would facilitate the large task of detection and management of emotional disorder in patients under investigation and treatment in medical and surgical departments.","author":[{"dropping-particle":"","family":"Zigmond","given":"A S","non-dropping-particle":"","parse-names":false,"suffix":""},{"dropping-particle":"","family":"Snaith","given":"R P","non-dropping-particle":"","parse-names":false,"suffix":""}],"container-title":"Acta psychiatrica Scandinavica","id":"ITEM-1","issue":"6","issued":{"date-parts":[["1983","6"]]},"page":"361-70","title":"The hospital anxiety and depression scale.","type":"article-journal","volume":"67"},"uris":["http://www.mendeley.com/documents/?uuid=26c9886f-3b10-3b9d-bd56-87e72c928881"]}],"mendeley":{"formattedCitation":"[24]","plainTextFormattedCitation":"[24]","previouslyFormattedCitation":"[22]"},"properties":{"noteIndex":0},"schema":"https://github.com/citation-style-language/schema/raw/master/csl-citation.json"}</w:instrText>
            </w:r>
            <w:r>
              <w:rPr>
                <w:rFonts w:eastAsiaTheme="minorHAnsi" w:cs="Times New Roman"/>
                <w:kern w:val="0"/>
                <w:sz w:val="22"/>
                <w:lang w:eastAsia="en-US"/>
              </w:rPr>
              <w:fldChar w:fldCharType="separate"/>
            </w:r>
            <w:r>
              <w:rPr>
                <w:rFonts w:ascii="Yu Mincho" w:eastAsia="Yu Mincho" w:hAnsi="Yu Mincho" w:cs="Yu Mincho"/>
                <w:sz w:val="22"/>
              </w:rPr>
              <w:t>[24]</w:t>
            </w:r>
            <w:r>
              <w:rPr>
                <w:rFonts w:ascii="Yu Mincho" w:eastAsia="Yu Mincho" w:hAnsi="Yu Mincho" w:cs="Yu Mincho"/>
                <w:sz w:val="22"/>
              </w:rPr>
              <w:fldChar w:fldCharType="end"/>
            </w:r>
          </w:p>
        </w:tc>
        <w:tc>
          <w:tcPr>
            <w:tcW w:w="2460" w:type="dxa"/>
          </w:tcPr>
          <w:p w14:paraId="34B4C9C1" w14:textId="77777777" w:rsidR="001D43A3" w:rsidRDefault="001D43A3" w:rsidP="00182A6A">
            <w:pPr>
              <w:widowControl/>
              <w:snapToGrid w:val="0"/>
              <w:spacing w:before="120" w:after="240"/>
              <w:jc w:val="left"/>
              <w:rPr>
                <w:sz w:val="22"/>
              </w:rPr>
            </w:pPr>
            <w:r>
              <w:rPr>
                <w:rFonts w:ascii="Yu Mincho" w:eastAsia="Yu Mincho" w:hAnsi="Yu Mincho" w:cs="Yu Mincho"/>
                <w:sz w:val="22"/>
              </w:rPr>
              <w:t>Anxiety (A) 21-point scale,</w:t>
            </w:r>
          </w:p>
          <w:p w14:paraId="16ACC4F6" w14:textId="77777777" w:rsidR="001D43A3" w:rsidRDefault="001D43A3" w:rsidP="00182A6A">
            <w:pPr>
              <w:widowControl/>
              <w:snapToGrid w:val="0"/>
              <w:spacing w:before="120" w:after="240"/>
              <w:jc w:val="left"/>
              <w:rPr>
                <w:sz w:val="22"/>
              </w:rPr>
            </w:pPr>
            <w:r>
              <w:rPr>
                <w:rFonts w:ascii="Yu Mincho" w:eastAsia="Yu Mincho" w:hAnsi="Yu Mincho" w:cs="Yu Mincho"/>
                <w:sz w:val="22"/>
              </w:rPr>
              <w:t>7 questions</w:t>
            </w:r>
          </w:p>
          <w:p w14:paraId="7D0CCEA8" w14:textId="77777777" w:rsidR="001D43A3" w:rsidRDefault="001D43A3" w:rsidP="00182A6A">
            <w:pPr>
              <w:widowControl/>
              <w:snapToGrid w:val="0"/>
              <w:spacing w:before="120" w:after="240"/>
              <w:jc w:val="left"/>
              <w:rPr>
                <w:sz w:val="22"/>
              </w:rPr>
            </w:pPr>
            <w:r>
              <w:rPr>
                <w:rFonts w:ascii="Yu Mincho" w:eastAsia="Yu Mincho" w:hAnsi="Yu Mincho" w:cs="Yu Mincho"/>
                <w:sz w:val="22"/>
              </w:rPr>
              <w:t>Depression (D) 21-point scale,</w:t>
            </w:r>
          </w:p>
          <w:p w14:paraId="6F60F332" w14:textId="77777777" w:rsidR="001D43A3" w:rsidRDefault="001D43A3" w:rsidP="00182A6A">
            <w:pPr>
              <w:widowControl/>
              <w:snapToGrid w:val="0"/>
              <w:spacing w:before="120" w:after="240"/>
              <w:jc w:val="left"/>
              <w:rPr>
                <w:sz w:val="22"/>
              </w:rPr>
            </w:pPr>
            <w:r>
              <w:rPr>
                <w:rFonts w:ascii="Yu Mincho" w:eastAsia="Yu Mincho" w:hAnsi="Yu Mincho" w:cs="Yu Mincho"/>
                <w:sz w:val="22"/>
              </w:rPr>
              <w:t>7 questions</w:t>
            </w:r>
          </w:p>
        </w:tc>
      </w:tr>
      <w:tr w:rsidR="001D43A3" w14:paraId="4C13E287" w14:textId="77777777" w:rsidTr="005E2A9E">
        <w:trPr>
          <w:cnfStyle w:val="000000100000" w:firstRow="0" w:lastRow="0" w:firstColumn="0" w:lastColumn="0" w:oddVBand="0" w:evenVBand="0" w:oddHBand="1" w:evenHBand="0" w:firstRowFirstColumn="0" w:firstRowLastColumn="0" w:lastRowFirstColumn="0" w:lastRowLastColumn="0"/>
          <w:trHeight w:val="687"/>
        </w:trPr>
        <w:tc>
          <w:tcPr>
            <w:tcW w:w="1374" w:type="dxa"/>
            <w:vMerge/>
          </w:tcPr>
          <w:p w14:paraId="4F4DBE54" w14:textId="77777777" w:rsidR="001D43A3" w:rsidRDefault="001D43A3" w:rsidP="00182A6A"/>
        </w:tc>
        <w:tc>
          <w:tcPr>
            <w:tcW w:w="1934" w:type="dxa"/>
          </w:tcPr>
          <w:p w14:paraId="748B6A37" w14:textId="77777777" w:rsidR="001D43A3" w:rsidRDefault="001D43A3" w:rsidP="00182A6A">
            <w:pPr>
              <w:widowControl/>
              <w:snapToGrid w:val="0"/>
              <w:spacing w:before="120" w:after="240"/>
              <w:jc w:val="left"/>
              <w:rPr>
                <w:sz w:val="22"/>
              </w:rPr>
            </w:pPr>
            <w:r>
              <w:rPr>
                <w:rFonts w:ascii="Yu Mincho" w:eastAsia="Yu Mincho" w:hAnsi="Yu Mincho" w:cs="Yu Mincho"/>
                <w:sz w:val="22"/>
              </w:rPr>
              <w:t>OD</w:t>
            </w:r>
          </w:p>
        </w:tc>
        <w:tc>
          <w:tcPr>
            <w:tcW w:w="4145" w:type="dxa"/>
          </w:tcPr>
          <w:p w14:paraId="2376A7AF" w14:textId="77777777" w:rsidR="001D43A3" w:rsidRDefault="001D43A3" w:rsidP="00182A6A">
            <w:pPr>
              <w:widowControl/>
              <w:snapToGrid w:val="0"/>
              <w:spacing w:before="120" w:after="240"/>
              <w:jc w:val="left"/>
              <w:rPr>
                <w:sz w:val="22"/>
              </w:rPr>
            </w:pPr>
            <w:r>
              <w:rPr>
                <w:rFonts w:ascii="Yu Mincho" w:eastAsia="Yu Mincho" w:hAnsi="Yu Mincho" w:cs="Yu Mincho"/>
                <w:sz w:val="22"/>
              </w:rPr>
              <w:t xml:space="preserve">OD questionnaire </w:t>
            </w:r>
            <w:r>
              <w:rPr>
                <w:rFonts w:eastAsiaTheme="minorHAnsi" w:cs="Times New Roman"/>
                <w:kern w:val="0"/>
                <w:sz w:val="22"/>
                <w:lang w:eastAsia="en-US"/>
              </w:rPr>
              <w:fldChar w:fldCharType="begin" w:fldLock="1"/>
            </w:r>
            <w:r>
              <w:rPr>
                <w:rFonts w:eastAsiaTheme="minorHAnsi" w:cs="Times New Roman"/>
                <w:kern w:val="0"/>
                <w:sz w:val="22"/>
                <w:lang w:eastAsia="en-US"/>
              </w:rPr>
              <w:instrText>ADDIN CSL_CITATION {"citationItems":[{"id":"ITEM-1","itemData":{"DOI":"10.1253/jcj.27.200","ISSN":"0047-1828","abstract":"Orthostatic dysregulation is a common condition that is found mainly in adolescent age. The cardinal symptoms are induced by postural change, and a dysfunction of the autonomic nerve system is considered as underlying condition. Clinical symptoms, specially standing ECG and the effect of several agencies to the ECG in the disease were studied and the possible mechanism was discussed.","author":[{"dropping-particle":"","family":"Okuni","given":"Masahiko","non-dropping-particle":"","parse-names":false,"suffix":""}],"container-title":"Japanese Circulation Journal","id":"ITEM-1","issue":"2","issued":{"date-parts":[["1963"]]},"page":"200-204","publisher":"The Japanese Circulation Society","title":"Orthostatic Dysregulation in Childhood with Special Reference to the Standing Electrocardiogram : Conference on Neurocirculatory Asthenia &amp; Allied Diseases and Orthostatic Hypotensive Diseases.","type":"article-journal","volume":"27"},"uris":["http://www.mendeley.com/documents/?uuid=138443ff-c320-39fa-ab0a-c0a5472a68b1"]},{"id":"ITEM-2","itemData":{"DOI":"10.1111/j.1442-200X.2008.02783.x","ISSN":"13288067","author":[{"dropping-particle":"","family":"Tanaka","given":"Hidetaka","non-dropping-particle":"","parse-names":false,"suffix":""},{"dropping-particle":"","family":"Fujita","given":"Yukihiko","non-dropping-particle":"","parse-names":false,"suffix":""},{"dropping-particle":"","family":"Takenaka","given":"Yoshito","non-dropping-particle":"","parse-names":false,"suffix":""},{"dropping-particle":"","family":"Kajiwara","given":"Souhei","non-dropping-particle":"","parse-names":false,"suffix":""},{"dropping-particle":"","family":"Masutani","given":"Satoshi","non-dropping-particle":"","parse-names":false,"suffix":""},{"dropping-particle":"","family":"Ishizaki","given":"Yuko","non-dropping-particle":"","parse-names":false,"suffix":""},{"dropping-particle":"","family":"Matsushima","given":"Reiko","non-dropping-particle":"","parse-names":false,"suffix":""},{"dropping-particle":"","family":"Shiokawa","given":"Hirosato","non-dropping-particle":"","parse-names":false,"suffix":""},{"dropping-particle":"","family":"Shiota","given":"Madoka","non-dropping-particle":"","parse-names":false,"suffix":""},{"dropping-particle":"","family":"Ishitani","given":"Nobuo","non-dropping-particle":"","parse-names":false,"suffix":""},{"dropping-particle":"","family":"Kajiura","given":"Mitsugu","non-dropping-particle":"","parse-names":false,"suffix":""},{"dropping-particle":"","family":"Honda","given":"Kazuo","non-dropping-particle":"","parse-names":false,"suffix":""}],"container-title":"Pediatrics International","id":"ITEM-2","issue":"1","issued":{"date-parts":[["2009","2","1"]]},"page":"169-179","publisher":"Wiley/Blackwell (10.1111)","title":"Japanese clinical guidelines for juvenile orthostatic dysregulation version 1","type":"article-journal","volume":"51"},"uris":["http://www.mendeley.com/documents/?uuid=ff05dca1-c502-35dd-80e0-9909b77827da"]}],"mendeley":{"formattedCitation":"[26,27]","plainTextFormattedCitation":"[26,27]","previouslyFormattedCitation":"[24,25]"},"properties":{"noteIndex":0},"schema":"https://github.com/citation-style-language/schema/raw/master/csl-citation.json"}</w:instrText>
            </w:r>
            <w:r>
              <w:rPr>
                <w:rFonts w:eastAsiaTheme="minorHAnsi" w:cs="Times New Roman"/>
                <w:kern w:val="0"/>
                <w:sz w:val="22"/>
                <w:lang w:eastAsia="en-US"/>
              </w:rPr>
              <w:fldChar w:fldCharType="separate"/>
            </w:r>
            <w:r>
              <w:rPr>
                <w:rFonts w:ascii="Yu Mincho" w:eastAsia="Yu Mincho" w:hAnsi="Yu Mincho" w:cs="Yu Mincho"/>
                <w:sz w:val="22"/>
              </w:rPr>
              <w:t>[26,27]</w:t>
            </w:r>
            <w:r>
              <w:rPr>
                <w:rFonts w:ascii="Yu Mincho" w:eastAsia="Yu Mincho" w:hAnsi="Yu Mincho" w:cs="Yu Mincho"/>
                <w:sz w:val="22"/>
              </w:rPr>
              <w:fldChar w:fldCharType="end"/>
            </w:r>
          </w:p>
        </w:tc>
        <w:tc>
          <w:tcPr>
            <w:tcW w:w="2460" w:type="dxa"/>
          </w:tcPr>
          <w:p w14:paraId="1A0BA70A" w14:textId="77777777" w:rsidR="001D43A3" w:rsidRDefault="001D43A3" w:rsidP="00182A6A">
            <w:pPr>
              <w:widowControl/>
              <w:snapToGrid w:val="0"/>
              <w:spacing w:before="120" w:after="240"/>
              <w:jc w:val="left"/>
              <w:rPr>
                <w:sz w:val="22"/>
              </w:rPr>
            </w:pPr>
            <w:r>
              <w:rPr>
                <w:rFonts w:ascii="Yu Mincho" w:eastAsia="Yu Mincho" w:hAnsi="Yu Mincho" w:cs="Yu Mincho"/>
                <w:sz w:val="22"/>
              </w:rPr>
              <w:t>11-point scale, 11 questions</w:t>
            </w:r>
          </w:p>
        </w:tc>
      </w:tr>
      <w:tr w:rsidR="001D43A3" w14:paraId="2576908F" w14:textId="77777777" w:rsidTr="005E2A9E">
        <w:trPr>
          <w:trHeight w:val="401"/>
        </w:trPr>
        <w:tc>
          <w:tcPr>
            <w:tcW w:w="1374" w:type="dxa"/>
            <w:vMerge/>
          </w:tcPr>
          <w:p w14:paraId="31E64237" w14:textId="77777777" w:rsidR="001D43A3" w:rsidRDefault="001D43A3" w:rsidP="00182A6A"/>
        </w:tc>
        <w:tc>
          <w:tcPr>
            <w:tcW w:w="1934" w:type="dxa"/>
          </w:tcPr>
          <w:p w14:paraId="69870468" w14:textId="77777777" w:rsidR="001D43A3" w:rsidRDefault="001D43A3" w:rsidP="00182A6A">
            <w:pPr>
              <w:widowControl/>
              <w:snapToGrid w:val="0"/>
              <w:spacing w:before="120" w:after="240"/>
              <w:jc w:val="left"/>
              <w:rPr>
                <w:sz w:val="22"/>
              </w:rPr>
            </w:pPr>
            <w:r>
              <w:rPr>
                <w:rFonts w:ascii="Yu Mincho" w:eastAsia="Yu Mincho" w:hAnsi="Yu Mincho" w:cs="Yu Mincho"/>
                <w:sz w:val="22"/>
              </w:rPr>
              <w:t>Motion sickness</w:t>
            </w:r>
          </w:p>
        </w:tc>
        <w:tc>
          <w:tcPr>
            <w:tcW w:w="4145" w:type="dxa"/>
          </w:tcPr>
          <w:p w14:paraId="7BC0EE1B" w14:textId="77777777" w:rsidR="001D43A3" w:rsidRDefault="001D43A3" w:rsidP="00182A6A">
            <w:pPr>
              <w:widowControl/>
              <w:snapToGrid w:val="0"/>
              <w:spacing w:before="120" w:after="240"/>
              <w:jc w:val="left"/>
              <w:rPr>
                <w:sz w:val="22"/>
              </w:rPr>
            </w:pPr>
            <w:r>
              <w:rPr>
                <w:rFonts w:ascii="Yu Mincho" w:eastAsia="Yu Mincho" w:hAnsi="Yu Mincho" w:cs="Yu Mincho"/>
                <w:sz w:val="22"/>
              </w:rPr>
              <w:t xml:space="preserve">Graybiel’s motion sickness scores </w:t>
            </w:r>
            <w:r>
              <w:rPr>
                <w:rFonts w:eastAsiaTheme="minorHAnsi" w:cs="Times New Roman"/>
                <w:kern w:val="0"/>
                <w:sz w:val="22"/>
                <w:lang w:eastAsia="en-US"/>
              </w:rPr>
              <w:fldChar w:fldCharType="begin" w:fldLock="1"/>
            </w:r>
            <w:r>
              <w:rPr>
                <w:rFonts w:eastAsiaTheme="minorHAnsi" w:cs="Times New Roman"/>
                <w:kern w:val="0"/>
                <w:sz w:val="22"/>
                <w:lang w:eastAsia="en-US"/>
              </w:rPr>
              <w:instrText>ADDIN CSL_CITATION {"citationItems":[{"id":"ITEM-1","itemData":{"ISSN":"0001-9402","PMID":"5648730","author":[{"dropping-particle":"","family":"Graybiel","given":"A","non-dropping-particle":"","parse-names":false,"suffix":""},{"dropping-particle":"","family":"Wood","given":"C D","non-dropping-particle":"","parse-names":false,"suffix":""},{"dropping-particle":"","family":"Miller","given":"E F","non-dropping-particle":"","parse-names":false,"suffix":""},{"dropping-particle":"","family":"Cramer","given":"D B","non-dropping-particle":"","parse-names":false,"suffix":""}],"container-title":"Aerospace medicine","id":"ITEM-1","issue":"5","issued":{"date-parts":[["1968","5"]]},"page":"453-5","title":"Diagnostic criteria for grading the severity of acute motion sickness.","type":"article-journal","volume":"39"},"uris":["http://www.mendeley.com/documents/?uuid=1f199e66-2e3c-3534-97c7-3963e41610ef"]}],"mendeley":{"formattedCitation":"[28]","plainTextFormattedCitation":"[28]","previouslyFormattedCitation":"[26]"},"properties":{"noteIndex":0},"schema":"https://github.com/citation-style-language/schema/raw/master/csl-citation.json"}</w:instrText>
            </w:r>
            <w:r>
              <w:rPr>
                <w:rFonts w:eastAsiaTheme="minorHAnsi" w:cs="Times New Roman"/>
                <w:kern w:val="0"/>
                <w:sz w:val="22"/>
                <w:lang w:eastAsia="en-US"/>
              </w:rPr>
              <w:fldChar w:fldCharType="separate"/>
            </w:r>
            <w:r>
              <w:rPr>
                <w:rFonts w:ascii="Yu Mincho" w:eastAsia="Yu Mincho" w:hAnsi="Yu Mincho" w:cs="Yu Mincho"/>
                <w:sz w:val="22"/>
              </w:rPr>
              <w:t>[28]</w:t>
            </w:r>
            <w:r>
              <w:rPr>
                <w:rFonts w:ascii="Yu Mincho" w:eastAsia="Yu Mincho" w:hAnsi="Yu Mincho" w:cs="Yu Mincho"/>
                <w:sz w:val="22"/>
              </w:rPr>
              <w:fldChar w:fldCharType="end"/>
            </w:r>
          </w:p>
        </w:tc>
        <w:tc>
          <w:tcPr>
            <w:tcW w:w="2460" w:type="dxa"/>
          </w:tcPr>
          <w:p w14:paraId="337B8A54" w14:textId="77777777" w:rsidR="001D43A3" w:rsidRDefault="001D43A3" w:rsidP="00182A6A">
            <w:pPr>
              <w:widowControl/>
              <w:snapToGrid w:val="0"/>
              <w:spacing w:before="120" w:after="240"/>
              <w:jc w:val="left"/>
              <w:rPr>
                <w:sz w:val="22"/>
              </w:rPr>
            </w:pPr>
            <w:r>
              <w:rPr>
                <w:rFonts w:ascii="Yu Mincho" w:eastAsia="Yu Mincho" w:hAnsi="Yu Mincho" w:cs="Yu Mincho"/>
                <w:sz w:val="22"/>
              </w:rPr>
              <w:t>56-point scale, 6 questions</w:t>
            </w:r>
          </w:p>
        </w:tc>
      </w:tr>
      <w:tr w:rsidR="001D43A3" w14:paraId="6AE0017E" w14:textId="77777777" w:rsidTr="005E2A9E">
        <w:trPr>
          <w:cnfStyle w:val="000000100000" w:firstRow="0" w:lastRow="0" w:firstColumn="0" w:lastColumn="0" w:oddVBand="0" w:evenVBand="0" w:oddHBand="1" w:evenHBand="0" w:firstRowFirstColumn="0" w:firstRowLastColumn="0" w:lastRowFirstColumn="0" w:lastRowLastColumn="0"/>
          <w:trHeight w:val="431"/>
        </w:trPr>
        <w:tc>
          <w:tcPr>
            <w:tcW w:w="1374" w:type="dxa"/>
            <w:vMerge/>
          </w:tcPr>
          <w:p w14:paraId="509481D5" w14:textId="77777777" w:rsidR="001D43A3" w:rsidRDefault="001D43A3" w:rsidP="00182A6A"/>
        </w:tc>
        <w:tc>
          <w:tcPr>
            <w:tcW w:w="1934" w:type="dxa"/>
          </w:tcPr>
          <w:p w14:paraId="6C45B7F2" w14:textId="77777777" w:rsidR="001D43A3" w:rsidRDefault="001D43A3" w:rsidP="00182A6A">
            <w:pPr>
              <w:widowControl/>
              <w:snapToGrid w:val="0"/>
              <w:spacing w:before="120" w:after="240"/>
              <w:jc w:val="left"/>
              <w:rPr>
                <w:sz w:val="22"/>
              </w:rPr>
            </w:pPr>
            <w:r>
              <w:rPr>
                <w:rFonts w:ascii="Yu Mincho" w:eastAsia="Yu Mincho" w:hAnsi="Yu Mincho" w:cs="Yu Mincho"/>
                <w:sz w:val="22"/>
              </w:rPr>
              <w:t xml:space="preserve">Sleep quality </w:t>
            </w:r>
          </w:p>
        </w:tc>
        <w:tc>
          <w:tcPr>
            <w:tcW w:w="4145" w:type="dxa"/>
          </w:tcPr>
          <w:p w14:paraId="49AEAA83" w14:textId="77777777" w:rsidR="001D43A3" w:rsidRDefault="001D43A3" w:rsidP="00182A6A">
            <w:pPr>
              <w:widowControl/>
              <w:snapToGrid w:val="0"/>
              <w:spacing w:before="120" w:after="240"/>
              <w:jc w:val="left"/>
              <w:rPr>
                <w:sz w:val="22"/>
              </w:rPr>
            </w:pPr>
            <w:r>
              <w:rPr>
                <w:rFonts w:ascii="Yu Mincho" w:eastAsia="Yu Mincho" w:hAnsi="Yu Mincho" w:cs="Yu Mincho"/>
                <w:sz w:val="22"/>
              </w:rPr>
              <w:t xml:space="preserve">PSQI </w:t>
            </w:r>
            <w:r>
              <w:rPr>
                <w:rFonts w:eastAsiaTheme="minorHAnsi" w:cs="Times New Roman"/>
                <w:kern w:val="0"/>
                <w:sz w:val="22"/>
              </w:rPr>
              <w:fldChar w:fldCharType="begin" w:fldLock="1"/>
            </w:r>
            <w:r>
              <w:rPr>
                <w:rFonts w:eastAsiaTheme="minorHAnsi" w:cs="Times New Roman"/>
                <w:kern w:val="0"/>
                <w:sz w:val="22"/>
              </w:rPr>
              <w:instrText>ADDIN CSL_CITATION {"citationItems":[{"id":"ITEM-1","itemData":{"DOI":"10.1016/0165-1781(89)90047-4","ISSN":"01651781","PMID":"2748771","abstract":"Despite the prevalence of sleep complaints among psychiatric patients, few questionnaires have been specifically designed to measure sleep quality in clinical populations. The Pittsburgh Sleep Quality Index (PSQI) is a self-rated questionnaire which assesses sleep quality and disturbances over a 1-month time interval. Nineteen individual items generate seven \"component\" scores: subjective sleep quality, sleep latency, sleep duration, habitual sleep efficiency, sleep disturbances, use of sleeping medication, and daytime dysfunction. The sum of scores for these seven components yields one global score. Clinical and clinimetric properties of the PSQI were assessed over an 18-month period with \"good\" sleepers (healthy subjects, n = 52) and \"poor\" sleepers (depressed patients, n = 54; sleep-disorder patients, n = 62). Acceptable measures of internal homogeneity, consistency (test-retest reliability), and validity were obtained. A global PSQI score &gt; 5 yielded a diagnostic sensitivity of 89.6% and specificity of 86.5% (kappa = 0.75, p ≤ 0.001) in distinguishing good and poor sleepers. The clinemetric and clinical properties of the PSQI suggest its utility both in psychiatric clinical practice and research activities. © 1989.","author":[{"dropping-particle":"","family":"Buysse","given":"Daniel J.","non-dropping-particle":"","parse-names":false,"suffix":""},{"dropping-particle":"","family":"Reynolds","given":"Charles F.","non-dropping-particle":"","parse-names":false,"suffix":""},{"dropping-particle":"","family":"Monk","given":"Timothy H.","non-dropping-particle":"","parse-names":false,"suffix":""},{"dropping-particle":"","family":"Berman","given":"Susan R.","non-dropping-particle":"","parse-names":false,"suffix":""},{"dropping-particle":"","family":"Kupfer","given":"David J.","non-dropping-particle":"","parse-names":false,"suffix":""}],"container-title":"Psychiatry Research","id":"ITEM-1","issue":"2","issued":{"date-parts":[["1989","5","1"]]},"page":"193-213","publisher":"Elsevier","title":"The Pittsburgh sleep quality index: A new instrument for psychiatric practice and research","type":"article-journal","volume":"28"},"uris":["http://www.mendeley.com/documents/?uuid=9f166e7b-f626-3f6a-9860-7cc1c780ba69"]},{"id":"ITEM-2","itemData":{"DOI":"10.1016/S0165-1781(00)00232-8","ISSN":"01651781","PMID":"11166088","abstract":"Subjective sleep quality has been identified as an important clinical construct in psychiatric disordered patients. The Pittsburgh Sleep Quality Index (PSQI), one of the most widely used standardized measures to assess subjective sleep quality, generates a global score and scores seven components. The present study psychometrically assessed clinical profiles of subjective sleep quality in 82 control and 92 psychiatric disordered subjects (primary insomnia, n = 14; major depression, n = 30; generalized anxiety disorder, n = 24; and schizophrenia, n = 24), using the Japanese version of the Pittsburgh Sleep Quality Index (PSQI-J). The overall reliability coefficient of the PSQI-J was high (Cronbach's alpha = 0.77). Correlation coefficients between the PSQI-J global and component scores were statistically significant. The PSQI-J global and component mean scores were significantly higher in psychiatric disordered subjects than control subjects, except for the component of sleep duration. Using a cut-off point of 5.5 in the PSQI-J global score, estimations of sensitivity and specificity provided 85.7 and 86.6% for primary insomnia, 80.0 and 86.6% for major depression, 83.3 and 86.6% for generalized anxiety disorder, and 83.3 and 86.6% for schizophrenia, respectively. The present study supports the utility of the PSQI-J as a reliable and valid measure for subjective sleep quality in clinical practice and research. © 2000 Elsevier Science Ireland Ltd.","author":[{"dropping-particle":"","family":"Doi","given":"Yuriko","non-dropping-particle":"","parse-names":false,"suffix":""},{"dropping-particle":"","family":"Minowa","given":"Masumi","non-dropping-particle":"","parse-names":false,"suffix":""},{"dropping-particle":"","family":"Uchiyama","given":"Makoto","non-dropping-particle":"","parse-names":false,"suffix":""},{"dropping-particle":"","family":"Okawa","given":"Masako","non-dropping-particle":"","parse-names":false,"suffix":""},{"dropping-particle":"","family":"Kim","given":"Keiko","non-dropping-particle":"","parse-names":false,"suffix":""},{"dropping-particle":"","family":"Shibui","given":"Kayo","non-dropping-particle":"","parse-names":false,"suffix":""},{"dropping-particle":"","family":"Kamei","given":"Yuichi","non-dropping-particle":"","parse-names":false,"suffix":""}],"container-title":"Psychiatry Research","id":"ITEM-2","issue":"2-3","issued":{"date-parts":[["2000","12","27"]]},"page":"165-172","publisher":"Psychiatry Res","title":"Psychometric assessment of subjective sleep quality using the Japanese version of the Pittsburgh Sleep Quality Index (PSQI-J) in psychiatric disordered and control subjects","type":"article-journal","volume":"97"},"uris":["http://www.mendeley.com/documents/?uuid=c7e97f84-087f-3bac-90f8-5e964f5e8957"]}],"mendeley":{"formattedCitation":"[29,30]","plainTextFormattedCitation":"[29,30]","previouslyFormattedCitation":"[27,28]"},"properties":{"noteIndex":0},"schema":"https://github.com/citation-style-language/schema/raw/master/csl-citation.json"}</w:instrText>
            </w:r>
            <w:r>
              <w:rPr>
                <w:rFonts w:eastAsiaTheme="minorHAnsi" w:cs="Times New Roman"/>
                <w:kern w:val="0"/>
                <w:sz w:val="22"/>
              </w:rPr>
              <w:fldChar w:fldCharType="separate"/>
            </w:r>
            <w:r>
              <w:rPr>
                <w:rFonts w:ascii="Yu Mincho" w:eastAsia="Yu Mincho" w:hAnsi="Yu Mincho" w:cs="Yu Mincho"/>
                <w:sz w:val="22"/>
              </w:rPr>
              <w:t>[29,30]</w:t>
            </w:r>
            <w:r>
              <w:rPr>
                <w:rFonts w:ascii="Yu Mincho" w:eastAsia="Yu Mincho" w:hAnsi="Yu Mincho" w:cs="Yu Mincho"/>
                <w:sz w:val="22"/>
              </w:rPr>
              <w:fldChar w:fldCharType="end"/>
            </w:r>
          </w:p>
        </w:tc>
        <w:tc>
          <w:tcPr>
            <w:tcW w:w="2460" w:type="dxa"/>
          </w:tcPr>
          <w:p w14:paraId="4CD03722" w14:textId="77777777" w:rsidR="001D43A3" w:rsidRDefault="001D43A3" w:rsidP="00182A6A">
            <w:pPr>
              <w:widowControl/>
              <w:snapToGrid w:val="0"/>
              <w:spacing w:before="120" w:after="240"/>
              <w:jc w:val="left"/>
              <w:rPr>
                <w:sz w:val="22"/>
              </w:rPr>
            </w:pPr>
            <w:r>
              <w:rPr>
                <w:rFonts w:ascii="Yu Mincho" w:eastAsia="Yu Mincho" w:hAnsi="Yu Mincho" w:cs="Yu Mincho"/>
                <w:sz w:val="22"/>
              </w:rPr>
              <w:t>21-point scale, 18 questions</w:t>
            </w:r>
          </w:p>
        </w:tc>
      </w:tr>
      <w:tr w:rsidR="001D43A3" w14:paraId="6A779C64" w14:textId="77777777" w:rsidTr="005E2A9E">
        <w:trPr>
          <w:trHeight w:val="477"/>
        </w:trPr>
        <w:tc>
          <w:tcPr>
            <w:tcW w:w="1374" w:type="dxa"/>
            <w:vMerge w:val="restart"/>
          </w:tcPr>
          <w:p w14:paraId="2EA63F6D" w14:textId="77777777" w:rsidR="001D43A3" w:rsidRDefault="001D43A3" w:rsidP="00182A6A">
            <w:pPr>
              <w:widowControl/>
              <w:spacing w:before="120" w:after="240"/>
              <w:ind w:left="113" w:right="113"/>
              <w:jc w:val="center"/>
              <w:rPr>
                <w:b/>
                <w:sz w:val="22"/>
              </w:rPr>
            </w:pPr>
            <w:r>
              <w:rPr>
                <w:rFonts w:ascii="Yu Mincho" w:eastAsia="Yu Mincho" w:hAnsi="Yu Mincho" w:cs="Yu Mincho"/>
                <w:b/>
                <w:sz w:val="22"/>
              </w:rPr>
              <w:t>Tests</w:t>
            </w:r>
          </w:p>
        </w:tc>
        <w:tc>
          <w:tcPr>
            <w:tcW w:w="1934" w:type="dxa"/>
          </w:tcPr>
          <w:p w14:paraId="3ADC0DCB" w14:textId="77777777" w:rsidR="001D43A3" w:rsidRDefault="001D43A3" w:rsidP="00182A6A">
            <w:pPr>
              <w:widowControl/>
              <w:snapToGrid w:val="0"/>
              <w:spacing w:before="120" w:after="240"/>
              <w:jc w:val="left"/>
              <w:rPr>
                <w:sz w:val="22"/>
              </w:rPr>
            </w:pPr>
            <w:r>
              <w:rPr>
                <w:rFonts w:ascii="Yu Mincho" w:eastAsia="Yu Mincho" w:hAnsi="Yu Mincho" w:cs="Yu Mincho"/>
                <w:sz w:val="22"/>
              </w:rPr>
              <w:t>Static postural stability</w:t>
            </w:r>
          </w:p>
        </w:tc>
        <w:tc>
          <w:tcPr>
            <w:tcW w:w="4145" w:type="dxa"/>
          </w:tcPr>
          <w:p w14:paraId="2709EC61" w14:textId="77777777" w:rsidR="001D43A3" w:rsidRDefault="001D43A3" w:rsidP="00182A6A">
            <w:pPr>
              <w:widowControl/>
              <w:snapToGrid w:val="0"/>
              <w:spacing w:before="120" w:after="240"/>
              <w:jc w:val="left"/>
              <w:rPr>
                <w:sz w:val="22"/>
              </w:rPr>
            </w:pPr>
            <w:r>
              <w:rPr>
                <w:rFonts w:ascii="Yu Mincho" w:eastAsia="Yu Mincho" w:hAnsi="Yu Mincho" w:cs="Yu Mincho"/>
                <w:sz w:val="22"/>
              </w:rPr>
              <w:t xml:space="preserve">Foam Stabilometry </w:t>
            </w:r>
          </w:p>
          <w:p w14:paraId="42BE1197" w14:textId="77777777" w:rsidR="001D43A3" w:rsidRDefault="001D43A3" w:rsidP="00182A6A">
            <w:pPr>
              <w:widowControl/>
              <w:tabs>
                <w:tab w:val="left" w:pos="1240"/>
              </w:tabs>
              <w:snapToGrid w:val="0"/>
              <w:spacing w:before="120" w:after="240"/>
              <w:jc w:val="left"/>
              <w:rPr>
                <w:b/>
                <w:sz w:val="22"/>
              </w:rPr>
            </w:pPr>
            <w:r>
              <w:rPr>
                <w:rFonts w:ascii="Yu Mincho" w:eastAsia="Yu Mincho" w:hAnsi="Yu Mincho" w:cs="Yu Mincho"/>
              </w:rPr>
              <w:t xml:space="preserve">The values of six parameters; the velocity of movement of the center of pressure (COP)(VCF) and envelopment area tracing by the movement of the COP in eyes closed/foam rubber (ACF) to assess vestibular weighting, the Romberg's ratios of velocity and area with foam rubber (velocity; VRF, area; ARF) to assess visual weighting, and the foam ratios (ratios of a measured parameter with to without the foam rubber) of velocity and area in eyes closed (velocity; VFCF and area; AFCF) to assess somatosensory weighting </w:t>
            </w:r>
            <w:r>
              <w:rPr>
                <w:rFonts w:eastAsiaTheme="minorHAnsi"/>
              </w:rPr>
              <w:fldChar w:fldCharType="begin" w:fldLock="1"/>
            </w:r>
            <w:r>
              <w:rPr>
                <w:rFonts w:eastAsiaTheme="minorHAnsi"/>
              </w:rPr>
              <w:instrText>ADDIN CSL_CITATION {"citationItems":[{"id":"ITEM-1","itemData":{"DOI":"10.1016/j.clinph.2009.05.002","ISSN":"13882457","PMID":"19520601","abstract":"Objectives: Simple tests to detect peripheral vestibulopathy might be practically useful before conducting elaborate examinations. The purpose of this study was to assess the diagnostic accuracy of foam posturography for peripheral vestibulopathy, with emphasis on visual and somatosensory dependence. Methods: Two-legged stance tasks were conducted in patients with unilateral (n = 68) and bilateral (n = 16) vestibulopathy and healthy controls (n = 66), under four conditions; eyes open with and without the foam rubber, and eyes closed with and without the foam rubber. Results: The values of six parameters; the velocity of movement of the center of pressure (COP) and envelopment area tracing by the movement of the COP in eyes closed/foam rubber, the Romberg's ratios of velocity and area with foam rubber, and the foam ratios (ratios of a measured parameter with to without the foam rubber), of velocity and area in eyes closed, were significantly higher in unilateral and bilateral vestibulopathy compared with the control (p &lt; 0.001). The area under the receiver operating characteristic curve for the Romberg's ratio of velocity with the foam rubber was the largest. Conclusions: Foam posturography detected high levels of visual and somatosensory dependence in patients with vestibulopathy. Significance: Foam posturography is useful for preliminary assessment of possible peripheral vestibulopathy. © 2009 International Federation of Clinical Neurophysiology.","author":[{"dropping-particle":"","family":"Fujimoto","given":"Chisato","non-dropping-particle":"","parse-names":false,"suffix":""},{"dropping-particle":"","family":"Murofushi","given":"Toshihisa","non-dropping-particle":"","parse-names":false,"suffix":""},{"dropping-particle":"","family":"Chihara","given":"Yasuhiro","non-dropping-particle":"","parse-names":false,"suffix":""},{"dropping-particle":"","family":"Ushio","given":"Munetaka","non-dropping-particle":"","parse-names":false,"suffix":""},{"dropping-particle":"","family":"Sugasawa","given":"Keiko","non-dropping-particle":"","parse-names":false,"suffix":""},{"dropping-particle":"","family":"Yamaguchi","given":"Takuhiro","non-dropping-particle":"","parse-names":false,"suffix":""},{"dropping-particle":"","family":"Yamasoba","given":"Tatsuya","non-dropping-particle":"","parse-names":false,"suffix":""},{"dropping-particle":"","family":"Iwasaki","given":"Shinichi","non-dropping-particle":"","parse-names":false,"suffix":""}],"container-title":"Clinical Neurophysiology","id":"ITEM-1","issue":"7","issued":{"date-parts":[["2009","7"]]},"page":"1408-1414","publisher":"Clin Neurophysiol","title":"Assessment of diagnostic accuracy of foam posturography for peripheral vestibular disorders: Analysis of parameters related to visual and somatosensory dependence","type":"article-journal","volume":"120"},"uris":["http://www.mendeley.com/documents/?uuid=7cedb0b7-f698-3f8c-bbbb-8c4e12a96fbf"]}],"mendeley":{"formattedCitation":"[32]","plainTextFormattedCitation":"[32]","previouslyFormattedCitation":"[30]"},"properties":{"noteIndex":0},"schema":"https://github.com/citation-style-language/schema/raw/master/csl-citation.json"}</w:instrText>
            </w:r>
            <w:r>
              <w:rPr>
                <w:rFonts w:eastAsiaTheme="minorHAnsi"/>
              </w:rPr>
              <w:fldChar w:fldCharType="separate"/>
            </w:r>
            <w:r>
              <w:rPr>
                <w:rFonts w:ascii="Yu Mincho" w:eastAsia="Yu Mincho" w:hAnsi="Yu Mincho" w:cs="Yu Mincho"/>
              </w:rPr>
              <w:t>[32]</w:t>
            </w:r>
            <w:r>
              <w:rPr>
                <w:rFonts w:ascii="Yu Mincho" w:eastAsia="Yu Mincho" w:hAnsi="Yu Mincho" w:cs="Yu Mincho"/>
              </w:rPr>
              <w:fldChar w:fldCharType="end"/>
            </w:r>
            <w:r>
              <w:rPr>
                <w:rFonts w:ascii="Yu Mincho" w:eastAsia="Yu Mincho" w:hAnsi="Yu Mincho" w:cs="Yu Mincho"/>
              </w:rPr>
              <w:t>.</w:t>
            </w:r>
          </w:p>
        </w:tc>
        <w:tc>
          <w:tcPr>
            <w:tcW w:w="2460" w:type="dxa"/>
          </w:tcPr>
          <w:p w14:paraId="10B5AB38" w14:textId="77777777" w:rsidR="001D43A3" w:rsidRDefault="001D43A3" w:rsidP="00182A6A">
            <w:pPr>
              <w:widowControl/>
              <w:snapToGrid w:val="0"/>
              <w:spacing w:before="120" w:after="240"/>
              <w:jc w:val="left"/>
              <w:rPr>
                <w:sz w:val="22"/>
              </w:rPr>
            </w:pPr>
            <w:r>
              <w:rPr>
                <w:rFonts w:ascii="Yu Mincho" w:eastAsia="Yu Mincho" w:hAnsi="Yu Mincho" w:cs="Yu Mincho"/>
                <w:sz w:val="22"/>
              </w:rPr>
              <w:t>VCF</w:t>
            </w:r>
          </w:p>
          <w:p w14:paraId="24764342" w14:textId="77777777" w:rsidR="001D43A3" w:rsidRDefault="001D43A3" w:rsidP="00182A6A">
            <w:pPr>
              <w:widowControl/>
              <w:snapToGrid w:val="0"/>
              <w:spacing w:before="120" w:after="240"/>
              <w:jc w:val="left"/>
              <w:rPr>
                <w:sz w:val="22"/>
              </w:rPr>
            </w:pPr>
            <w:r>
              <w:rPr>
                <w:rFonts w:ascii="Yu Mincho" w:eastAsia="Yu Mincho" w:hAnsi="Yu Mincho" w:cs="Yu Mincho"/>
                <w:sz w:val="22"/>
              </w:rPr>
              <w:t>ACF</w:t>
            </w:r>
          </w:p>
          <w:p w14:paraId="67FF127E" w14:textId="77777777" w:rsidR="001D43A3" w:rsidRDefault="001D43A3" w:rsidP="00182A6A">
            <w:pPr>
              <w:widowControl/>
              <w:snapToGrid w:val="0"/>
              <w:spacing w:before="120" w:after="240"/>
              <w:jc w:val="left"/>
              <w:rPr>
                <w:sz w:val="22"/>
              </w:rPr>
            </w:pPr>
            <w:r>
              <w:rPr>
                <w:rFonts w:ascii="Yu Mincho" w:eastAsia="Yu Mincho" w:hAnsi="Yu Mincho" w:cs="Yu Mincho"/>
                <w:sz w:val="22"/>
              </w:rPr>
              <w:t>VRF</w:t>
            </w:r>
          </w:p>
          <w:p w14:paraId="3F754B9B" w14:textId="77777777" w:rsidR="001D43A3" w:rsidRDefault="001D43A3" w:rsidP="00182A6A">
            <w:pPr>
              <w:widowControl/>
              <w:snapToGrid w:val="0"/>
              <w:spacing w:before="120" w:after="240"/>
              <w:jc w:val="left"/>
              <w:rPr>
                <w:sz w:val="22"/>
              </w:rPr>
            </w:pPr>
            <w:r>
              <w:rPr>
                <w:rFonts w:ascii="Yu Mincho" w:eastAsia="Yu Mincho" w:hAnsi="Yu Mincho" w:cs="Yu Mincho"/>
                <w:sz w:val="22"/>
              </w:rPr>
              <w:t>ARF</w:t>
            </w:r>
          </w:p>
          <w:p w14:paraId="11E25F5D" w14:textId="77777777" w:rsidR="001D43A3" w:rsidRDefault="001D43A3" w:rsidP="00182A6A">
            <w:pPr>
              <w:widowControl/>
              <w:snapToGrid w:val="0"/>
              <w:spacing w:before="120" w:after="240"/>
              <w:jc w:val="left"/>
              <w:rPr>
                <w:sz w:val="22"/>
              </w:rPr>
            </w:pPr>
            <w:r>
              <w:rPr>
                <w:rFonts w:ascii="Yu Mincho" w:eastAsia="Yu Mincho" w:hAnsi="Yu Mincho" w:cs="Yu Mincho"/>
                <w:sz w:val="22"/>
              </w:rPr>
              <w:t>VFCF</w:t>
            </w:r>
          </w:p>
          <w:p w14:paraId="34713566" w14:textId="77777777" w:rsidR="001D43A3" w:rsidRDefault="001D43A3" w:rsidP="00182A6A">
            <w:pPr>
              <w:widowControl/>
              <w:snapToGrid w:val="0"/>
              <w:spacing w:before="120" w:after="240"/>
              <w:jc w:val="left"/>
              <w:rPr>
                <w:sz w:val="22"/>
              </w:rPr>
            </w:pPr>
            <w:r>
              <w:rPr>
                <w:rFonts w:ascii="Yu Mincho" w:eastAsia="Yu Mincho" w:hAnsi="Yu Mincho" w:cs="Yu Mincho"/>
                <w:sz w:val="22"/>
              </w:rPr>
              <w:t>AFCF</w:t>
            </w:r>
          </w:p>
          <w:p w14:paraId="761A4FE3" w14:textId="77777777" w:rsidR="001D43A3" w:rsidRDefault="001D43A3" w:rsidP="00182A6A">
            <w:pPr>
              <w:widowControl/>
              <w:snapToGrid w:val="0"/>
              <w:spacing w:before="120" w:after="240"/>
              <w:ind w:left="110" w:hanging="110"/>
              <w:jc w:val="left"/>
              <w:rPr>
                <w:sz w:val="22"/>
              </w:rPr>
            </w:pPr>
            <w:r>
              <w:rPr>
                <w:rFonts w:ascii="Yu Mincho" w:eastAsia="Yu Mincho" w:hAnsi="Yu Mincho" w:cs="Yu Mincho"/>
                <w:sz w:val="22"/>
              </w:rPr>
              <w:t>Large VCF, ACF and small VRF, ARF, VFCF, AFCF indicated poor static balance</w:t>
            </w:r>
          </w:p>
        </w:tc>
      </w:tr>
      <w:tr w:rsidR="001D43A3" w14:paraId="00BAE395" w14:textId="77777777" w:rsidTr="005E2A9E">
        <w:trPr>
          <w:cnfStyle w:val="000000100000" w:firstRow="0" w:lastRow="0" w:firstColumn="0" w:lastColumn="0" w:oddVBand="0" w:evenVBand="0" w:oddHBand="1" w:evenHBand="0" w:firstRowFirstColumn="0" w:firstRowLastColumn="0" w:lastRowFirstColumn="0" w:lastRowLastColumn="0"/>
          <w:trHeight w:val="477"/>
        </w:trPr>
        <w:tc>
          <w:tcPr>
            <w:tcW w:w="1374" w:type="dxa"/>
            <w:vMerge/>
          </w:tcPr>
          <w:p w14:paraId="09B79BF2" w14:textId="77777777" w:rsidR="001D43A3" w:rsidRDefault="001D43A3" w:rsidP="00182A6A"/>
        </w:tc>
        <w:tc>
          <w:tcPr>
            <w:tcW w:w="1934" w:type="dxa"/>
          </w:tcPr>
          <w:p w14:paraId="63E650CE" w14:textId="77777777" w:rsidR="001D43A3" w:rsidRDefault="001D43A3" w:rsidP="00182A6A">
            <w:pPr>
              <w:widowControl/>
              <w:snapToGrid w:val="0"/>
              <w:spacing w:before="120" w:after="240"/>
              <w:jc w:val="left"/>
              <w:rPr>
                <w:sz w:val="22"/>
              </w:rPr>
            </w:pPr>
            <w:r>
              <w:rPr>
                <w:rFonts w:ascii="Yu Mincho" w:eastAsia="Yu Mincho" w:hAnsi="Yu Mincho" w:cs="Yu Mincho"/>
                <w:sz w:val="22"/>
              </w:rPr>
              <w:t>Dynamic postural stability</w:t>
            </w:r>
          </w:p>
          <w:p w14:paraId="15B6CA07" w14:textId="77777777" w:rsidR="001D43A3" w:rsidRDefault="001D43A3" w:rsidP="00182A6A">
            <w:pPr>
              <w:widowControl/>
              <w:snapToGrid w:val="0"/>
              <w:spacing w:before="120" w:after="240"/>
              <w:jc w:val="left"/>
              <w:rPr>
                <w:sz w:val="22"/>
              </w:rPr>
            </w:pPr>
            <w:r>
              <w:rPr>
                <w:rFonts w:ascii="Yu Mincho" w:eastAsia="Yu Mincho" w:hAnsi="Yu Mincho" w:cs="Yu Mincho"/>
                <w:sz w:val="22"/>
              </w:rPr>
              <w:t>(Foulage test; stepping test)</w:t>
            </w:r>
          </w:p>
        </w:tc>
        <w:tc>
          <w:tcPr>
            <w:tcW w:w="4145" w:type="dxa"/>
          </w:tcPr>
          <w:p w14:paraId="20712432" w14:textId="77777777" w:rsidR="001D43A3" w:rsidRDefault="001D43A3" w:rsidP="00182A6A">
            <w:pPr>
              <w:widowControl/>
              <w:snapToGrid w:val="0"/>
              <w:spacing w:before="120" w:after="240"/>
              <w:jc w:val="left"/>
              <w:rPr>
                <w:rFonts w:ascii="Yu Mincho" w:eastAsia="Yu Mincho" w:hAnsi="Yu Mincho" w:cs="Yu Mincho"/>
              </w:rPr>
            </w:pPr>
            <w:r>
              <w:rPr>
                <w:rFonts w:ascii="Yu Mincho" w:eastAsia="Yu Mincho" w:hAnsi="Yu Mincho" w:cs="Yu Mincho"/>
              </w:rPr>
              <w:t xml:space="preserve">Foulage test </w:t>
            </w:r>
            <w:r>
              <w:fldChar w:fldCharType="begin" w:fldLock="1"/>
            </w:r>
            <w:r>
              <w:instrText>ADDIN CSL_CITATION {"citationItems":[{"id":"ITEM-1","itemData":{"DOI":"10.3757/jser.75.22","ISSN":"0385-5716","abstract":"Foulage test is a unique stepping test, in which the patient lifts up only his/her heels alternately, at 120 BPM, 60 seconds with the eyes open and 60 seconds with the eyes closed, on a stabilometer. The environed area (A) and total length (L) were measured and the FT value, a new dynamic equilibrium parameter, 120 A/L, was calculated. We tried to plot the contact points of the heels to image the equilibrium disorder. We analyzed the variance of these plots to compare the findings between the open-eye and closed-eye condition in 39 Romberg-positive patients. The standard deviation in the closed-eye condition was higher as compared with that in the open-eye condition. The variance was strongly related to the FT value.","author":[{"dropping-particle":"","family":"Yasuda","given":"Tomohisa","non-dropping-particle":"","parse-names":false,"suffix":""},{"dropping-particle":"","family":"Etoh","given":"Norihito","non-dropping-particle":"","parse-names":false,"suffix":""},{"dropping-particle":"","family":"Araki","given":"Yasutomo","non-dropping-particle":"","parse-names":false,"suffix":""},{"dropping-particle":"","family":"Souma","given":"Keiko","non-dropping-particle":"","parse-names":false,"suffix":""},{"dropping-particle":"","family":"Kunihiro","given":"Takanobu","non-dropping-particle":"","parse-names":false,"suffix":""}],"container-title":"Equilibrium Research","id":"ITEM-1","issue":"1","issued":{"date-parts":[["2016","2","1"]]},"page":"22-26","publisher":"Japan Society for Equilibrium Research","title":"The New Method of Plotting Steps in Foulage Test","type":"article-journal","volume":"75"},"uris":["http://www.mendeley.com/documents/?uuid=4a2143a4-4a8f-3735-ab37-c7fb4b216a97"]},{"id":"ITEM-2","itemData":{"DOI":"10.3757/jser.71.61","ISSN":"0385-5716","abstract":"This report is a preparatory study for a new dynamic equilibrium examination, the \"Foulage test\". Subjects step on the center of a stabilometer, keeping both toes constantly in contact with the plate, and lifting up only the heels alternately. Subjects had to accurately keep up a tempo of 120 beats per minute (BPM 120) as set by an electric metronome. The examination time was 60 seconds, 120 steps, with eyes open and closed. Sixteen healthy volunteers (8 men, 8 women, 24 to 55 years old, mean 36 years old) were tested with their eyes in the open and closed condition, changing the height of heels, from lower than 1 cm to almost 12 cm. 12 subjects were tested 5 times, 3 subjects were tested 6 times and also one volunteer, a 45-year-old healthy man, performed the test 16 times to get fine data. As the heels rose up, the locus was enlarged side to side and bent at the center like an inverted 'V' shape (Λ). The locus length was enlarged as the heels were raised higher, believed to reflect the activity of the subject. On the other hand the width of the locus band, front to back, was almost the same under conditions of stepping stably. However, if the subject swayed, this distance might increase. The total locus length (L) and the environed area (A) were investigated. The long length of the locus \"Λ\" shaped band was nearly the distance of one step. The subjects were stepping 120 times, therefore the mean distance of one step was almost L/120, and was nearly the length of the long axis of the locus band. The locus band was like a long square bent at the center, so the width, front to back, could be approximately presumed as A/(L/120) = 120 A/L.. Under stable stepping conditions, 400 cm&lt;L&lt;1400 cm, the width (120 A/L) reached a plateau even when the height of the heels was changed. This could be a new parameter for the body sway, named FT. Ninety-four data sets were sampled by all 16 volunteers. Under stable condition (400&lt; L&lt; 1400), the FT value plateaued. The mean of 70 data sets with open-eye-FT was 2.92 cm (SD 0.42), and the mean of 72 data sets with closed-eye-FT was 3.87 cm (SD 0.57). FT increased significantly with the eyes closed (p&lt;0.01 paired t-test), and the dynamic Romberg's rate was 1.37 in normal healthy subjects under stable conditions. Under the condition of 1400&lt;L, the heels were too much high, some subjects began to sway and the FT value increased. In conclusion, L (also L/120) reflects the height of stepping heels and it can be a parameter of a…","author":[{"dropping-particle":"","family":"Yasuda","given":"Tomohisa","non-dropping-particle":"","parse-names":false,"suffix":""},{"dropping-particle":"","family":"Etoh","given":"Norihito","non-dropping-particle":"","parse-names":false,"suffix":""},{"dropping-particle":"","family":"Araki","given":"Yasutomo","non-dropping-particle":"","parse-names":false,"suffix":""},{"dropping-particle":"","family":"Yamada","given":"Junko","non-dropping-particle":"","parse-names":false,"suffix":""},{"dropping-particle":"","family":"Ide","given":"Rika","non-dropping-particle":"","parse-names":false,"suffix":""},{"dropping-particle":"","family":"Ohkawara","given":"Takahumi","non-dropping-particle":"","parse-names":false,"suffix":""},{"dropping-particle":"","family":"Kunihiro","given":"Takanobu","non-dropping-particle":"","parse-names":false,"suffix":""}],"container-title":"Equilibrium Research","id":"ITEM-2","issue":"2","issued":{"date-parts":[["2012"]]},"page":"61-70","publisher":"Japan Society for Equilibrium Research","title":"A Dynamic Equilibrium Examination on Stabilometry (Foulage test)","type":"article-journal","volume":"71"},"uris":["http://www.mendeley.com/documents/?uuid=23d1f891-fec9-3ca7-a692-681f10a800f3"]},{"id":"ITEM-3","itemData":{"DOI":"10.3757/jser.72.163","ISSN":"0385-5716","abstract":"We designed a new dynamic equilibrium examination on a stabilometer, involving lifting up of only the heels alternately, two steps per second, over a total of 120 steps, guided by an electric metronome operating at 120 BPM (beats per minute), with the eyes open and closed. The total locus length (L) and the environed area (A) were measured. This unique stepping test was named the \"Foulage test\" and we suggested demonstrated in two previous studies that FT (= 120 A/L) is useful for quantitative measurement of the body sway. To ascertain the usefulness of FT as a useful dynamic equilibrium parameter, we examined 20 patients of Meniere's disease and one with delayed hydrops, and compared the FT at the first examination carried out at the onset of a severe vertigo attack with that at the last examination, improved to normal condition. The FT decreased significantly in the 'eyes closed' condition (p&lt;0.01 Wilcoxon's test). With the eyes open, it did not improve entirely, but in 11 patients with nystagmus, it decreased significantly (p&lt;0.05). The dynamic Romberg rate (closed-eye FT/open-eye FT) also decreased (p&lt;0.01). After a severe vertigo attack, three conceptual periods are suggested based on a combination of the FT values obtained with the eyes open or closed. During the first period, the open-eye FT is abnormally high, therefore, the dynamic Romberg rate should not is not? be unexpectedly high even if the closed-eye FT is higher. It seemed to be paradoxical as a severe labyrinthine disorder. [?] During the subsequent 2nd period, the open-eye FT improves to normal, while the closed-eye FT still remains high, so that the dynamic Romberg rate is high. The closed-eye-FT decreases progressively each day and this period is maintained for about one month. During the final 3rd period, both the FT values are normal and the dynamic Romberg rate is low. This study suggested that the Foulage test can be useful for quantitative determination of the body sway in patients of Meniere's disease and delayed hydrops quantitatively and is also useful to follow up the course after a vertigo attack.","author":[{"dropping-particle":"","family":"Yasuda","given":"Tomohisa","non-dropping-particle":"","parse-names":false,"suffix":""},{"dropping-particle":"","family":"Etoh","given":"Norihito","non-dropping-particle":"","parse-names":false,"suffix":""},{"dropping-particle":"","family":"Araki","given":"Yasutomo","non-dropping-particle":"","parse-names":false,"suffix":""},{"dropping-particle":"","family":"Kunihiro","given":"Takanobu","non-dropping-particle":"","parse-names":false,"suffix":""}],"container-title":"Equilibrium Research","id":"ITEM-3","issue":"3","issued":{"date-parts":[["2013"]]},"page":"163-170","publisher":"</w:instrText>
            </w:r>
            <w:r>
              <w:rPr>
                <w:rFonts w:ascii="MS Mincho" w:eastAsia="MS Mincho" w:hAnsi="MS Mincho" w:cs="MS Mincho" w:hint="eastAsia"/>
              </w:rPr>
              <w:instrText>一般社団法人</w:instrText>
            </w:r>
            <w:r>
              <w:instrText xml:space="preserve"> </w:instrText>
            </w:r>
            <w:r>
              <w:rPr>
                <w:rFonts w:ascii="MS Mincho" w:eastAsia="MS Mincho" w:hAnsi="MS Mincho" w:cs="MS Mincho" w:hint="eastAsia"/>
              </w:rPr>
              <w:instrText>日本めまい平衡医学会</w:instrText>
            </w:r>
            <w:r>
              <w:instrText>","title":"Clinical course of a severe vertigo attack in patients with Meniere's disease or delayed hydrops investigated by a new dynamic equilibrium examination (Foulage test)","type":"article-journal","volume":"72"},"uris":["http://www.mendeley.com/documents/?uuid=c6afd84c-4ec1-398b-a9a4-4c3f07cc79de"]},{"id":"ITEM-4","itemData":{"DOI":"10.3757/jser.79.80","ISSN":"0385-5716","abstract":"We collected data from the Foulage test performed using the six-axis motion sensor, an ac-celerometric device, in 6 healthy adults (all men aged 27.32±5.89). The Foulage test was performed with the six-axis motion sensor in placed on the lumbar spine of the subjects, and the data were analyzed and correlations examined. The root mean square (RMS), auto-correlation coefficient (AC) and Euler horn were calculated from the data provided by the six-axis motion sensor. The FT value and value were calculated from Foulage test. There were significant correlations between the AC x-axis of the linear/angular acceleration and the FT value. There were also significant correlations between the Euler horn y-axis and value. Our results suggested that the \"x-axis at the lumbar spine level\" affected the Foulage stepping. This acceler-ometric device is easy to use and requires no specialized equipment and can be used to perform the Foulage test in clinical practice.","author":[{"dropping-particle":"","family":"Miwa","given":"Toru","non-dropping-particle":"","parse-names":false,"suffix":""},{"dropping-particle":"","family":"Yasuda","given":"Tomohisa","non-dropping-particle":"","parse-names":false,"suffix":""}],"container-title":"Equilibrium Research","id":"ITEM-4","issue":"2","issued":{"date-parts":[["2020","4","30"]]},"number-of-pages":"80-87","publisher":"Japan Society of Equilibrium Research","title":"Dynamic Equilibrium Examination Utilizing a Six-axis Sensor during the Foulage Test","type":"report","volume":"79"},"uris":["http://www.mendeley.com/documents/?uuid=690d002b-722e-3c61-a903-84c2b314f016"]}],"mendeley":{"formattedCitation":"[33–36]","plainTextFormattedCitation":"[33–36]","previouslyFormattedCitation":"[31–34]"},"properties":{"noteIndex":0},"schema":"https://github.com/citation-style-language/schema/raw/master/csl-citation.json"}</w:instrText>
            </w:r>
            <w:r>
              <w:fldChar w:fldCharType="separate"/>
            </w:r>
            <w:r>
              <w:rPr>
                <w:rFonts w:ascii="Yu Mincho" w:eastAsia="Yu Mincho" w:hAnsi="Yu Mincho" w:cs="Yu Mincho"/>
              </w:rPr>
              <w:t>[33–36]</w:t>
            </w:r>
            <w:r>
              <w:rPr>
                <w:rFonts w:ascii="Yu Mincho" w:eastAsia="Yu Mincho" w:hAnsi="Yu Mincho" w:cs="Yu Mincho"/>
              </w:rPr>
              <w:fldChar w:fldCharType="end"/>
            </w:r>
          </w:p>
          <w:p w14:paraId="2F8647BD" w14:textId="77777777" w:rsidR="001D43A3" w:rsidRDefault="001D43A3" w:rsidP="00182A6A">
            <w:pPr>
              <w:widowControl/>
              <w:snapToGrid w:val="0"/>
              <w:spacing w:before="120" w:after="240"/>
              <w:jc w:val="left"/>
              <w:rPr>
                <w:sz w:val="22"/>
              </w:rPr>
            </w:pPr>
            <w:r>
              <w:rPr>
                <w:rFonts w:ascii="Yu Mincho" w:eastAsia="Yu Mincho" w:hAnsi="Yu Mincho" w:cs="Yu Mincho"/>
              </w:rPr>
              <w:t xml:space="preserve">Stepping test: regulated that 120bpm tempo, upright standing with both arms set on the body-side, foot closed, toes keep touching on the plate constantly, so object can change only height of heels to rise up alternatively. </w:t>
            </w:r>
          </w:p>
        </w:tc>
        <w:tc>
          <w:tcPr>
            <w:tcW w:w="2460" w:type="dxa"/>
          </w:tcPr>
          <w:p w14:paraId="4D7AF2A1" w14:textId="77777777" w:rsidR="001D43A3" w:rsidRDefault="001D43A3" w:rsidP="00182A6A">
            <w:pPr>
              <w:widowControl/>
              <w:snapToGrid w:val="0"/>
              <w:spacing w:before="120" w:after="240"/>
              <w:jc w:val="left"/>
              <w:rPr>
                <w:sz w:val="22"/>
              </w:rPr>
            </w:pPr>
            <w:r>
              <w:rPr>
                <w:rFonts w:ascii="Yu Mincho" w:eastAsia="Yu Mincho" w:hAnsi="Yu Mincho" w:cs="Yu Mincho"/>
              </w:rPr>
              <w:t xml:space="preserve">FT value (area of front-back width of the locus) with open and close </w:t>
            </w:r>
            <w:r>
              <w:fldChar w:fldCharType="begin" w:fldLock="1"/>
            </w:r>
            <w:r>
              <w:instrText>ADDIN CSL_CITATION {"citationItems":[{"id":"ITEM-1","itemData":{"DOI":"10.3757/jser.75.22","ISSN":"0385-5716","abstract":"Foulage test is a unique stepping test, in which the patient lifts up only his/her heels alternately, at 120 BPM, 60 seconds with the eyes open and 60 seconds with the eyes closed, on a stabilometer. The environed area (A) and total length (L) were measured and the FT value, a new dynamic equilibrium parameter, 120 A/L, was calculated. We tried to plot the contact points of the heels to image the equilibrium disorder. We analyzed the variance of these plots to compare the findings between the open-eye and closed-eye condition in 39 Romberg-positive patients. The standard deviation in the closed-eye condition was higher as compared with that in the open-eye condition. The variance was strongly related to the FT value.","author":[{"dropping-particle":"","family":"Yasuda","given":"Tomohisa","non-dropping-particle":"","parse-names":false,"suffix":""},{"dropping-particle":"","family":"Etoh","given":"Norihito","non-dropping-particle":"","parse-names":false,"suffix":""},{"dropping-particle":"","family":"Araki","given":"Yasutomo","non-dropping-particle":"","parse-names":false,"suffix":""},{"dropping-particle":"","family":"Souma","given":"Keiko","non-dropping-particle":"","parse-names":false,"suffix":""},{"dropping-particle":"","family":"Kunihiro","given":"Takanobu","non-dropping-particle":"","parse-names":false,"suffix":""}],"container-title":"Equilibrium Research","id":"ITEM-1","issue":"1","issued":{"date-parts":[["2016","2","1"]]},"page":"22-26","publisher":"Japan Society for Equilibrium Research","title":"The New Method of Plotting Steps in Foulage Test","type":"article-journal","volume":"75"},"uris":["http://www.mendeley.com/documents/?uuid=4a2143a4-4a8f-3735-ab37-c7fb4b216a97"]},{"id":"ITEM-2","itemData":{"DOI":"10.3757/jser.71.61","ISSN":"0385-5716","abstract":"This report is a preparatory study for a new dynamic equilibrium examination, the \"Foulage test\". Subjects step on the center of a stabilometer, keeping both toes constantly in contact with the plate, and lifting up only the heels alternately. Subjects had to accurately keep up a tempo of 120 beats per minute (BPM 120) as set by an electric metronome. The examination time was 60 seconds, 120 steps, with eyes open and closed. Sixteen healthy volunteers (8 men, 8 women, 24 to 55 years old, mean 36 years old) were tested with their eyes in the open and closed condition, changing the height of heels, from lower than 1 cm to almost 12 cm. 12 subjects were tested 5 times, 3 subjects were tested 6 times and also one volunteer, a 45-year-old healthy man, performed the test 16 times to get fine data. As the heels rose up, the locus was enlarged side to side and bent at the center like an inverted 'V' shape (Λ). The locus length was enlarged as the heels were raised higher, believed to reflect the activity of the subject. On the other hand the width of the locus band, front to back, was almost the same under conditions of stepping stably. However, if the subject swayed, this distance might increase. The total locus length (L) and the environed area (A) were investigated. The long length of the locus \"Λ\" shaped band was nearly the distance of one step. The subjects were stepping 120 times, therefore the mean distance of one step was almost L/120, and was nearly the length of the long axis of the locus band. The locus band was like a long square bent at the center, so the width, front to back, could be approximately presumed as A/(L/120) = 120 A/L.. Under stable stepping conditions, 400 cm&lt;L&lt;1400 cm, the width (120 A/L) reached a plateau even when the height of the heels was changed. This could be a new parameter for the body sway, named FT. Ninety-four data sets were sampled by all 16 volunteers. Under stable condition (400&lt; L&lt; 1400), the FT value plateaued. The mean of 70 data sets with open-eye-FT was 2.92 cm (SD 0.42), and the mean of 72 data sets with closed-eye-FT was 3.87 cm (SD 0.57). FT increased significantly with the eyes closed (p&lt;0.01 paired t-test), and the dynamic Romberg's rate was 1.37 in normal healthy subjects under stable conditions. Under the condition of 1400&lt;L, the heels were too much high, some subjects began to sway and the FT value increased. In conclusion, L (also L/120) reflects the height of stepping heels and it can be a parameter of a…","author":[{"dropping-particle":"","family":"Yasuda","given":"Tomohisa","non-dropping-particle":"","parse-names":false,"suffix":""},{"dropping-particle":"","family":"Etoh","given":"Norihito","non-dropping-particle":"","parse-names":false,"suffix":""},{"dropping-particle":"","family":"Araki","given":"Yasutomo","non-dropping-particle":"","parse-names":false,"suffix":""},{"dropping-particle":"","family":"Yamada","given":"Junko","non-dropping-particle":"","parse-names":false,"suffix":""},{"dropping-particle":"","family":"Ide","given":"Rika","non-dropping-particle":"","parse-names":false,"suffix":""},{"dropping-particle":"","family":"Ohkawara","given":"Takahumi","non-dropping-particle":"","parse-names":false,"suffix":""},{"dropping-particle":"","family":"Kunihiro","given":"Takanobu","non-dropping-particle":"","parse-names":false,"suffix":""}],"container-title":"Equilibrium Research","id":"ITEM-2","issue":"2","issued":{"date-parts":[["2012"]]},"page":"61-70","publisher":"Japan Society for Equilibrium Research","title":"A Dynamic Equilibrium Examination on Stabilometry (Foulage test)","type":"article-journal","volume":"71"},"uris":["http://www.mendeley.com/documents/?uuid=23d1f891-fec9-3ca7-a692-681f10a800f3"]},{"id":"ITEM-3","itemData":{"DOI":"10.3757/jser.72.163","ISSN":"0385-5716","abstract":"We designed a new dynamic equilibrium examination on a stabilometer, involving lifting up of only the heels alternately, two steps per second, over a total of 120 steps, guided by an electric metronome operating at 120 BPM (beats per minute), with the eyes open and closed. The total locus length (L) and the environed area (A) were measured. This unique stepping test was named the \"Foulage test\" and we suggested demonstrated in two previous studies that FT (= 120 A/L) is useful for quantitative measurement of the body sway. To ascertain the usefulness of FT as a useful dynamic equilibrium parameter, we examined 20 patients of Meniere's disease and one with delayed hydrops, and compared the FT at the first examination carried out at the onset of a severe vertigo attack with that at the last examination, improved to normal condition. The FT decreased significantly in the 'eyes closed' condition (p&lt;0.01 Wilcoxon's test). With the eyes open, it did not improve entirely, but in 11 patients with nystagmus, it decreased significantly (p&lt;0.05). The dynamic Romberg rate (closed-eye FT/open-eye FT) also decreased (p&lt;0.01). After a severe vertigo attack, three conceptual periods are suggested based on a combination of the FT values obtained with the eyes open or closed. During the first period, the open-eye FT is abnormally high, therefore, the dynamic Romberg rate should not is not? be unexpectedly high even if the closed-eye FT is higher. It seemed to be paradoxical as a severe labyrinthine disorder. [?] During the subsequent 2nd period, the open-eye FT improves to normal, while the closed-eye FT still remains high, so that the dynamic Romberg rate is high. The closed-eye-FT decreases progressively each day and this period is maintained for about one month. During the final 3rd period, both the FT values are normal and the dynamic Romberg rate is low. This study suggested that the Foulage test can be useful for quantitative determination of the body sway in patients of Meniere's disease and delayed hydrops quantitatively and is also useful to follow up the course after a vertigo attack.","author":[{"dropping-particle":"","family":"Yasuda","given":"Tomohisa","non-dropping-particle":"","parse-names":false,"suffix":""},{"dropping-particle":"","family":"Etoh","given":"Norihito","non-dropping-particle":"","parse-names":false,"suffix":""},{"dropping-particle":"","family":"Araki","given":"Yasutomo","non-dropping-particle":"","parse-names":false,"suffix":""},{"dropping-particle":"","family":"Kunihiro","given":"Takanobu","non-dropping-particle":"","parse-names":false,"suffix":""}],"container-title":"Equilibrium Research","id":"ITEM-3","issue":"3","issued":{"date-parts":[["2013"]]},"page":"163-170","publisher":"</w:instrText>
            </w:r>
            <w:r>
              <w:rPr>
                <w:rFonts w:ascii="MS Mincho" w:eastAsia="MS Mincho" w:hAnsi="MS Mincho" w:cs="MS Mincho" w:hint="eastAsia"/>
              </w:rPr>
              <w:instrText>一般社団法人</w:instrText>
            </w:r>
            <w:r>
              <w:instrText xml:space="preserve"> </w:instrText>
            </w:r>
            <w:r>
              <w:rPr>
                <w:rFonts w:ascii="MS Mincho" w:eastAsia="MS Mincho" w:hAnsi="MS Mincho" w:cs="MS Mincho" w:hint="eastAsia"/>
              </w:rPr>
              <w:instrText>日本めまい平衡医学会</w:instrText>
            </w:r>
            <w:r>
              <w:instrText>","title":"Clinical course of a severe vertigo attack in patients with Meniere's disease or delayed hydrops investigated by a new dynamic equilibrium examination (Foulage test)","type":"article-journal","volume":"72"},"uris":["http://www.mendeley.com/documents/?uuid=c6afd84c-4ec1-398b-a9a4-4c3f07cc79de"]}],"mendeley":{"formattedCitation":"[33,34,36]","plainTextFormattedCitation":"[33,34,36]","previouslyFormattedCitation":"[31,32,34]"},"properties":{"noteIndex":0},"schema":"https://github.com/citation-style-language/schema/raw/master/csl-citation.json"}</w:instrText>
            </w:r>
            <w:r>
              <w:fldChar w:fldCharType="separate"/>
            </w:r>
            <w:r>
              <w:rPr>
                <w:rFonts w:ascii="Yu Mincho" w:eastAsia="Yu Mincho" w:hAnsi="Yu Mincho" w:cs="Yu Mincho"/>
              </w:rPr>
              <w:t>[33,34,36]</w:t>
            </w:r>
            <w:r>
              <w:rPr>
                <w:rFonts w:ascii="Yu Mincho" w:eastAsia="Yu Mincho" w:hAnsi="Yu Mincho" w:cs="Yu Mincho"/>
              </w:rPr>
              <w:fldChar w:fldCharType="end"/>
            </w:r>
            <w:r>
              <w:rPr>
                <w:rFonts w:ascii="Yu Mincho" w:eastAsia="Yu Mincho" w:hAnsi="Yu Mincho" w:cs="Yu Mincho"/>
              </w:rPr>
              <w:t xml:space="preserve">.  </w:t>
            </w:r>
          </w:p>
        </w:tc>
      </w:tr>
    </w:tbl>
    <w:p w14:paraId="1CB97D7C" w14:textId="77777777" w:rsidR="001D43A3" w:rsidRDefault="001D43A3" w:rsidP="001D43A3">
      <w:pPr>
        <w:widowControl/>
        <w:spacing w:before="120" w:after="240"/>
        <w:jc w:val="left"/>
      </w:pPr>
      <w:r>
        <w:rPr>
          <w:rFonts w:ascii="Yu Mincho" w:eastAsia="Yu Mincho" w:hAnsi="Yu Mincho" w:cs="Yu Mincho"/>
          <w:sz w:val="24"/>
        </w:rPr>
        <w:t>Abbreviations: DHI: Dizziness Handicap Inventory; HADS: Hospital Anxiety and Depression Scale; OD: orthostatic dysregulation; PSQI: Pittsburgh sleep quality index ; FT value: Foulage test value.</w:t>
      </w:r>
    </w:p>
    <w:p w14:paraId="255AEBED" w14:textId="77777777" w:rsidR="001D43A3" w:rsidRDefault="001D43A3"/>
    <w:sectPr w:rsidR="001D43A3">
      <w:pgSz w:w="11906" w:h="16838"/>
      <w:pgMar w:top="1985" w:right="1701" w:bottom="1701" w:left="170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Author" w:date="2021-04-12T01:44:00Z" w:initials="A">
    <w:p w14:paraId="130FB3ED" w14:textId="77777777" w:rsidR="001D43A3" w:rsidRDefault="001D43A3" w:rsidP="001D43A3">
      <w:pPr>
        <w:pStyle w:val="CommentText"/>
      </w:pPr>
      <w:r>
        <w:rPr>
          <w:rStyle w:val="CommentReference"/>
        </w:rPr>
        <w:annotationRef/>
      </w:r>
      <w:r>
        <w:t>It would be appropriate to include how many items were allocated to each domain.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30FB3E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1E2491" w16cex:dateUtc="2021-04-11T17: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30FB3ED" w16cid:durableId="241E249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5C6EB9" w14:textId="77777777" w:rsidR="0072209F" w:rsidRDefault="0072209F" w:rsidP="00EA360D">
      <w:r>
        <w:separator/>
      </w:r>
    </w:p>
  </w:endnote>
  <w:endnote w:type="continuationSeparator" w:id="0">
    <w:p w14:paraId="43A5CBB2" w14:textId="77777777" w:rsidR="0072209F" w:rsidRDefault="0072209F" w:rsidP="00EA36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Yu Mincho">
    <w:altName w:val="Yu Gothic UI"/>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FDCADC" w14:textId="77777777" w:rsidR="0072209F" w:rsidRDefault="0072209F" w:rsidP="00EA360D">
      <w:r>
        <w:separator/>
      </w:r>
    </w:p>
  </w:footnote>
  <w:footnote w:type="continuationSeparator" w:id="0">
    <w:p w14:paraId="2DB06C36" w14:textId="77777777" w:rsidR="0072209F" w:rsidRDefault="0072209F" w:rsidP="00EA360D">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bordersDoNotSurroundHeader/>
  <w:bordersDoNotSurroundFooter/>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3A3"/>
    <w:rsid w:val="001D43A3"/>
    <w:rsid w:val="005E2A9E"/>
    <w:rsid w:val="006E33BC"/>
    <w:rsid w:val="0072209F"/>
    <w:rsid w:val="00734EBC"/>
    <w:rsid w:val="00EA36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D590F92"/>
  <w15:chartTrackingRefBased/>
  <w15:docId w15:val="{B24454F9-7662-4439-8D69-7AE70592A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43A3"/>
    <w:pPr>
      <w:widowControl w:val="0"/>
      <w:spacing w:after="0" w:line="240" w:lineRule="auto"/>
      <w:jc w:val="both"/>
    </w:pPr>
    <w:rPr>
      <w:kern w:val="2"/>
      <w:sz w:val="21"/>
      <w:lang w:val=""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sid w:val="001D43A3"/>
    <w:rPr>
      <w:sz w:val="18"/>
    </w:rPr>
  </w:style>
  <w:style w:type="paragraph" w:styleId="CommentText">
    <w:name w:val="annotation text"/>
    <w:basedOn w:val="Normal"/>
    <w:link w:val="CommentTextChar"/>
    <w:rsid w:val="001D43A3"/>
    <w:pPr>
      <w:jc w:val="left"/>
    </w:pPr>
    <w:rPr>
      <w:rFonts w:ascii="Calibri" w:eastAsia="Calibri" w:hAnsi="Calibri" w:cs="Calibri"/>
      <w:sz w:val="20"/>
    </w:rPr>
  </w:style>
  <w:style w:type="character" w:customStyle="1" w:styleId="CommentTextChar">
    <w:name w:val="Comment Text Char"/>
    <w:basedOn w:val="DefaultParagraphFont"/>
    <w:link w:val="CommentText"/>
    <w:rsid w:val="001D43A3"/>
    <w:rPr>
      <w:rFonts w:ascii="Calibri" w:eastAsia="Calibri" w:hAnsi="Calibri" w:cs="Calibri"/>
      <w:kern w:val="2"/>
      <w:sz w:val="20"/>
      <w:lang w:val="" w:eastAsia="ja-JP"/>
    </w:rPr>
  </w:style>
  <w:style w:type="table" w:styleId="PlainTable5">
    <w:name w:val="Plain Table 5"/>
    <w:basedOn w:val="TableNormal"/>
    <w:uiPriority w:val="45"/>
    <w:rsid w:val="00734EBC"/>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734EB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5E2A9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EA360D"/>
    <w:pPr>
      <w:tabs>
        <w:tab w:val="center" w:pos="4252"/>
        <w:tab w:val="right" w:pos="8504"/>
      </w:tabs>
      <w:snapToGrid w:val="0"/>
    </w:pPr>
  </w:style>
  <w:style w:type="character" w:customStyle="1" w:styleId="HeaderChar">
    <w:name w:val="Header Char"/>
    <w:basedOn w:val="DefaultParagraphFont"/>
    <w:link w:val="Header"/>
    <w:uiPriority w:val="99"/>
    <w:rsid w:val="00EA360D"/>
    <w:rPr>
      <w:kern w:val="2"/>
      <w:sz w:val="21"/>
      <w:lang w:val="" w:eastAsia="ja-JP"/>
    </w:rPr>
  </w:style>
  <w:style w:type="paragraph" w:styleId="Footer">
    <w:name w:val="footer"/>
    <w:basedOn w:val="Normal"/>
    <w:link w:val="FooterChar"/>
    <w:uiPriority w:val="99"/>
    <w:unhideWhenUsed/>
    <w:rsid w:val="00EA360D"/>
    <w:pPr>
      <w:tabs>
        <w:tab w:val="center" w:pos="4252"/>
        <w:tab w:val="right" w:pos="8504"/>
      </w:tabs>
      <w:snapToGrid w:val="0"/>
    </w:pPr>
  </w:style>
  <w:style w:type="character" w:customStyle="1" w:styleId="FooterChar">
    <w:name w:val="Footer Char"/>
    <w:basedOn w:val="DefaultParagraphFont"/>
    <w:link w:val="Footer"/>
    <w:uiPriority w:val="99"/>
    <w:rsid w:val="00EA360D"/>
    <w:rPr>
      <w:kern w:val="2"/>
      <w:sz w:val="21"/>
      <w:lang w:val="" w:eastAsia="ja-JP"/>
    </w:rPr>
  </w:style>
  <w:style w:type="paragraph" w:styleId="BalloonText">
    <w:name w:val="Balloon Text"/>
    <w:basedOn w:val="Normal"/>
    <w:link w:val="BalloonTextChar"/>
    <w:uiPriority w:val="99"/>
    <w:semiHidden/>
    <w:unhideWhenUsed/>
    <w:rsid w:val="006E33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3BC"/>
    <w:rPr>
      <w:rFonts w:ascii="Segoe UI" w:hAnsi="Segoe UI" w:cs="Segoe UI"/>
      <w:kern w:val="2"/>
      <w:sz w:val="18"/>
      <w:szCs w:val="18"/>
      <w:lang w:val=""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1/relationships/commentsExtended" Target="commentsExtended.xml"/><Relationship Id="rId12"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microsoft.com/office/2016/09/relationships/commentsIds" Target="commentsId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5721</Words>
  <Characters>32612</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Amol Betale</cp:lastModifiedBy>
  <cp:revision>2</cp:revision>
  <dcterms:created xsi:type="dcterms:W3CDTF">2021-08-18T06:54:00Z</dcterms:created>
  <dcterms:modified xsi:type="dcterms:W3CDTF">2021-08-18T06:54:00Z</dcterms:modified>
</cp:coreProperties>
</file>