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544560" cy="3037205"/>
            <wp:effectExtent l="0" t="0" r="5080" b="10795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4456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Supplemental Figure 1.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(A) Workflow of the second-tier test strategy in the management of MMA/PA. (B) Left mass spectrum peaks from top to bottom presented MMA, MCA and HCY, respectively. </w:t>
      </w: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br w:type="page"/>
      </w:r>
    </w:p>
    <w:p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5420" cy="4380865"/>
            <wp:effectExtent l="0" t="0" r="7620" b="8255"/>
            <wp:docPr id="3" name="图片 3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38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Supplemental Figure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(A) Box plot analysis for data discrete degree with three parameters including MMA, MCA and HCY before/after experimental improvement. (B) Mann-Whitemy U test analysis for second-tier test.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C56B73"/>
    <w:rsid w:val="27E47CC5"/>
    <w:rsid w:val="322F5B19"/>
    <w:rsid w:val="3481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2021-06-16T02:59:07Z</dcterms:created>
  <dc:creator>小呆呆</dc:creator>
  <cp:lastModifiedBy>小呆呆</cp:lastModifiedBy>
  <dcterms:modified xsi:type="dcterms:W3CDTF">2021-06-16T03:08:19Z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1E810DA7A29C4BB08AED471127931623</vt:lpwstr>
  </property>
</Properties>
</file>