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D3C12" w14:textId="77777777" w:rsidR="007B3AC9" w:rsidRPr="000F036D" w:rsidRDefault="007B3AC9" w:rsidP="007263D3">
      <w:pPr>
        <w:jc w:val="center"/>
        <w:rPr>
          <w:rFonts w:ascii="Times New Roman" w:hAnsi="Times New Roman" w:cs="Times New Roman"/>
          <w:sz w:val="32"/>
          <w:szCs w:val="32"/>
        </w:rPr>
      </w:pPr>
      <w:r w:rsidRPr="000F036D">
        <w:rPr>
          <w:rFonts w:ascii="Times New Roman" w:hAnsi="Times New Roman" w:cs="Times New Roman"/>
          <w:noProof/>
          <w:sz w:val="32"/>
          <w:szCs w:val="32"/>
          <w:lang w:eastAsia="ja-JP"/>
        </w:rPr>
        <w:drawing>
          <wp:inline distT="0" distB="0" distL="0" distR="0" wp14:anchorId="3057F294" wp14:editId="75F50FA2">
            <wp:extent cx="5268685" cy="7257283"/>
            <wp:effectExtent l="0" t="0" r="825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636" cy="7313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FD678" w14:textId="0FA76FDA" w:rsidR="006A58B4" w:rsidRPr="007F3C44" w:rsidRDefault="007B3AC9" w:rsidP="007B3AC9">
      <w:pPr>
        <w:jc w:val="both"/>
        <w:rPr>
          <w:rFonts w:ascii="Times New Roman" w:hAnsi="Times New Roman" w:cs="Times New Roman"/>
          <w:sz w:val="24"/>
          <w:szCs w:val="24"/>
        </w:rPr>
      </w:pPr>
      <w:r w:rsidRPr="007F3C44">
        <w:rPr>
          <w:rFonts w:ascii="Times New Roman" w:hAnsi="Times New Roman" w:cs="Times New Roman"/>
          <w:sz w:val="24"/>
          <w:szCs w:val="24"/>
        </w:rPr>
        <w:t>Figure S1. The foreshock occurrence rates as a function of rake for various criteria of including (left) and deleting (right) possible triggered events following the 2011 Tohoku-</w:t>
      </w:r>
      <w:proofErr w:type="spellStart"/>
      <w:r w:rsidRPr="007F3C44">
        <w:rPr>
          <w:rFonts w:ascii="Times New Roman" w:hAnsi="Times New Roman" w:cs="Times New Roman"/>
          <w:sz w:val="24"/>
          <w:szCs w:val="24"/>
        </w:rPr>
        <w:t>oki</w:t>
      </w:r>
      <w:proofErr w:type="spellEnd"/>
      <w:r w:rsidRPr="007F3C44">
        <w:rPr>
          <w:rFonts w:ascii="Times New Roman" w:hAnsi="Times New Roman" w:cs="Times New Roman"/>
          <w:sz w:val="24"/>
          <w:szCs w:val="24"/>
        </w:rPr>
        <w:t xml:space="preserve"> earthquake. The colored lines show different time windows used for the definition of foreshocks. The blue dash line is the criteria used in our study.</w:t>
      </w:r>
    </w:p>
    <w:sectPr w:rsidR="006A58B4" w:rsidRPr="007F3C44" w:rsidSect="006E24F0"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3F3"/>
    <w:rsid w:val="006A58B4"/>
    <w:rsid w:val="006E24F0"/>
    <w:rsid w:val="007263D3"/>
    <w:rsid w:val="007263F3"/>
    <w:rsid w:val="007B3AC9"/>
    <w:rsid w:val="007F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BFCA1"/>
  <w15:chartTrackingRefBased/>
  <w15:docId w15:val="{F0C4A857-CBA1-48B1-87E7-239BBDC43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AC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B3A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2021-08-11T02:32:00Z</dcterms:created>
  <dcterms:modified xsi:type="dcterms:W3CDTF">2021-08-11T07:52:00Z</dcterms:modified>
</cp:coreProperties>
</file>