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E2EF36">
      <w:pPr>
        <w:pStyle w:val="2"/>
        <w:rPr>
          <w:rFonts w:hint="default" w:ascii="Times New Roman" w:hAnsi="Times New Roman" w:cs="Times New Roman"/>
          <w:b/>
          <w:bCs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Supplemental Table 1. PCR primers for sequencing mutation sites in various genes of the IHH signaling pathway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0"/>
        <w:gridCol w:w="2962"/>
        <w:gridCol w:w="1476"/>
        <w:gridCol w:w="5209"/>
      </w:tblGrid>
      <w:tr w14:paraId="47AE1D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0" w:type="auto"/>
            <w:tcBorders>
              <w:top w:val="single" w:color="000000" w:sz="12" w:space="0"/>
              <w:bottom w:val="single" w:color="000000" w:sz="4" w:space="0"/>
              <w:tl2br w:val="nil"/>
            </w:tcBorders>
            <w:shd w:val="clear" w:color="auto" w:fill="FFFFFF"/>
          </w:tcPr>
          <w:p w14:paraId="0D2CDC73">
            <w:pPr>
              <w:spacing w:before="120" w:after="240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Primer name</w:t>
            </w:r>
          </w:p>
        </w:tc>
        <w:tc>
          <w:tcPr>
            <w:tcW w:w="0" w:type="auto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</w:tcPr>
          <w:p w14:paraId="4DF918FC">
            <w:pPr>
              <w:spacing w:before="120" w:after="240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Primer sequence (5’-3’)</w:t>
            </w:r>
          </w:p>
        </w:tc>
        <w:tc>
          <w:tcPr>
            <w:tcW w:w="0" w:type="auto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</w:tcPr>
          <w:p w14:paraId="23843B85">
            <w:pPr>
              <w:spacing w:before="120" w:after="240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PCR product size</w:t>
            </w:r>
          </w:p>
        </w:tc>
        <w:tc>
          <w:tcPr>
            <w:tcW w:w="0" w:type="auto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</w:tcPr>
          <w:p w14:paraId="4EF1BEBF">
            <w:pPr>
              <w:spacing w:before="120" w:after="240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Purpose</w:t>
            </w:r>
          </w:p>
        </w:tc>
      </w:tr>
      <w:tr w14:paraId="4A56B0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0" w:type="auto"/>
            <w:tcBorders>
              <w:top w:val="single" w:color="000000" w:sz="4" w:space="0"/>
            </w:tcBorders>
            <w:shd w:val="clear" w:color="auto" w:fill="FFFFFF"/>
          </w:tcPr>
          <w:p w14:paraId="2700DF4A">
            <w:pPr>
              <w:widowControl/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IHH-1144-F</w:t>
            </w:r>
          </w:p>
        </w:tc>
        <w:tc>
          <w:tcPr>
            <w:tcW w:w="0" w:type="auto"/>
            <w:tcBorders>
              <w:top w:val="single" w:color="000000" w:sz="4" w:space="0"/>
            </w:tcBorders>
            <w:shd w:val="clear" w:color="auto" w:fill="FFFFFF"/>
          </w:tcPr>
          <w:p w14:paraId="6F51A7DB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CAGCTGTCTCTACACACGTG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</w:tcBorders>
            <w:shd w:val="clear" w:color="auto" w:fill="FFFFFF"/>
            <w:vAlign w:val="center"/>
          </w:tcPr>
          <w:p w14:paraId="0E2522F9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443</w:t>
            </w: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bp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</w:tcBorders>
            <w:shd w:val="clear" w:color="auto" w:fill="FFFFFF"/>
            <w:vAlign w:val="center"/>
          </w:tcPr>
          <w:p w14:paraId="43CF3087">
            <w:pPr>
              <w:spacing w:before="120" w:after="24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PCR-Sanger sequencing of p.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H382Y </w:t>
            </w: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variant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of IHH</w:t>
            </w:r>
          </w:p>
        </w:tc>
      </w:tr>
      <w:tr w14:paraId="5AB379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tcBorders>
              <w:bottom w:val="nil"/>
            </w:tcBorders>
            <w:shd w:val="clear" w:color="auto" w:fill="FFFFFF"/>
          </w:tcPr>
          <w:p w14:paraId="76E6BABA">
            <w:pPr>
              <w:widowControl/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IHH-1144-R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FFFFF"/>
          </w:tcPr>
          <w:p w14:paraId="7851CB43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GTGTTGCCCAGTCAAGTCTC</w:t>
            </w:r>
          </w:p>
        </w:tc>
        <w:tc>
          <w:tcPr>
            <w:tcW w:w="0" w:type="auto"/>
            <w:vMerge w:val="continue"/>
            <w:tcBorders>
              <w:bottom w:val="nil"/>
            </w:tcBorders>
            <w:shd w:val="clear" w:color="auto" w:fill="FFFFFF"/>
            <w:vAlign w:val="center"/>
          </w:tcPr>
          <w:p w14:paraId="4FB0359F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bottom w:val="nil"/>
            </w:tcBorders>
            <w:shd w:val="clear" w:color="auto" w:fill="FFFFFF"/>
            <w:vAlign w:val="center"/>
          </w:tcPr>
          <w:p w14:paraId="32E9CC3F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</w:tr>
      <w:tr w14:paraId="4424F1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tcBorders>
              <w:top w:val="nil"/>
            </w:tcBorders>
            <w:shd w:val="clear" w:color="auto" w:fill="FFFFFF"/>
          </w:tcPr>
          <w:p w14:paraId="46D2C940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SMO-1643-1798-F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</w:tcPr>
          <w:p w14:paraId="6CEE0ABD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GAGATCAAGAATCGCCCGAG</w:t>
            </w:r>
          </w:p>
        </w:tc>
        <w:tc>
          <w:tcPr>
            <w:tcW w:w="0" w:type="auto"/>
            <w:vMerge w:val="restart"/>
            <w:tcBorders>
              <w:top w:val="nil"/>
            </w:tcBorders>
            <w:shd w:val="clear" w:color="auto" w:fill="FFFFFF"/>
            <w:vAlign w:val="center"/>
          </w:tcPr>
          <w:p w14:paraId="30C48263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842</w:t>
            </w: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bp</w:t>
            </w:r>
          </w:p>
        </w:tc>
        <w:tc>
          <w:tcPr>
            <w:tcW w:w="0" w:type="auto"/>
            <w:vMerge w:val="restart"/>
            <w:tcBorders>
              <w:top w:val="nil"/>
            </w:tcBorders>
            <w:shd w:val="clear" w:color="auto" w:fill="FFFFFF"/>
            <w:vAlign w:val="center"/>
          </w:tcPr>
          <w:p w14:paraId="6E2C21F6">
            <w:pPr>
              <w:spacing w:before="120" w:after="240"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PCR-Sanger sequencing of p.V600M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and </w:t>
            </w: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p.T548I variant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of SMO</w:t>
            </w:r>
          </w:p>
        </w:tc>
      </w:tr>
      <w:tr w14:paraId="4ECC7E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tcBorders>
              <w:bottom w:val="nil"/>
            </w:tcBorders>
            <w:shd w:val="clear" w:color="auto" w:fill="FFFFFF"/>
          </w:tcPr>
          <w:p w14:paraId="52084F71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SMO-1643-1798-R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FFFFF"/>
          </w:tcPr>
          <w:p w14:paraId="37677BD0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GAATGGGTGTGTGAGCGATG</w:t>
            </w:r>
          </w:p>
        </w:tc>
        <w:tc>
          <w:tcPr>
            <w:tcW w:w="0" w:type="auto"/>
            <w:vMerge w:val="continue"/>
            <w:tcBorders>
              <w:bottom w:val="nil"/>
            </w:tcBorders>
            <w:shd w:val="clear" w:color="auto" w:fill="FFFFFF"/>
            <w:vAlign w:val="center"/>
          </w:tcPr>
          <w:p w14:paraId="2378BC50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bottom w:val="nil"/>
            </w:tcBorders>
            <w:shd w:val="clear" w:color="auto" w:fill="FFFFFF"/>
            <w:vAlign w:val="center"/>
          </w:tcPr>
          <w:p w14:paraId="4B3A6A02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</w:tr>
      <w:tr w14:paraId="5AB930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tcBorders>
              <w:top w:val="nil"/>
            </w:tcBorders>
            <w:shd w:val="clear" w:color="auto" w:fill="FFFFFF"/>
          </w:tcPr>
          <w:p w14:paraId="5D2E7A43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SUFU-1027-F1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</w:tcPr>
          <w:p w14:paraId="3DA54CE6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GATCTCAACTCTGCCCACTCC</w:t>
            </w:r>
          </w:p>
        </w:tc>
        <w:tc>
          <w:tcPr>
            <w:tcW w:w="0" w:type="auto"/>
            <w:vMerge w:val="restart"/>
            <w:tcBorders>
              <w:top w:val="nil"/>
            </w:tcBorders>
            <w:shd w:val="clear" w:color="auto" w:fill="FFFFFF"/>
            <w:vAlign w:val="center"/>
          </w:tcPr>
          <w:p w14:paraId="1CAC82A2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714</w:t>
            </w: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bp</w:t>
            </w:r>
          </w:p>
        </w:tc>
        <w:tc>
          <w:tcPr>
            <w:tcW w:w="0" w:type="auto"/>
            <w:vMerge w:val="restart"/>
            <w:tcBorders>
              <w:top w:val="nil"/>
            </w:tcBorders>
            <w:shd w:val="clear" w:color="auto" w:fill="FFFFFF"/>
            <w:vAlign w:val="center"/>
          </w:tcPr>
          <w:p w14:paraId="425738B5">
            <w:pPr>
              <w:spacing w:before="120" w:after="240"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PCR-Sanger sequencing of p.R343C variant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of SUFU</w:t>
            </w:r>
          </w:p>
        </w:tc>
      </w:tr>
      <w:tr w14:paraId="3A23D4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328CB005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SUFU-1027-R1</w:t>
            </w:r>
          </w:p>
        </w:tc>
        <w:tc>
          <w:tcPr>
            <w:tcW w:w="0" w:type="auto"/>
            <w:shd w:val="clear" w:color="auto" w:fill="FFFFFF"/>
          </w:tcPr>
          <w:p w14:paraId="7816BD6D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GTCCCCAGGCTCCTAAACAG</w:t>
            </w: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0C8C13D5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656B6985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</w:tr>
      <w:tr w14:paraId="03D106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3D39A5FE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GLI1-1528-F2</w:t>
            </w:r>
          </w:p>
        </w:tc>
        <w:tc>
          <w:tcPr>
            <w:tcW w:w="0" w:type="auto"/>
            <w:shd w:val="clear" w:color="auto" w:fill="FFFFFF"/>
          </w:tcPr>
          <w:p w14:paraId="5A33234D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CCATCTCTTACCTGCTTAGCCC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29EE270B">
            <w:pPr>
              <w:spacing w:before="120" w:after="240"/>
              <w:jc w:val="left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837bp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0AF1C88C">
            <w:pPr>
              <w:spacing w:before="120" w:after="240"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PCR-Sanger sequencing of p.R510W variant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of GLI1</w:t>
            </w:r>
          </w:p>
        </w:tc>
      </w:tr>
      <w:tr w14:paraId="7D2E80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6DE36BDE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GLI1-1528-R2</w:t>
            </w:r>
          </w:p>
        </w:tc>
        <w:tc>
          <w:tcPr>
            <w:tcW w:w="0" w:type="auto"/>
            <w:shd w:val="clear" w:color="auto" w:fill="FFFFFF"/>
          </w:tcPr>
          <w:p w14:paraId="0DF75641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GTTGTGCAGGTTGTGTGCTG</w:t>
            </w: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3D9E008B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1ADFBF60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</w:tr>
      <w:tr w14:paraId="474B94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25F2E96B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GLI1-1965-F</w:t>
            </w:r>
          </w:p>
        </w:tc>
        <w:tc>
          <w:tcPr>
            <w:tcW w:w="0" w:type="auto"/>
            <w:shd w:val="clear" w:color="auto" w:fill="FFFFFF"/>
          </w:tcPr>
          <w:p w14:paraId="19CC8AB3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CTTATGCCTGCCCAGCACTAC 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4011B9DE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452bp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63DA6301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PCR-Sanger sequencing of p.Q655H variant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of GLI1</w:t>
            </w:r>
          </w:p>
        </w:tc>
      </w:tr>
      <w:tr w14:paraId="5A36D3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61CBDB19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GLI1-1965-R</w:t>
            </w:r>
          </w:p>
        </w:tc>
        <w:tc>
          <w:tcPr>
            <w:tcW w:w="0" w:type="auto"/>
            <w:shd w:val="clear" w:color="auto" w:fill="FFFFFF"/>
          </w:tcPr>
          <w:p w14:paraId="241EFBD3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CCCAGAGTATCAGTAGGTGGG</w:t>
            </w: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14C5208A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5ED9C0CC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</w:tr>
      <w:tr w14:paraId="2CF07B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26119607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GLI2-2203-F</w:t>
            </w:r>
          </w:p>
        </w:tc>
        <w:tc>
          <w:tcPr>
            <w:tcW w:w="0" w:type="auto"/>
            <w:shd w:val="clear" w:color="auto" w:fill="FFFFFF"/>
          </w:tcPr>
          <w:p w14:paraId="16015043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CCTCTGAGTCTGAGCCTTCTTG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4650FAAF">
            <w:pPr>
              <w:spacing w:before="120" w:after="240"/>
              <w:jc w:val="left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574bp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73408A6F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PCR-Sanger sequencing of p.E735K variant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of GLI2</w:t>
            </w:r>
          </w:p>
        </w:tc>
      </w:tr>
      <w:tr w14:paraId="648919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09E444DD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GLI2-2203-R</w:t>
            </w:r>
          </w:p>
        </w:tc>
        <w:tc>
          <w:tcPr>
            <w:tcW w:w="0" w:type="auto"/>
            <w:shd w:val="clear" w:color="auto" w:fill="FFFFFF"/>
          </w:tcPr>
          <w:p w14:paraId="0F5C6A9A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CCTTTGGCTAATCTCACCCCTG</w:t>
            </w: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7D36A1AE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470F4605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</w:tr>
      <w:tr w14:paraId="04C0E8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6C6A043C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GLI2-2345-F1</w:t>
            </w:r>
          </w:p>
        </w:tc>
        <w:tc>
          <w:tcPr>
            <w:tcW w:w="0" w:type="auto"/>
            <w:shd w:val="clear" w:color="auto" w:fill="FFFFFF"/>
          </w:tcPr>
          <w:p w14:paraId="1AFD1585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GTATGCCCTAGCTACTCCAGAG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3ADEBC6E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442bp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59A418E8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PCR-Sanger sequencing of p.L782P variant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of GLI2</w:t>
            </w:r>
          </w:p>
        </w:tc>
      </w:tr>
      <w:tr w14:paraId="74BD19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6205BFB8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GLI2-2345-R1</w:t>
            </w:r>
          </w:p>
        </w:tc>
        <w:tc>
          <w:tcPr>
            <w:tcW w:w="0" w:type="auto"/>
            <w:shd w:val="clear" w:color="auto" w:fill="FFFFFF"/>
          </w:tcPr>
          <w:p w14:paraId="317EB492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CTGGAGAAGTAGGGGGAGATG</w:t>
            </w: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77D222F6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4AA26BFF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</w:tr>
      <w:tr w14:paraId="7235A4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6AE8C138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GLI4-464-F</w:t>
            </w:r>
          </w:p>
        </w:tc>
        <w:tc>
          <w:tcPr>
            <w:tcW w:w="0" w:type="auto"/>
            <w:shd w:val="clear" w:color="auto" w:fill="FFFFFF"/>
          </w:tcPr>
          <w:p w14:paraId="269CED95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CTATCCGCCTCTGCCGTTTC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4D6F3390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615bp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1BE8C1CE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PCR-Sanger sequencing of p.P155H variant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of GLI4</w:t>
            </w:r>
          </w:p>
        </w:tc>
      </w:tr>
      <w:tr w14:paraId="045F00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5AF8DF16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GLI4-464-R</w:t>
            </w:r>
          </w:p>
        </w:tc>
        <w:tc>
          <w:tcPr>
            <w:tcW w:w="0" w:type="auto"/>
            <w:shd w:val="clear" w:color="auto" w:fill="FFFFFF"/>
          </w:tcPr>
          <w:p w14:paraId="2C261D72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CCGCACTTGTAGGGCTTCTC</w:t>
            </w: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538E0666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593D5D6F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</w:tr>
      <w:tr w14:paraId="23DF84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2C87F01F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GLI4-980-F</w:t>
            </w:r>
          </w:p>
        </w:tc>
        <w:tc>
          <w:tcPr>
            <w:tcW w:w="0" w:type="auto"/>
            <w:shd w:val="clear" w:color="auto" w:fill="FFFFFF"/>
          </w:tcPr>
          <w:p w14:paraId="3AEE5E55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CCTGCGGCAAGAGTTTCAAG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1F3C7ACB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709bp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56893121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PCR-Sanger sequencing of p.D327G variant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of GLI4</w:t>
            </w:r>
          </w:p>
        </w:tc>
      </w:tr>
      <w:tr w14:paraId="4991CF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481E878E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GLI4-980-R</w:t>
            </w:r>
          </w:p>
        </w:tc>
        <w:tc>
          <w:tcPr>
            <w:tcW w:w="0" w:type="auto"/>
            <w:shd w:val="clear" w:color="auto" w:fill="FFFFFF"/>
          </w:tcPr>
          <w:p w14:paraId="7F312E9B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CGGCTCCCACTTCCAACAATC</w:t>
            </w: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78D5DF90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3E2EC172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</w:tr>
      <w:tr w14:paraId="6CCA3A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4612F013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BOC-1860-F</w:t>
            </w:r>
          </w:p>
        </w:tc>
        <w:tc>
          <w:tcPr>
            <w:tcW w:w="0" w:type="auto"/>
            <w:shd w:val="clear" w:color="auto" w:fill="FFFFFF"/>
          </w:tcPr>
          <w:p w14:paraId="5611CDCA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GGGTCTTAGCTCAAAGCCCAG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55109694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595bp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1933B207">
            <w:pPr>
              <w:spacing w:before="120" w:after="240"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PCR-Sanger sequencing of p.E620D variant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of BOC</w:t>
            </w:r>
          </w:p>
        </w:tc>
      </w:tr>
      <w:tr w14:paraId="3BBA0F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7730C9AD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BOC-1860-R</w:t>
            </w:r>
          </w:p>
        </w:tc>
        <w:tc>
          <w:tcPr>
            <w:tcW w:w="0" w:type="auto"/>
            <w:shd w:val="clear" w:color="auto" w:fill="FFFFFF"/>
          </w:tcPr>
          <w:p w14:paraId="568D8216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GATGGCTCTGGATGCTCTTCTG</w:t>
            </w: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7B18A23A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7888C88E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</w:tr>
      <w:tr w14:paraId="15728B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114B9D52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BOC-1439-F</w:t>
            </w:r>
          </w:p>
        </w:tc>
        <w:tc>
          <w:tcPr>
            <w:tcW w:w="0" w:type="auto"/>
            <w:shd w:val="clear" w:color="auto" w:fill="FFFFFF"/>
          </w:tcPr>
          <w:p w14:paraId="3DC84D58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CTCAGCAGGTAAACCAGGAGAC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28A27899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658bp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18D8419A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PCR-Sanger sequencing of p.S480L variant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of BOC</w:t>
            </w:r>
          </w:p>
        </w:tc>
      </w:tr>
      <w:tr w14:paraId="1B3C43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6253F32A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BOC-1439-R</w:t>
            </w:r>
          </w:p>
        </w:tc>
        <w:tc>
          <w:tcPr>
            <w:tcW w:w="0" w:type="auto"/>
            <w:shd w:val="clear" w:color="auto" w:fill="FFFFFF"/>
          </w:tcPr>
          <w:p w14:paraId="5C68A6C3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GGGACTAGAAGCCAGTGTGAG</w:t>
            </w: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661ADC26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3D885C8B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</w:tr>
      <w:tr w14:paraId="43A2C1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467F5487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GAS1-253-F</w:t>
            </w:r>
          </w:p>
        </w:tc>
        <w:tc>
          <w:tcPr>
            <w:tcW w:w="0" w:type="auto"/>
            <w:shd w:val="clear" w:color="auto" w:fill="FFFFFF"/>
          </w:tcPr>
          <w:p w14:paraId="1F7267E0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CAAGAAGTGGGCAGGACTTG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73B2A73A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742bp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3FD569FF">
            <w:pPr>
              <w:spacing w:before="120" w:after="240"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PCR-Sanger sequencing of p.P85S variant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of GAS1</w:t>
            </w:r>
          </w:p>
        </w:tc>
      </w:tr>
      <w:tr w14:paraId="62BDFE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0" w:type="auto"/>
            <w:shd w:val="clear" w:color="auto" w:fill="FFFFFF"/>
          </w:tcPr>
          <w:p w14:paraId="102E94A8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GAS1-253-R</w:t>
            </w:r>
          </w:p>
        </w:tc>
        <w:tc>
          <w:tcPr>
            <w:tcW w:w="0" w:type="auto"/>
            <w:shd w:val="clear" w:color="auto" w:fill="FFFFFF"/>
          </w:tcPr>
          <w:p w14:paraId="79D307F5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GCCAGCATGTCCTCAATGAC</w:t>
            </w: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185A5B92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0D802EFF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</w:tr>
      <w:tr w14:paraId="43B1DC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597DCB9D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GAS1-865-F</w:t>
            </w:r>
          </w:p>
        </w:tc>
        <w:tc>
          <w:tcPr>
            <w:tcW w:w="0" w:type="auto"/>
            <w:shd w:val="clear" w:color="auto" w:fill="FFFFFF"/>
          </w:tcPr>
          <w:p w14:paraId="0BE47C26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CCTACTGCGGCAAAGTCTTC 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09516AE6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573bp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5A1FC35D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PCR-Sanger sequencing of p.G289S variant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of  GAS1</w:t>
            </w:r>
          </w:p>
        </w:tc>
      </w:tr>
      <w:tr w14:paraId="029288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738E9C73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GAS1-865-R</w:t>
            </w:r>
          </w:p>
        </w:tc>
        <w:tc>
          <w:tcPr>
            <w:tcW w:w="0" w:type="auto"/>
            <w:shd w:val="clear" w:color="auto" w:fill="FFFFFF"/>
          </w:tcPr>
          <w:p w14:paraId="16975C04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CTATCTGTCCCAAGCCACAG</w:t>
            </w: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081E9543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1BDEFF6E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</w:tr>
      <w:tr w14:paraId="63A0CD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186BCEC1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CDON-250-F</w:t>
            </w:r>
          </w:p>
        </w:tc>
        <w:tc>
          <w:tcPr>
            <w:tcW w:w="0" w:type="auto"/>
            <w:shd w:val="clear" w:color="auto" w:fill="FFFFFF"/>
          </w:tcPr>
          <w:p w14:paraId="24681FC6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CTCTCCTCTTTTCTCCCCTG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026560CC">
            <w:pPr>
              <w:spacing w:before="120" w:after="240"/>
              <w:jc w:val="left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465bp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6233F56A">
            <w:pPr>
              <w:spacing w:before="120" w:after="240"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PCR-Sanger sequencing of p.I84V variant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of CDON</w:t>
            </w:r>
          </w:p>
        </w:tc>
      </w:tr>
      <w:tr w14:paraId="324062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73C8FFFB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CDON-250-R</w:t>
            </w:r>
          </w:p>
        </w:tc>
        <w:tc>
          <w:tcPr>
            <w:tcW w:w="0" w:type="auto"/>
            <w:shd w:val="clear" w:color="auto" w:fill="FFFFFF"/>
          </w:tcPr>
          <w:p w14:paraId="729040C9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CAGCAAGAGTCAAGGCTGAG </w:t>
            </w: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146832F4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0FC7265A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</w:tr>
      <w:tr w14:paraId="5EA878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3EDA8BE1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CDON-3359-F</w:t>
            </w:r>
          </w:p>
        </w:tc>
        <w:tc>
          <w:tcPr>
            <w:tcW w:w="0" w:type="auto"/>
            <w:shd w:val="clear" w:color="auto" w:fill="FFFFFF"/>
          </w:tcPr>
          <w:p w14:paraId="47E53FED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CTTCCCAGTAGCTAATGGCC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65E2E2D3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558bp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6E3DE848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PCR-Sanger sequencing of p.C1120Y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variant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of CDON</w:t>
            </w:r>
          </w:p>
        </w:tc>
      </w:tr>
      <w:tr w14:paraId="133D0E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31AC7824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CDON-3359-R</w:t>
            </w:r>
          </w:p>
        </w:tc>
        <w:tc>
          <w:tcPr>
            <w:tcW w:w="0" w:type="auto"/>
            <w:shd w:val="clear" w:color="auto" w:fill="FFFFFF"/>
          </w:tcPr>
          <w:p w14:paraId="6ED23697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CTGAGTAGGGACTGGTTCCAC</w:t>
            </w: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14D1ACDB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53D576B0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</w:tr>
      <w:tr w14:paraId="1142E7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5C3D7B6C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PTCH1-605-F</w:t>
            </w:r>
          </w:p>
        </w:tc>
        <w:tc>
          <w:tcPr>
            <w:tcW w:w="0" w:type="auto"/>
            <w:shd w:val="clear" w:color="auto" w:fill="FFFFFF"/>
          </w:tcPr>
          <w:p w14:paraId="507DA93F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GCCATACACCTCCCATTAGC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560C9D33">
            <w:pPr>
              <w:widowControl/>
              <w:spacing w:before="120" w:after="240"/>
              <w:jc w:val="left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576bp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3FCE609B">
            <w:pPr>
              <w:spacing w:before="120" w:after="240"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PCR-Sanger sequencing of p.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K202R </w:t>
            </w: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variant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of PTCH1</w:t>
            </w:r>
          </w:p>
        </w:tc>
      </w:tr>
      <w:tr w14:paraId="590849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2F23870E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PTCH1-605-R</w:t>
            </w:r>
          </w:p>
        </w:tc>
        <w:tc>
          <w:tcPr>
            <w:tcW w:w="0" w:type="auto"/>
            <w:shd w:val="clear" w:color="auto" w:fill="FFFFFF"/>
          </w:tcPr>
          <w:p w14:paraId="026E8934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CTCTCTCTGACCAGTGTGTCC</w:t>
            </w: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64E80E07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1CF22757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</w:tr>
      <w:tr w14:paraId="011955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4859E99E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PTCH1-2893-F</w:t>
            </w:r>
          </w:p>
        </w:tc>
        <w:tc>
          <w:tcPr>
            <w:tcW w:w="0" w:type="auto"/>
            <w:shd w:val="clear" w:color="auto" w:fill="FFFFFF"/>
          </w:tcPr>
          <w:p w14:paraId="53334C9D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GACCCAGTGTCATGAAGAGG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455FD7FE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471bp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76680180">
            <w:pPr>
              <w:spacing w:before="120" w:after="240"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PCR-Sanger sequencing of p.V965L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variant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of  PTCH1</w:t>
            </w:r>
          </w:p>
        </w:tc>
      </w:tr>
      <w:tr w14:paraId="4C882F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55163E68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PTCH1-2893-R</w:t>
            </w:r>
          </w:p>
        </w:tc>
        <w:tc>
          <w:tcPr>
            <w:tcW w:w="0" w:type="auto"/>
            <w:shd w:val="clear" w:color="auto" w:fill="FFFFFF"/>
          </w:tcPr>
          <w:p w14:paraId="39EEEE13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GCTGGTCTTGAACTCCTTGACC</w:t>
            </w: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5DCFEF10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5178B133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</w:tr>
      <w:tr w14:paraId="5489A9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045CA72A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PTCH1-3392-F</w:t>
            </w:r>
          </w:p>
        </w:tc>
        <w:tc>
          <w:tcPr>
            <w:tcW w:w="0" w:type="auto"/>
            <w:shd w:val="clear" w:color="auto" w:fill="FFFFFF"/>
          </w:tcPr>
          <w:p w14:paraId="2B6874E9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CCACAGCCCACATTTATGGG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3944DC38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519bp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1CD5578E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PCR-Sanger sequencing of p.P1131L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variant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of PTCH1</w:t>
            </w:r>
          </w:p>
        </w:tc>
      </w:tr>
      <w:tr w14:paraId="158B29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2C92E11F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PTCH1-3392-R</w:t>
            </w:r>
          </w:p>
        </w:tc>
        <w:tc>
          <w:tcPr>
            <w:tcW w:w="0" w:type="auto"/>
            <w:shd w:val="clear" w:color="auto" w:fill="FFFFFF"/>
          </w:tcPr>
          <w:p w14:paraId="4D18039C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GTTCCGAGGGTTGTGAGAAC</w:t>
            </w: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332963B7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15912939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</w:tr>
      <w:tr w14:paraId="60035E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4EF9C80F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PTCH2-1126-1289-F</w:t>
            </w:r>
          </w:p>
        </w:tc>
        <w:tc>
          <w:tcPr>
            <w:tcW w:w="0" w:type="auto"/>
            <w:shd w:val="clear" w:color="auto" w:fill="FFFFFF"/>
          </w:tcPr>
          <w:p w14:paraId="6AE4C673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CGGGGTGACTATCAGACACATG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4CF44B75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674bp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4AD1F77A">
            <w:pPr>
              <w:spacing w:before="120" w:after="240"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PCR-Sanger sequencing of p.H376Y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and </w:t>
            </w: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p.V430A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variant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of PTCH2</w:t>
            </w:r>
          </w:p>
        </w:tc>
      </w:tr>
      <w:tr w14:paraId="45963C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4A261041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PTCH2-1126-1289-R</w:t>
            </w:r>
          </w:p>
        </w:tc>
        <w:tc>
          <w:tcPr>
            <w:tcW w:w="0" w:type="auto"/>
            <w:shd w:val="clear" w:color="auto" w:fill="FFFFFF"/>
          </w:tcPr>
          <w:p w14:paraId="50C6A5B4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CAGGAATACGTCATCCACGC</w:t>
            </w: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54801F5A">
            <w:pPr>
              <w:spacing w:before="120" w:after="240"/>
              <w:jc w:val="left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shd w:val="clear" w:color="auto" w:fill="FFFFFF"/>
            <w:vAlign w:val="center"/>
          </w:tcPr>
          <w:p w14:paraId="2023F777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</w:tr>
      <w:tr w14:paraId="4E9C78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shd w:val="clear" w:color="auto" w:fill="FFFFFF"/>
          </w:tcPr>
          <w:p w14:paraId="40C32803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PTCH2-1463-F</w:t>
            </w:r>
          </w:p>
        </w:tc>
        <w:tc>
          <w:tcPr>
            <w:tcW w:w="0" w:type="auto"/>
            <w:shd w:val="clear" w:color="auto" w:fill="FFFFFF"/>
          </w:tcPr>
          <w:p w14:paraId="1CD2C051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CTATCTGCTCATGGTGGGTC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1F6FBF58">
            <w:pPr>
              <w:spacing w:before="120" w:after="240"/>
              <w:jc w:val="left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737bp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701725BD">
            <w:pPr>
              <w:spacing w:before="120" w:after="240"/>
              <w:jc w:val="both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PCR-Sanger sequencing of p.Q488L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variant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 of PTCH2</w:t>
            </w:r>
          </w:p>
        </w:tc>
      </w:tr>
      <w:tr w14:paraId="727270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tcBorders>
              <w:bottom w:val="single" w:color="000000" w:sz="12" w:space="0"/>
            </w:tcBorders>
            <w:shd w:val="clear" w:color="auto" w:fill="FFFFFF"/>
          </w:tcPr>
          <w:p w14:paraId="37DBB6DA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PTCH2-1463-R</w:t>
            </w:r>
          </w:p>
        </w:tc>
        <w:tc>
          <w:tcPr>
            <w:tcW w:w="0" w:type="auto"/>
            <w:tcBorders>
              <w:bottom w:val="single" w:color="000000" w:sz="12" w:space="0"/>
            </w:tcBorders>
            <w:shd w:val="clear" w:color="auto" w:fill="FFFFFF"/>
          </w:tcPr>
          <w:p w14:paraId="16B093A6">
            <w:pPr>
              <w:widowControl/>
              <w:spacing w:before="120" w:after="24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</w:rPr>
              <w:t>CCGTGTCAAAGTGGAGTGAAG</w:t>
            </w:r>
          </w:p>
        </w:tc>
        <w:tc>
          <w:tcPr>
            <w:tcW w:w="0" w:type="auto"/>
            <w:vMerge w:val="continue"/>
            <w:tcBorders>
              <w:bottom w:val="single" w:color="000000" w:sz="12" w:space="0"/>
            </w:tcBorders>
            <w:shd w:val="clear" w:color="auto" w:fill="FFFFFF"/>
          </w:tcPr>
          <w:p w14:paraId="6DB9DBB7">
            <w:pPr>
              <w:spacing w:before="120" w:after="240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bottom w:val="single" w:color="000000" w:sz="12" w:space="0"/>
            </w:tcBorders>
            <w:shd w:val="clear" w:color="auto" w:fill="FFFFFF"/>
          </w:tcPr>
          <w:p w14:paraId="7FEA429E">
            <w:pPr>
              <w:spacing w:before="120" w:after="240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</w:tr>
    </w:tbl>
    <w:p w14:paraId="3248313B">
      <w:pPr>
        <w:sectPr>
          <w:pgSz w:w="16838" w:h="11906" w:orient="landscape"/>
          <w:pgMar w:top="952" w:right="1440" w:bottom="952" w:left="1440" w:header="851" w:footer="992" w:gutter="0"/>
          <w:cols w:space="425" w:num="1"/>
          <w:docGrid w:type="lines" w:linePitch="312" w:charSpace="0"/>
        </w:sectPr>
      </w:pPr>
    </w:p>
    <w:p w14:paraId="7B017E61">
      <w:pPr>
        <w:rPr>
          <w:rFonts w:hint="default" w:eastAsiaTheme="minorEastAsia"/>
          <w:lang w:val="en-US" w:eastAsia="zh-CN"/>
        </w:rPr>
      </w:pPr>
    </w:p>
    <w:p w14:paraId="6FBF325E"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6590030" cy="3718560"/>
            <wp:effectExtent l="0" t="0" r="0" b="0"/>
            <wp:docPr id="1" name="图片 1" descr="结构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结构域"/>
                    <pic:cNvPicPr>
                      <a:picLocks noChangeAspect="1"/>
                    </pic:cNvPicPr>
                  </pic:nvPicPr>
                  <pic:blipFill>
                    <a:blip r:embed="rId4"/>
                    <a:srcRect l="1051" t="12985" r="672" b="13048"/>
                    <a:stretch>
                      <a:fillRect/>
                    </a:stretch>
                  </pic:blipFill>
                  <pic:spPr>
                    <a:xfrm>
                      <a:off x="0" y="0"/>
                      <a:ext cx="659003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E9FF3">
      <w:pPr>
        <w:jc w:val="center"/>
        <w:rPr>
          <w:rFonts w:hint="eastAsia"/>
          <w:lang w:val="en-US" w:eastAsia="zh-CN"/>
        </w:rPr>
      </w:pPr>
      <w:r>
        <w:t>Supplemental</w:t>
      </w:r>
      <w:r>
        <w:rPr>
          <w:rFonts w:hint="eastAsia"/>
          <w:lang w:val="en-US" w:eastAsia="zh-CN"/>
        </w:rPr>
        <w:t xml:space="preserve"> Fig. 1</w:t>
      </w:r>
    </w:p>
    <w:p w14:paraId="257C1212">
      <w:pPr>
        <w:jc w:val="center"/>
        <w:rPr>
          <w:rFonts w:hint="eastAsia"/>
          <w:lang w:val="en-US" w:eastAsia="zh-CN"/>
        </w:rPr>
      </w:pPr>
    </w:p>
    <w:p w14:paraId="70B5FBBA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705600" cy="3561715"/>
            <wp:effectExtent l="0" t="0" r="0" b="0"/>
            <wp:docPr id="2" name="图片 2" descr="保守性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保守性分析"/>
                    <pic:cNvPicPr>
                      <a:picLocks noChangeAspect="1"/>
                    </pic:cNvPicPr>
                  </pic:nvPicPr>
                  <pic:blipFill>
                    <a:blip r:embed="rId5"/>
                    <a:srcRect t="13540" b="15612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104DF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Supplemental Fig. </w:t>
      </w:r>
      <w:r>
        <w:rPr>
          <w:rFonts w:hint="eastAsia"/>
          <w:lang w:val="en-US" w:eastAsia="zh-CN"/>
        </w:rPr>
        <w:t>2</w:t>
      </w:r>
    </w:p>
    <w:sectPr>
      <w:pgSz w:w="11906" w:h="16838"/>
      <w:pgMar w:top="1440" w:right="669" w:bottom="1440" w:left="66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B12B3"/>
    <w:rsid w:val="009E1522"/>
    <w:rsid w:val="07B90E36"/>
    <w:rsid w:val="07C90A1D"/>
    <w:rsid w:val="0CCB184B"/>
    <w:rsid w:val="0E245572"/>
    <w:rsid w:val="10BB784F"/>
    <w:rsid w:val="12843C71"/>
    <w:rsid w:val="14681A9C"/>
    <w:rsid w:val="15525368"/>
    <w:rsid w:val="15C95EAC"/>
    <w:rsid w:val="1D0E4631"/>
    <w:rsid w:val="1DBB0E8E"/>
    <w:rsid w:val="1EF7235C"/>
    <w:rsid w:val="25EA6C2D"/>
    <w:rsid w:val="28A93433"/>
    <w:rsid w:val="2BBD4024"/>
    <w:rsid w:val="2F1C7C5D"/>
    <w:rsid w:val="32317F19"/>
    <w:rsid w:val="3E776E3F"/>
    <w:rsid w:val="462140AB"/>
    <w:rsid w:val="479C4144"/>
    <w:rsid w:val="489D690C"/>
    <w:rsid w:val="4CB9218D"/>
    <w:rsid w:val="509752EE"/>
    <w:rsid w:val="58782A1F"/>
    <w:rsid w:val="6079737B"/>
    <w:rsid w:val="62280555"/>
    <w:rsid w:val="664C207E"/>
    <w:rsid w:val="68294E76"/>
    <w:rsid w:val="68F627B6"/>
    <w:rsid w:val="6947300F"/>
    <w:rsid w:val="69FC398E"/>
    <w:rsid w:val="6C2D2E8D"/>
    <w:rsid w:val="7456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543</Words>
  <Characters>4122</Characters>
  <Lines>0</Lines>
  <Paragraphs>0</Paragraphs>
  <TotalTime>2</TotalTime>
  <ScaleCrop>false</ScaleCrop>
  <LinksUpToDate>false</LinksUpToDate>
  <CharactersWithSpaces>4327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2025-02-11T15:10:00Z</dcterms:created>
  <dc:creator>DELL</dc:creator>
  <cp:lastModifiedBy>。简单。</cp:lastModifiedBy>
  <dcterms:modified xsi:type="dcterms:W3CDTF">2025-09-06T07:45:22Z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KSOTemplateDocerSaveRecord">
    <vt:lpwstr>eyJoZGlkIjoiNjhiN2FjNDQwNTNmNzI2ZWFkOGRhZTgxMzc3YzJjMWEiLCJ1c2VySWQiOiIyOTQ4NzMwNTIifQ==</vt:lpwstr>
  </property>
  <property fmtid="{D5CDD505-2E9C-101B-9397-08002B2CF9AE}" pid="4" name="ICV">
    <vt:lpwstr>3DFA9BD3536C4EDE8621361DA049EDE2_12</vt:lpwstr>
  </property>
</Properties>
</file>