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hint="eastAsia" w:ascii="Times New Roman" w:hAnsi="Times New Roman" w:cs="Times New Roman"/>
          <w:b/>
          <w:bCs/>
          <w:sz w:val="28"/>
          <w:szCs w:val="28"/>
        </w:rPr>
        <w:t>Supplementary materials</w:t>
      </w:r>
    </w:p>
    <w:p>
      <w:pPr>
        <w:rPr>
          <w:rFonts w:ascii="Times New Roman" w:hAnsi="Times New Roman" w:cs="Times New Roman"/>
          <w:szCs w:val="21"/>
        </w:rPr>
      </w:pPr>
    </w:p>
    <w:p>
      <w:pPr>
        <w:jc w:val="center"/>
        <w:rPr>
          <w:rFonts w:ascii="Times New Roman" w:hAnsi="Times New Roman" w:cs="Times New Roman"/>
          <w:szCs w:val="21"/>
        </w:rPr>
      </w:pPr>
    </w:p>
    <w:p>
      <w:pPr>
        <w:jc w:val="center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t>Table</w:t>
      </w:r>
      <w:r>
        <w:rPr>
          <w:rFonts w:ascii="Times New Roman" w:hAnsi="Times New Roman" w:cs="Times New Roman"/>
          <w:sz w:val="24"/>
        </w:rPr>
        <w:t xml:space="preserve"> S</w:t>
      </w:r>
      <w:r>
        <w:rPr>
          <w:rFonts w:hint="eastAsia" w:ascii="Times New Roman" w:hAnsi="Times New Roman" w:cs="Times New Roman"/>
          <w:sz w:val="24"/>
        </w:rPr>
        <w:t xml:space="preserve">1. </w:t>
      </w:r>
      <w:r>
        <w:rPr>
          <w:rFonts w:ascii="Times New Roman" w:hAnsi="Times New Roman" w:cs="Times New Roman"/>
          <w:sz w:val="24"/>
        </w:rPr>
        <w:t>The results of Kulldorff’s space-time scan statistical analysis</w:t>
      </w:r>
    </w:p>
    <w:tbl>
      <w:tblPr>
        <w:tblStyle w:val="3"/>
        <w:tblW w:w="10069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93"/>
        <w:gridCol w:w="4057"/>
        <w:gridCol w:w="3119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2893" w:type="dxa"/>
            <w:tcBorders>
              <w:top w:val="single" w:color="auto" w:sz="8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Summary of data</w:t>
            </w:r>
          </w:p>
        </w:tc>
        <w:tc>
          <w:tcPr>
            <w:tcW w:w="4057" w:type="dxa"/>
            <w:tcBorders>
              <w:top w:val="single" w:color="auto" w:sz="8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Most likely cluster</w:t>
            </w:r>
          </w:p>
        </w:tc>
        <w:tc>
          <w:tcPr>
            <w:tcW w:w="3119" w:type="dxa"/>
            <w:tcBorders>
              <w:top w:val="single" w:color="auto" w:sz="8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Secondary cluster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93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Locations township</w:t>
            </w:r>
          </w:p>
        </w:tc>
        <w:tc>
          <w:tcPr>
            <w:tcW w:w="4057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Jinniu, Guohe, Wanshan, and Tangchi Town</w:t>
            </w:r>
          </w:p>
        </w:tc>
        <w:tc>
          <w:tcPr>
            <w:tcW w:w="3119" w:type="dxa"/>
            <w:tcBorders>
              <w:top w:val="single" w:color="auto" w:sz="4" w:space="0"/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Luohe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, </w:t>
            </w:r>
            <w:r>
              <w:rPr>
                <w:rFonts w:ascii="Times New Roman" w:hAnsi="Times New Roman" w:cs="Times New Roman"/>
                <w:szCs w:val="21"/>
              </w:rPr>
              <w:t>Nihe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, </w:t>
            </w:r>
            <w:r>
              <w:rPr>
                <w:rFonts w:ascii="Times New Roman" w:hAnsi="Times New Roman" w:cs="Times New Roman"/>
                <w:szCs w:val="21"/>
              </w:rPr>
              <w:t>and LeqiaoTown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9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Coordinates</w:t>
            </w:r>
          </w:p>
        </w:tc>
        <w:tc>
          <w:tcPr>
            <w:tcW w:w="405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31.399702N, 117.203274E</w:t>
            </w:r>
          </w:p>
        </w:tc>
        <w:tc>
          <w:tcPr>
            <w:tcW w:w="3119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31.015947N, 117.278636E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9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Radius</w:t>
            </w:r>
          </w:p>
        </w:tc>
        <w:tc>
          <w:tcPr>
            <w:tcW w:w="405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8.23km</w:t>
            </w:r>
          </w:p>
        </w:tc>
        <w:tc>
          <w:tcPr>
            <w:tcW w:w="3119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16.33km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9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Time frame</w:t>
            </w:r>
          </w:p>
        </w:tc>
        <w:tc>
          <w:tcPr>
            <w:tcW w:w="405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2015/1/1 to 2017/12/31</w:t>
            </w:r>
          </w:p>
        </w:tc>
        <w:tc>
          <w:tcPr>
            <w:tcW w:w="3119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2013/1/1 to 2014/12/31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9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Population</w:t>
            </w:r>
          </w:p>
        </w:tc>
        <w:tc>
          <w:tcPr>
            <w:tcW w:w="405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184380</w:t>
            </w:r>
          </w:p>
        </w:tc>
        <w:tc>
          <w:tcPr>
            <w:tcW w:w="3119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226860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9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Number of cases</w:t>
            </w:r>
          </w:p>
        </w:tc>
        <w:tc>
          <w:tcPr>
            <w:tcW w:w="405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1472</w:t>
            </w:r>
          </w:p>
        </w:tc>
        <w:tc>
          <w:tcPr>
            <w:tcW w:w="3119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1089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  <w:jc w:val="center"/>
        </w:trPr>
        <w:tc>
          <w:tcPr>
            <w:tcW w:w="289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Expected cases</w:t>
            </w:r>
          </w:p>
        </w:tc>
        <w:tc>
          <w:tcPr>
            <w:tcW w:w="405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1164.62</w:t>
            </w:r>
          </w:p>
        </w:tc>
        <w:tc>
          <w:tcPr>
            <w:tcW w:w="3119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949.95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9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Annual cases/100000</w:t>
            </w:r>
          </w:p>
        </w:tc>
        <w:tc>
          <w:tcPr>
            <w:tcW w:w="405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265.0</w:t>
            </w:r>
          </w:p>
        </w:tc>
        <w:tc>
          <w:tcPr>
            <w:tcW w:w="3119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240.3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9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Observed/expected</w:t>
            </w:r>
          </w:p>
        </w:tc>
        <w:tc>
          <w:tcPr>
            <w:tcW w:w="405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1.26</w:t>
            </w:r>
          </w:p>
        </w:tc>
        <w:tc>
          <w:tcPr>
            <w:tcW w:w="3119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1.15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9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Relative risk</w:t>
            </w:r>
          </w:p>
        </w:tc>
        <w:tc>
          <w:tcPr>
            <w:tcW w:w="405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1.29</w:t>
            </w:r>
          </w:p>
        </w:tc>
        <w:tc>
          <w:tcPr>
            <w:tcW w:w="3119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1.16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93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Log likehood ratio</w:t>
            </w:r>
          </w:p>
        </w:tc>
        <w:tc>
          <w:tcPr>
            <w:tcW w:w="4057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40.824557</w:t>
            </w:r>
          </w:p>
        </w:tc>
        <w:tc>
          <w:tcPr>
            <w:tcW w:w="3119" w:type="dxa"/>
            <w:tcBorders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10.401037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893" w:type="dxa"/>
            <w:tcBorders>
              <w:bottom w:val="single" w:color="auto" w:sz="8" w:space="0"/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P-value</w:t>
            </w:r>
          </w:p>
        </w:tc>
        <w:tc>
          <w:tcPr>
            <w:tcW w:w="4057" w:type="dxa"/>
            <w:tcBorders>
              <w:bottom w:val="single" w:color="auto" w:sz="8" w:space="0"/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0.00000000000000067</w:t>
            </w:r>
          </w:p>
        </w:tc>
        <w:tc>
          <w:tcPr>
            <w:tcW w:w="3119" w:type="dxa"/>
            <w:tcBorders>
              <w:bottom w:val="single" w:color="auto" w:sz="8" w:space="0"/>
              <w:tl2br w:val="nil"/>
              <w:tr2bl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0.0021</w:t>
            </w:r>
          </w:p>
        </w:tc>
      </w:tr>
    </w:tbl>
    <w:p>
      <w:pPr>
        <w:jc w:val="left"/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hint="eastAsia"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jc w:val="center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t>Table</w:t>
      </w:r>
      <w:r>
        <w:rPr>
          <w:rFonts w:ascii="Times New Roman" w:hAnsi="Times New Roman" w:cs="Times New Roman"/>
          <w:sz w:val="24"/>
        </w:rPr>
        <w:t xml:space="preserve"> S</w:t>
      </w:r>
      <w:r>
        <w:rPr>
          <w:rFonts w:hint="eastAsia" w:ascii="Times New Roman" w:hAnsi="Times New Roman" w:cs="Times New Roman"/>
          <w:sz w:val="24"/>
        </w:rPr>
        <w:t xml:space="preserve">2. </w:t>
      </w:r>
      <w:r>
        <w:rPr>
          <w:rFonts w:ascii="Times New Roman" w:hAnsi="Times New Roman" w:cs="Times New Roman"/>
          <w:sz w:val="24"/>
        </w:rPr>
        <w:t>Amount of pesticide and fertilizer used in Lujiang County</w:t>
      </w:r>
    </w:p>
    <w:tbl>
      <w:tblPr>
        <w:tblStyle w:val="3"/>
        <w:tblW w:w="91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5"/>
        <w:gridCol w:w="1238"/>
        <w:gridCol w:w="1184"/>
        <w:gridCol w:w="1325"/>
        <w:gridCol w:w="1211"/>
        <w:gridCol w:w="1320"/>
        <w:gridCol w:w="14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5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Town</w:t>
            </w:r>
          </w:p>
        </w:tc>
        <w:tc>
          <w:tcPr>
            <w:tcW w:w="1238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hint="eastAsia" w:ascii="Times New Roman" w:hAnsi="Times New Roman" w:cs="Times New Roman"/>
                <w:bCs/>
                <w:szCs w:val="21"/>
              </w:rPr>
              <w:t>F</w:t>
            </w:r>
            <w:r>
              <w:rPr>
                <w:rFonts w:ascii="Times New Roman" w:hAnsi="Times New Roman" w:cs="Times New Roman"/>
                <w:bCs/>
                <w:szCs w:val="21"/>
              </w:rPr>
              <w:t xml:space="preserve">ertilizer </w:t>
            </w:r>
            <w:r>
              <w:rPr>
                <w:rFonts w:hint="eastAsia" w:ascii="Times New Roman" w:hAnsi="Times New Roman" w:cs="Times New Roman"/>
                <w:bCs/>
                <w:szCs w:val="21"/>
              </w:rPr>
              <w:t>(t)</w:t>
            </w:r>
          </w:p>
        </w:tc>
        <w:tc>
          <w:tcPr>
            <w:tcW w:w="1184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>Ammonia Fertilizer</w:t>
            </w:r>
            <w:r>
              <w:rPr>
                <w:rFonts w:hint="eastAsia" w:ascii="Times New Roman" w:hAnsi="Times New Roman" w:cs="Times New Roman"/>
                <w:bCs/>
                <w:szCs w:val="21"/>
              </w:rPr>
              <w:t>(t)</w:t>
            </w:r>
          </w:p>
        </w:tc>
        <w:tc>
          <w:tcPr>
            <w:tcW w:w="1325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 xml:space="preserve">Phosphate Fertilizer </w:t>
            </w:r>
            <w:r>
              <w:rPr>
                <w:rFonts w:hint="eastAsia" w:ascii="Times New Roman" w:hAnsi="Times New Roman" w:cs="Times New Roman"/>
                <w:bCs/>
                <w:szCs w:val="21"/>
              </w:rPr>
              <w:t>(t)</w:t>
            </w:r>
          </w:p>
        </w:tc>
        <w:tc>
          <w:tcPr>
            <w:tcW w:w="1211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 xml:space="preserve">Potash fertilizer </w:t>
            </w:r>
            <w:r>
              <w:rPr>
                <w:rFonts w:hint="eastAsia" w:ascii="Times New Roman" w:hAnsi="Times New Roman" w:cs="Times New Roman"/>
                <w:bCs/>
                <w:szCs w:val="21"/>
              </w:rPr>
              <w:t>(t)</w:t>
            </w:r>
          </w:p>
        </w:tc>
        <w:tc>
          <w:tcPr>
            <w:tcW w:w="1320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ascii="Times New Roman" w:hAnsi="Times New Roman" w:cs="Times New Roman"/>
                <w:bCs/>
                <w:szCs w:val="21"/>
              </w:rPr>
              <w:t xml:space="preserve">Compound fertilizer </w:t>
            </w:r>
            <w:r>
              <w:rPr>
                <w:rFonts w:hint="eastAsia" w:ascii="Times New Roman" w:hAnsi="Times New Roman" w:cs="Times New Roman"/>
                <w:bCs/>
                <w:szCs w:val="21"/>
              </w:rPr>
              <w:t>(t)</w:t>
            </w:r>
          </w:p>
        </w:tc>
        <w:tc>
          <w:tcPr>
            <w:tcW w:w="1404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  <w:bCs/>
                <w:szCs w:val="21"/>
              </w:rPr>
            </w:pPr>
            <w:r>
              <w:rPr>
                <w:rFonts w:hint="eastAsia" w:ascii="Times New Roman" w:hAnsi="Times New Roman" w:cs="Times New Roman"/>
                <w:bCs/>
                <w:szCs w:val="21"/>
              </w:rPr>
              <w:t>P</w:t>
            </w:r>
            <w:r>
              <w:rPr>
                <w:rFonts w:ascii="Times New Roman" w:hAnsi="Times New Roman" w:cs="Times New Roman"/>
                <w:bCs/>
                <w:szCs w:val="21"/>
              </w:rPr>
              <w:t xml:space="preserve">esticide </w:t>
            </w:r>
            <w:r>
              <w:rPr>
                <w:rFonts w:hint="eastAsia" w:ascii="Times New Roman" w:hAnsi="Times New Roman" w:cs="Times New Roman"/>
                <w:bCs/>
                <w:szCs w:val="21"/>
              </w:rPr>
              <w:t>(t)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5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Baihu </w:t>
            </w:r>
          </w:p>
        </w:tc>
        <w:tc>
          <w:tcPr>
            <w:tcW w:w="1238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11072</w:t>
            </w:r>
          </w:p>
        </w:tc>
        <w:tc>
          <w:tcPr>
            <w:tcW w:w="118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2387</w:t>
            </w:r>
          </w:p>
        </w:tc>
        <w:tc>
          <w:tcPr>
            <w:tcW w:w="1325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982</w:t>
            </w:r>
          </w:p>
        </w:tc>
        <w:tc>
          <w:tcPr>
            <w:tcW w:w="1211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2880</w:t>
            </w:r>
          </w:p>
        </w:tc>
        <w:tc>
          <w:tcPr>
            <w:tcW w:w="132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4822</w:t>
            </w:r>
          </w:p>
        </w:tc>
        <w:tc>
          <w:tcPr>
            <w:tcW w:w="1404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Baishan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2817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608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250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733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1227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Fanshan 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1666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359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148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433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726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Guohe 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4058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875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360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1055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1767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Jinniu 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2532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546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225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659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1103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Ketan 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3055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659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271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795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1331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Leqiao 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3353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723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297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872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1460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Longqiao 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1931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416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171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502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841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Lucheng 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3201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690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284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833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1394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Luohe 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2653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572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235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690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1156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Nihe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4753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1025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422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1236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2070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Shengqiao 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3314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715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294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862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1443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Shitou 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2689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580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239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699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1171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Tangchi 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2291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494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203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596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998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Tongda 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4591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990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407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1194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2000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Wanshan </w:t>
            </w:r>
          </w:p>
        </w:tc>
        <w:tc>
          <w:tcPr>
            <w:tcW w:w="12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2605</w:t>
            </w:r>
          </w:p>
        </w:tc>
        <w:tc>
          <w:tcPr>
            <w:tcW w:w="11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562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231</w:t>
            </w:r>
          </w:p>
        </w:tc>
        <w:tc>
          <w:tcPr>
            <w:tcW w:w="121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678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1135</w:t>
            </w:r>
          </w:p>
        </w:tc>
        <w:tc>
          <w:tcPr>
            <w:tcW w:w="140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45" w:type="dxa"/>
            <w:tcBorders>
              <w:top w:val="nil"/>
              <w:left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Yefushantown</w:t>
            </w:r>
          </w:p>
        </w:tc>
        <w:tc>
          <w:tcPr>
            <w:tcW w:w="1238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3526</w:t>
            </w:r>
          </w:p>
        </w:tc>
        <w:tc>
          <w:tcPr>
            <w:tcW w:w="1184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760</w:t>
            </w:r>
          </w:p>
        </w:tc>
        <w:tc>
          <w:tcPr>
            <w:tcW w:w="1325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313</w:t>
            </w:r>
          </w:p>
        </w:tc>
        <w:tc>
          <w:tcPr>
            <w:tcW w:w="1211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917</w:t>
            </w:r>
          </w:p>
        </w:tc>
        <w:tc>
          <w:tcPr>
            <w:tcW w:w="1320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1536</w:t>
            </w:r>
          </w:p>
        </w:tc>
        <w:tc>
          <w:tcPr>
            <w:tcW w:w="1404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43</w:t>
            </w:r>
          </w:p>
        </w:tc>
      </w:tr>
    </w:tbl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hint="eastAsia"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ind w:firstLine="480" w:firstLineChars="200"/>
        <w:jc w:val="center"/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  <w:sz w:val="24"/>
        </w:rPr>
        <w:t>Table3. Ellipse parameters of standard deviation of digestive tract cancer incidence in Lujiang County from 2012 to 2017</w:t>
      </w:r>
    </w:p>
    <w:tbl>
      <w:tblPr>
        <w:tblStyle w:val="3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8"/>
        <w:gridCol w:w="1209"/>
        <w:gridCol w:w="1139"/>
        <w:gridCol w:w="1325"/>
        <w:gridCol w:w="1325"/>
        <w:gridCol w:w="1215"/>
        <w:gridCol w:w="18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8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Year</w:t>
            </w:r>
          </w:p>
        </w:tc>
        <w:tc>
          <w:tcPr>
            <w:tcW w:w="1209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Xcoord</w:t>
            </w:r>
          </w:p>
        </w:tc>
        <w:tc>
          <w:tcPr>
            <w:tcW w:w="1139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Ycoord</w:t>
            </w:r>
          </w:p>
        </w:tc>
        <w:tc>
          <w:tcPr>
            <w:tcW w:w="1325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XStdDist/km</w:t>
            </w:r>
          </w:p>
        </w:tc>
        <w:tc>
          <w:tcPr>
            <w:tcW w:w="1325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YStdDist/km</w:t>
            </w:r>
          </w:p>
        </w:tc>
        <w:tc>
          <w:tcPr>
            <w:tcW w:w="1215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Rotation</w:t>
            </w:r>
          </w:p>
        </w:tc>
        <w:tc>
          <w:tcPr>
            <w:tcW w:w="1886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Shape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hint="eastAsia" w:ascii="Times New Roman" w:hAnsi="Times New Roman" w:cs="Times New Roman"/>
              </w:rPr>
              <w:t>area/km²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8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2012</w:t>
            </w:r>
          </w:p>
        </w:tc>
        <w:tc>
          <w:tcPr>
            <w:tcW w:w="1209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117.283084</w:t>
            </w:r>
          </w:p>
        </w:tc>
        <w:tc>
          <w:tcPr>
            <w:tcW w:w="1139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31.281476</w:t>
            </w:r>
          </w:p>
        </w:tc>
        <w:tc>
          <w:tcPr>
            <w:tcW w:w="1325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15.41227</w:t>
            </w:r>
          </w:p>
        </w:tc>
        <w:tc>
          <w:tcPr>
            <w:tcW w:w="1325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22.51078</w:t>
            </w: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174.275707</w:t>
            </w:r>
          </w:p>
        </w:tc>
        <w:tc>
          <w:tcPr>
            <w:tcW w:w="1886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1089.88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2013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117.281104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31.279980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15.59267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22.61495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170.832485</w:t>
            </w:r>
          </w:p>
        </w:tc>
        <w:tc>
          <w:tcPr>
            <w:tcW w:w="188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1107.74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2014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117.286161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31.275593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15.46771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23.19220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170.565837</w:t>
            </w:r>
          </w:p>
        </w:tc>
        <w:tc>
          <w:tcPr>
            <w:tcW w:w="188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1126.91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2015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117.281941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31.282448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15.44344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22.69382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171.114564</w:t>
            </w:r>
          </w:p>
        </w:tc>
        <w:tc>
          <w:tcPr>
            <w:tcW w:w="188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1100.97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2016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117.280623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31.285788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15.34864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22.43918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169.846305</w:t>
            </w:r>
          </w:p>
        </w:tc>
        <w:tc>
          <w:tcPr>
            <w:tcW w:w="188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1081.93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8" w:type="dxa"/>
            <w:tcBorders>
              <w:top w:val="nil"/>
              <w:left w:val="nil"/>
              <w:bottom w:val="single" w:color="auto" w:sz="8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2017</w:t>
            </w:r>
          </w:p>
        </w:tc>
        <w:tc>
          <w:tcPr>
            <w:tcW w:w="1209" w:type="dxa"/>
            <w:tcBorders>
              <w:top w:val="nil"/>
              <w:left w:val="nil"/>
              <w:bottom w:val="single" w:color="auto" w:sz="8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117.277296</w:t>
            </w:r>
          </w:p>
        </w:tc>
        <w:tc>
          <w:tcPr>
            <w:tcW w:w="1139" w:type="dxa"/>
            <w:tcBorders>
              <w:top w:val="nil"/>
              <w:left w:val="nil"/>
              <w:bottom w:val="single" w:color="auto" w:sz="8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31.290066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auto" w:sz="8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15.35908</w:t>
            </w:r>
          </w:p>
        </w:tc>
        <w:tc>
          <w:tcPr>
            <w:tcW w:w="1325" w:type="dxa"/>
            <w:tcBorders>
              <w:top w:val="nil"/>
              <w:left w:val="nil"/>
              <w:bottom w:val="single" w:color="auto" w:sz="8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22.47335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8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170.24876</w:t>
            </w:r>
          </w:p>
        </w:tc>
        <w:tc>
          <w:tcPr>
            <w:tcW w:w="1886" w:type="dxa"/>
            <w:tcBorders>
              <w:top w:val="nil"/>
              <w:left w:val="nil"/>
              <w:bottom w:val="single" w:color="auto" w:sz="8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1084.32</w:t>
            </w:r>
          </w:p>
        </w:tc>
      </w:tr>
    </w:tbl>
    <w:p>
      <w:pPr>
        <w:ind w:firstLine="420" w:firstLineChars="200"/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hint="eastAsia"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ind w:firstLine="3150" w:firstLineChars="1500"/>
        <w:rPr>
          <w:rFonts w:ascii="Times New Roman" w:hAnsi="Times New Roman" w:cs="Times New Roman"/>
          <w:szCs w:val="21"/>
          <w:highlight w:val="yellow"/>
        </w:rPr>
      </w:pPr>
    </w:p>
    <w:p>
      <w:pPr>
        <w:ind w:firstLine="3150" w:firstLineChars="1500"/>
        <w:rPr>
          <w:rFonts w:ascii="Times New Roman" w:hAnsi="Times New Roman" w:cs="Times New Roman"/>
          <w:szCs w:val="21"/>
          <w:highlight w:val="yellow"/>
        </w:rPr>
      </w:pPr>
    </w:p>
    <w:p>
      <w:pPr>
        <w:ind w:firstLine="2400" w:firstLineChars="1000"/>
        <w:rPr>
          <w:sz w:val="24"/>
        </w:rPr>
      </w:pPr>
      <w:r>
        <w:rPr>
          <w:rFonts w:hint="eastAsia" w:ascii="Times New Roman" w:hAnsi="Times New Roman" w:cs="Times New Roman"/>
          <w:sz w:val="24"/>
        </w:rPr>
        <w:t xml:space="preserve">Table S4. </w:t>
      </w:r>
      <w:r>
        <w:rPr>
          <w:rFonts w:ascii="Times New Roman" w:hAnsi="Times New Roman" w:cs="Times New Roman"/>
          <w:sz w:val="24"/>
        </w:rPr>
        <w:t>GM(1,1) model test results</w:t>
      </w:r>
    </w:p>
    <w:tbl>
      <w:tblPr>
        <w:tblStyle w:val="3"/>
        <w:tblW w:w="71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333"/>
        <w:gridCol w:w="1947"/>
        <w:gridCol w:w="20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3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Town</w:t>
            </w:r>
          </w:p>
        </w:tc>
        <w:tc>
          <w:tcPr>
            <w:tcW w:w="1333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Residual</w:t>
            </w:r>
          </w:p>
        </w:tc>
        <w:tc>
          <w:tcPr>
            <w:tcW w:w="1947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Relative error</w:t>
            </w:r>
          </w:p>
        </w:tc>
        <w:tc>
          <w:tcPr>
            <w:tcW w:w="2040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hint="eastAsia" w:ascii="Times New Roman" w:hAnsi="Times New Roman" w:cs="Times New Roman"/>
                <w:szCs w:val="21"/>
              </w:rPr>
              <w:t xml:space="preserve">Level </w:t>
            </w:r>
            <w:r>
              <w:rPr>
                <w:rFonts w:ascii="Times New Roman" w:hAnsi="Times New Roman" w:cs="Times New Roman"/>
                <w:szCs w:val="21"/>
              </w:rPr>
              <w:t>ratio deviation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  <w:jc w:val="center"/>
        </w:trPr>
        <w:tc>
          <w:tcPr>
            <w:tcW w:w="1843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Baihu </w:t>
            </w:r>
          </w:p>
        </w:tc>
        <w:tc>
          <w:tcPr>
            <w:tcW w:w="133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0.0997</w:t>
            </w:r>
          </w:p>
        </w:tc>
        <w:tc>
          <w:tcPr>
            <w:tcW w:w="1947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0.0227</w:t>
            </w:r>
          </w:p>
        </w:tc>
        <w:tc>
          <w:tcPr>
            <w:tcW w:w="2040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0.0466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Baishan 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0.0000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0.0266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0.0550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Fanshan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0.0380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0.0664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-0.0132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Guohe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0.0163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0.0410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0.0742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Jinniu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0.0267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0.0860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-0.0090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Ketan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0.0185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0.0310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0.0190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Leqiao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0.0568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0.0532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0.0402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Longqiao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0.0002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0.0923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-0.0002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Lucheng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0.0390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0.0114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-0.0244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Luohe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0.0760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0.0188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0.0306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Nihe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0.0188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0.0536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0.0356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Shengqiao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0.0407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0.0461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0.0074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Shitou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0.0012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0.0644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-0.0032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Tangchi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0.1238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0.0693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0.0264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Tongda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0.0582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0.100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-0.0820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Wanshan</w:t>
            </w:r>
            <w:r>
              <w:rPr>
                <w:rFonts w:hint="eastAsia" w:ascii="Times New Roman" w:hAnsi="Times New Roman" w:cs="Times New Roman"/>
                <w:szCs w:val="21"/>
              </w:rPr>
              <w:t xml:space="preserve"> 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0.0002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0.0696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-0.0274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Yefushan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0.0165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0.0564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-0.0210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43" w:type="dxa"/>
            <w:tcBorders>
              <w:top w:val="nil"/>
              <w:left w:val="nil"/>
              <w:bottom w:val="single" w:color="auto" w:sz="8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Total</w:t>
            </w:r>
          </w:p>
        </w:tc>
        <w:tc>
          <w:tcPr>
            <w:tcW w:w="1333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0.0371</w:t>
            </w:r>
          </w:p>
        </w:tc>
        <w:tc>
          <w:tcPr>
            <w:tcW w:w="1947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0.0535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auto" w:sz="8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  <w:lang w:bidi="ar"/>
              </w:rPr>
              <w:t>0.0091</w:t>
            </w:r>
          </w:p>
        </w:tc>
      </w:tr>
    </w:tbl>
    <w:p>
      <w:pPr>
        <w:rPr>
          <w:rFonts w:ascii="Times New Roman" w:hAnsi="Times New Roman" w:cs="Times New Roman"/>
          <w:sz w:val="20"/>
        </w:rPr>
      </w:pPr>
      <w:r>
        <w:rPr>
          <w:rFonts w:hint="eastAsia" w:ascii="Times New Roman" w:hAnsi="Times New Roman" w:cs="Times New Roman"/>
          <w:sz w:val="20"/>
        </w:rPr>
        <w:t>N</w:t>
      </w:r>
      <w:r>
        <w:rPr>
          <w:rFonts w:ascii="Times New Roman" w:hAnsi="Times New Roman" w:cs="Times New Roman"/>
          <w:sz w:val="20"/>
        </w:rPr>
        <w:t>ote: The GM(1,1) model is mainly used to test residuals, including relative error an</w:t>
      </w:r>
      <w:bookmarkStart w:id="0" w:name="_GoBack"/>
      <w:bookmarkEnd w:id="0"/>
      <w:r>
        <w:rPr>
          <w:rFonts w:ascii="Times New Roman" w:hAnsi="Times New Roman" w:cs="Times New Roman"/>
          <w:sz w:val="20"/>
        </w:rPr>
        <w:t>d step ratio deviation.</w:t>
      </w:r>
      <w:r>
        <w:rPr>
          <w:rFonts w:hint="eastAsia" w:ascii="Times New Roman" w:hAnsi="Times New Roman" w:cs="Times New Roman"/>
          <w:sz w:val="20"/>
        </w:rPr>
        <w:t xml:space="preserve"> In this study, the relative error and the level ratio deviation are both ≤0.1, and the accuracy grades are both level I, indicating that the prediction results of the GM(1,1) model are highly reliable.</w:t>
      </w:r>
    </w:p>
    <w:p>
      <w:pPr>
        <w:ind w:firstLine="400" w:firstLineChars="200"/>
        <w:rPr>
          <w:rFonts w:ascii="Times New Roman" w:hAnsi="Times New Roman" w:cs="Times New Roman"/>
          <w:sz w:val="20"/>
        </w:rPr>
      </w:pPr>
    </w:p>
    <w:p>
      <w:pPr>
        <w:ind w:firstLine="420" w:firstLineChars="200"/>
        <w:jc w:val="center"/>
        <w:rPr>
          <w:rFonts w:ascii="Times New Roman" w:hAnsi="Times New Roman" w:cs="Times New Roman"/>
        </w:rPr>
      </w:pPr>
    </w:p>
    <w:p>
      <w:pPr>
        <w:ind w:firstLine="420" w:firstLineChars="200"/>
        <w:jc w:val="center"/>
        <w:rPr>
          <w:rFonts w:ascii="Times New Roman" w:hAnsi="Times New Roman" w:cs="Times New Roman"/>
        </w:rPr>
      </w:pPr>
    </w:p>
    <w:p>
      <w:pPr>
        <w:ind w:firstLine="420" w:firstLineChars="200"/>
        <w:jc w:val="center"/>
        <w:rPr>
          <w:rFonts w:ascii="Times New Roman" w:hAnsi="Times New Roman" w:cs="Times New Roman"/>
        </w:rPr>
      </w:pPr>
    </w:p>
    <w:p>
      <w:pPr>
        <w:ind w:firstLine="420" w:firstLineChars="200"/>
        <w:jc w:val="center"/>
        <w:rPr>
          <w:rFonts w:ascii="Times New Roman" w:hAnsi="Times New Roman" w:cs="Times New Roman"/>
        </w:rPr>
      </w:pPr>
    </w:p>
    <w:p>
      <w:pPr>
        <w:ind w:firstLine="420" w:firstLineChars="200"/>
        <w:jc w:val="center"/>
        <w:rPr>
          <w:rFonts w:ascii="Times New Roman" w:hAnsi="Times New Roman" w:cs="Times New Roman"/>
        </w:rPr>
      </w:pPr>
    </w:p>
    <w:p>
      <w:pPr>
        <w:ind w:firstLine="420" w:firstLineChars="200"/>
        <w:jc w:val="center"/>
        <w:rPr>
          <w:rFonts w:ascii="Times New Roman" w:hAnsi="Times New Roman" w:cs="Times New Roman"/>
        </w:rPr>
      </w:pPr>
    </w:p>
    <w:p>
      <w:pPr>
        <w:ind w:firstLine="420" w:firstLineChars="200"/>
        <w:jc w:val="center"/>
        <w:rPr>
          <w:rFonts w:ascii="Times New Roman" w:hAnsi="Times New Roman" w:cs="Times New Roman"/>
        </w:rPr>
      </w:pPr>
    </w:p>
    <w:p>
      <w:pPr>
        <w:ind w:firstLine="420" w:firstLineChars="200"/>
        <w:jc w:val="center"/>
        <w:rPr>
          <w:rFonts w:ascii="Times New Roman" w:hAnsi="Times New Roman" w:cs="Times New Roman"/>
        </w:rPr>
      </w:pPr>
    </w:p>
    <w:p>
      <w:pPr>
        <w:ind w:firstLine="420" w:firstLineChars="200"/>
        <w:jc w:val="center"/>
        <w:rPr>
          <w:rFonts w:ascii="Times New Roman" w:hAnsi="Times New Roman" w:cs="Times New Roman"/>
        </w:rPr>
      </w:pPr>
    </w:p>
    <w:p>
      <w:pPr>
        <w:ind w:firstLine="420" w:firstLineChars="200"/>
        <w:jc w:val="center"/>
        <w:rPr>
          <w:rFonts w:ascii="Times New Roman" w:hAnsi="Times New Roman" w:cs="Times New Roman"/>
        </w:rPr>
      </w:pPr>
    </w:p>
    <w:p>
      <w:pPr>
        <w:ind w:firstLine="420" w:firstLineChars="200"/>
        <w:jc w:val="center"/>
        <w:rPr>
          <w:rFonts w:ascii="Times New Roman" w:hAnsi="Times New Roman" w:cs="Times New Roman"/>
        </w:rPr>
      </w:pPr>
    </w:p>
    <w:p>
      <w:pPr>
        <w:ind w:firstLine="420" w:firstLineChars="200"/>
        <w:jc w:val="center"/>
        <w:rPr>
          <w:rFonts w:ascii="Times New Roman" w:hAnsi="Times New Roman" w:cs="Times New Roman"/>
        </w:rPr>
      </w:pPr>
    </w:p>
    <w:p>
      <w:pPr>
        <w:ind w:firstLine="420" w:firstLineChars="200"/>
        <w:jc w:val="center"/>
        <w:rPr>
          <w:rFonts w:ascii="Times New Roman" w:hAnsi="Times New Roman" w:cs="Times New Roman"/>
        </w:rPr>
      </w:pPr>
    </w:p>
    <w:p>
      <w:pPr>
        <w:ind w:firstLine="420" w:firstLineChars="200"/>
        <w:jc w:val="center"/>
        <w:rPr>
          <w:rFonts w:ascii="Times New Roman" w:hAnsi="Times New Roman" w:cs="Times New Roman"/>
        </w:rPr>
      </w:pPr>
    </w:p>
    <w:p>
      <w:pPr>
        <w:ind w:firstLine="420" w:firstLineChars="200"/>
        <w:jc w:val="center"/>
        <w:rPr>
          <w:rFonts w:ascii="Times New Roman" w:hAnsi="Times New Roman" w:cs="Times New Roman"/>
        </w:rPr>
      </w:pPr>
    </w:p>
    <w:p>
      <w:pPr>
        <w:ind w:firstLine="420" w:firstLineChars="200"/>
        <w:jc w:val="center"/>
        <w:rPr>
          <w:rFonts w:ascii="Times New Roman" w:hAnsi="Times New Roman" w:cs="Times New Roman"/>
        </w:rPr>
      </w:pPr>
    </w:p>
    <w:p>
      <w:pPr>
        <w:ind w:firstLine="420" w:firstLineChars="200"/>
        <w:jc w:val="center"/>
        <w:rPr>
          <w:rFonts w:ascii="Times New Roman" w:hAnsi="Times New Roman" w:cs="Times New Roman"/>
        </w:rPr>
      </w:pPr>
    </w:p>
    <w:p>
      <w:pPr>
        <w:ind w:firstLine="420" w:firstLineChars="200"/>
        <w:jc w:val="center"/>
        <w:rPr>
          <w:rFonts w:ascii="Times New Roman" w:hAnsi="Times New Roman" w:cs="Times New Roman"/>
        </w:rPr>
      </w:pPr>
    </w:p>
    <w:p>
      <w:pPr>
        <w:ind w:firstLine="420" w:firstLineChars="200"/>
        <w:jc w:val="center"/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ind w:firstLine="480" w:firstLineChars="200"/>
        <w:jc w:val="center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t xml:space="preserve">Table S5. </w:t>
      </w:r>
      <w:r>
        <w:rPr>
          <w:rFonts w:ascii="Times New Roman" w:hAnsi="Times New Roman" w:cs="Times New Roman"/>
          <w:sz w:val="24"/>
        </w:rPr>
        <w:t xml:space="preserve">Ellipse parameters of standard deviation of </w:t>
      </w:r>
      <w:r>
        <w:rPr>
          <w:rFonts w:hint="eastAsia" w:ascii="Times New Roman" w:hAnsi="Times New Roman" w:cs="Times New Roman"/>
          <w:sz w:val="24"/>
        </w:rPr>
        <w:t>digestive tract</w:t>
      </w:r>
      <w:r>
        <w:rPr>
          <w:rFonts w:ascii="Times New Roman" w:hAnsi="Times New Roman" w:cs="Times New Roman"/>
          <w:sz w:val="24"/>
        </w:rPr>
        <w:t xml:space="preserve"> cancer incidence in Lujiang County from 201</w:t>
      </w:r>
      <w:r>
        <w:rPr>
          <w:rFonts w:hint="eastAsia" w:ascii="Times New Roman" w:hAnsi="Times New Roman" w:cs="Times New Roman"/>
          <w:sz w:val="24"/>
        </w:rPr>
        <w:t>8</w:t>
      </w:r>
      <w:r>
        <w:rPr>
          <w:rFonts w:ascii="Times New Roman" w:hAnsi="Times New Roman" w:cs="Times New Roman"/>
          <w:sz w:val="24"/>
        </w:rPr>
        <w:t xml:space="preserve"> to 20</w:t>
      </w:r>
      <w:r>
        <w:rPr>
          <w:rFonts w:hint="eastAsia" w:ascii="Times New Roman" w:hAnsi="Times New Roman" w:cs="Times New Roman"/>
          <w:sz w:val="24"/>
        </w:rPr>
        <w:t>25</w:t>
      </w:r>
    </w:p>
    <w:tbl>
      <w:tblPr>
        <w:tblStyle w:val="3"/>
        <w:tblW w:w="87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1220"/>
        <w:gridCol w:w="1120"/>
        <w:gridCol w:w="1310"/>
        <w:gridCol w:w="1340"/>
        <w:gridCol w:w="1220"/>
        <w:gridCol w:w="16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825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Year</w:t>
            </w:r>
          </w:p>
        </w:tc>
        <w:tc>
          <w:tcPr>
            <w:tcW w:w="1220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Xcoord</w:t>
            </w:r>
          </w:p>
        </w:tc>
        <w:tc>
          <w:tcPr>
            <w:tcW w:w="1120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Ycoord</w:t>
            </w:r>
          </w:p>
        </w:tc>
        <w:tc>
          <w:tcPr>
            <w:tcW w:w="1310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XStdDist</w:t>
            </w:r>
          </w:p>
        </w:tc>
        <w:tc>
          <w:tcPr>
            <w:tcW w:w="1340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YStdDist</w:t>
            </w:r>
          </w:p>
        </w:tc>
        <w:tc>
          <w:tcPr>
            <w:tcW w:w="1220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Rotation</w:t>
            </w:r>
          </w:p>
        </w:tc>
        <w:tc>
          <w:tcPr>
            <w:tcW w:w="1678" w:type="dxa"/>
            <w:tcBorders>
              <w:top w:val="single" w:color="auto" w:sz="8" w:space="0"/>
              <w:left w:val="nil"/>
              <w:bottom w:val="single" w:color="auto" w:sz="4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Shape_area/km²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5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2018</w:t>
            </w:r>
          </w:p>
        </w:tc>
        <w:tc>
          <w:tcPr>
            <w:tcW w:w="1220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117.277054</w:t>
            </w:r>
          </w:p>
        </w:tc>
        <w:tc>
          <w:tcPr>
            <w:tcW w:w="1120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31.286751</w:t>
            </w:r>
          </w:p>
        </w:tc>
        <w:tc>
          <w:tcPr>
            <w:tcW w:w="1310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15.25476</w:t>
            </w:r>
          </w:p>
        </w:tc>
        <w:tc>
          <w:tcPr>
            <w:tcW w:w="1340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22.32633</w:t>
            </w:r>
          </w:p>
        </w:tc>
        <w:tc>
          <w:tcPr>
            <w:tcW w:w="1220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168.263567</w:t>
            </w:r>
          </w:p>
        </w:tc>
        <w:tc>
          <w:tcPr>
            <w:tcW w:w="1678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1069.91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2019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117.275474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31.292448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15.18283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22.18749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167.773938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1058.24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2020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117.273816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31.295195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15.10749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22.03643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167.299768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1045.82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2021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117.272079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31.297995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14.94629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21.69436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166.403244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1018.60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2022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117.270264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31.300848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14.94629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21.69436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166.403244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1018.60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2023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117.268372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31.303754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14.86022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21.50158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165.984706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1003.73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2024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117.266403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31.306713</w:t>
            </w: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14.77043</w:t>
            </w:r>
          </w:p>
        </w:tc>
        <w:tc>
          <w:tcPr>
            <w:tcW w:w="134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21.29300</w:t>
            </w: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165.588877</w:t>
            </w:r>
          </w:p>
        </w:tc>
        <w:tc>
          <w:tcPr>
            <w:tcW w:w="167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987.99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2025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8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117.26436</w:t>
            </w:r>
          </w:p>
        </w:tc>
        <w:tc>
          <w:tcPr>
            <w:tcW w:w="1120" w:type="dxa"/>
            <w:tcBorders>
              <w:top w:val="nil"/>
              <w:left w:val="nil"/>
              <w:bottom w:val="single" w:color="auto" w:sz="8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31.309725</w:t>
            </w:r>
          </w:p>
        </w:tc>
        <w:tc>
          <w:tcPr>
            <w:tcW w:w="1310" w:type="dxa"/>
            <w:tcBorders>
              <w:top w:val="nil"/>
              <w:left w:val="nil"/>
              <w:bottom w:val="single" w:color="auto" w:sz="8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14.67678</w:t>
            </w:r>
          </w:p>
        </w:tc>
        <w:tc>
          <w:tcPr>
            <w:tcW w:w="1340" w:type="dxa"/>
            <w:tcBorders>
              <w:top w:val="nil"/>
              <w:left w:val="nil"/>
              <w:bottom w:val="single" w:color="auto" w:sz="8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21.06763</w:t>
            </w:r>
          </w:p>
        </w:tc>
        <w:tc>
          <w:tcPr>
            <w:tcW w:w="1220" w:type="dxa"/>
            <w:tcBorders>
              <w:top w:val="nil"/>
              <w:left w:val="nil"/>
              <w:bottom w:val="single" w:color="auto" w:sz="8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165.218326</w:t>
            </w:r>
          </w:p>
        </w:tc>
        <w:tc>
          <w:tcPr>
            <w:tcW w:w="1678" w:type="dxa"/>
            <w:tcBorders>
              <w:top w:val="nil"/>
              <w:left w:val="nil"/>
              <w:bottom w:val="single" w:color="auto" w:sz="8" w:space="0"/>
              <w:right w:val="nil"/>
            </w:tcBorders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971.34</w:t>
            </w:r>
          </w:p>
        </w:tc>
      </w:tr>
    </w:tbl>
    <w:p>
      <w:pPr>
        <w:tabs>
          <w:tab w:val="left" w:pos="2167"/>
        </w:tabs>
        <w:jc w:val="left"/>
        <w:rPr>
          <w:rFonts w:ascii="Times New Roman" w:hAnsi="Times New Roman" w:cs="Times New Roman"/>
        </w:rPr>
      </w:pPr>
    </w:p>
    <w:p>
      <w:pPr>
        <w:tabs>
          <w:tab w:val="left" w:pos="2167"/>
        </w:tabs>
        <w:jc w:val="left"/>
        <w:rPr>
          <w:rFonts w:ascii="Times New Roman" w:hAnsi="Times New Roman" w:cs="Times New Roman"/>
        </w:rPr>
      </w:pPr>
    </w:p>
    <w:p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drawing>
          <wp:inline distT="0" distB="0" distL="114300" distR="114300">
            <wp:extent cx="5272405" cy="6155690"/>
            <wp:effectExtent l="0" t="0" r="4445" b="16510"/>
            <wp:docPr id="1" name="图片 1" descr="规模以上工业企业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规模以上工业企业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6155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 w:val="24"/>
        </w:rPr>
        <w:t>F</w:t>
      </w:r>
      <w:r>
        <w:rPr>
          <w:rFonts w:hint="eastAsia" w:ascii="Times New Roman" w:hAnsi="Times New Roman" w:cs="Times New Roman"/>
          <w:sz w:val="24"/>
        </w:rPr>
        <w:t>ig.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hint="eastAsia" w:ascii="Times New Roman" w:hAnsi="Times New Roman" w:cs="Times New Roman"/>
          <w:sz w:val="24"/>
        </w:rPr>
        <w:t xml:space="preserve">S1. </w:t>
      </w:r>
      <w:r>
        <w:rPr>
          <w:rFonts w:ascii="Times New Roman" w:hAnsi="Times New Roman" w:cs="Times New Roman"/>
          <w:sz w:val="24"/>
        </w:rPr>
        <w:t>Number of industrial enterprises above designated size (annual operating income&gt; 20 million)</w:t>
      </w: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ind w:firstLine="420" w:firstLineChars="200"/>
        <w:jc w:val="left"/>
        <w:rPr>
          <w:rFonts w:ascii="Times New Roman" w:hAnsi="Times New Roman" w:cs="Times New Roman"/>
        </w:rPr>
      </w:pPr>
    </w:p>
    <w:p>
      <w:pPr>
        <w:tabs>
          <w:tab w:val="left" w:pos="312"/>
        </w:tabs>
        <w:jc w:val="left"/>
        <w:rPr>
          <w:rFonts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58757F"/>
    <w:rsid w:val="001751A4"/>
    <w:rsid w:val="00503531"/>
    <w:rsid w:val="007D22F5"/>
    <w:rsid w:val="00AA4F1F"/>
    <w:rsid w:val="010227DB"/>
    <w:rsid w:val="0358757F"/>
    <w:rsid w:val="070427FC"/>
    <w:rsid w:val="13374428"/>
    <w:rsid w:val="23AE0142"/>
    <w:rsid w:val="26E24268"/>
    <w:rsid w:val="2A1726A7"/>
    <w:rsid w:val="3E4C43E7"/>
    <w:rsid w:val="3FBE79B0"/>
    <w:rsid w:val="4C6631F5"/>
    <w:rsid w:val="4EC62BB2"/>
    <w:rsid w:val="573A00BD"/>
    <w:rsid w:val="59140A2A"/>
    <w:rsid w:val="59157CC4"/>
    <w:rsid w:val="649829AA"/>
    <w:rsid w:val="668E1081"/>
    <w:rsid w:val="6AA45DB9"/>
    <w:rsid w:val="6B0833F0"/>
    <w:rsid w:val="6BC00305"/>
    <w:rsid w:val="7F7A09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574</Words>
  <Characters>3278</Characters>
  <Lines>27</Lines>
  <Paragraphs>7</Paragraphs>
  <TotalTime>1</TotalTime>
  <ScaleCrop>false</ScaleCrop>
  <LinksUpToDate>false</LinksUpToDate>
  <CharactersWithSpaces>3845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2021-07-17T05:19:00Z</dcterms:created>
  <dc:creator>一辑溪，流溢</dc:creator>
  <cp:lastModifiedBy>一辑溪，流溢</cp:lastModifiedBy>
  <dcterms:modified xsi:type="dcterms:W3CDTF">2021-08-04T08:24:17Z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