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/>
          <w:b/>
          <w:bCs/>
          <w:color w:val="000000"/>
          <w:sz w:val="28"/>
          <w:szCs w:val="36"/>
          <w:highlight w:val="none"/>
          <w:lang w:val="en-US" w:eastAsia="zh-CN"/>
        </w:rPr>
      </w:pPr>
      <w:bookmarkStart w:id="0" w:name="OLE_LINK259"/>
      <w:bookmarkStart w:id="1" w:name="OLE_LINK258"/>
      <w:r>
        <w:rPr>
          <w:rFonts w:hint="eastAsia" w:ascii="Times New Roman" w:hAnsi="Times New Roman"/>
          <w:b/>
          <w:bCs/>
          <w:color w:val="000000"/>
          <w:sz w:val="28"/>
          <w:szCs w:val="36"/>
          <w:highlight w:val="none"/>
          <w:lang w:val="en-US" w:eastAsia="zh-CN"/>
        </w:rPr>
        <w:t>LDL-C/HDL-C and carotid plaques in patients with coronary heart disease: A Chinese cohort study</w:t>
      </w:r>
    </w:p>
    <w:p>
      <w:pPr>
        <w:spacing w:line="480" w:lineRule="auto"/>
        <w:jc w:val="both"/>
        <w:rPr>
          <w:rFonts w:hint="eastAsia" w:ascii="Times New Roman" w:hAnsi="Times New Roman" w:eastAsia="宋体" w:cs="Times New Roman"/>
          <w:color w:val="000000"/>
          <w:sz w:val="24"/>
          <w:szCs w:val="24"/>
          <w:highlight w:val="none"/>
          <w:vertAlign w:val="superscript"/>
          <w:lang w:eastAsia="zh-CN"/>
        </w:rPr>
      </w:pP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Zhu Li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  <w:t>,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 Qi Cheng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  <w:t>,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 Yijia Liu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  <w:vertAlign w:val="superscript"/>
        </w:rPr>
        <w:t>1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, Xufeng Cheng, Shuo Wang, Yuanyuan He, Xu Wang, Mengnan Huang, Yue Li, Xiaoxue Xue, Yilan Xu, Lin Li, Yanchao Zheng, Rongrong Yang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, Shan Gao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, Chunquan Yu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bookmarkStart w:id="3" w:name="_GoBack"/>
      <w:bookmarkEnd w:id="3"/>
    </w:p>
    <w:bookmarkEnd w:id="0"/>
    <w:bookmarkEnd w:id="1"/>
    <w:p>
      <w:pPr>
        <w:spacing w:line="480" w:lineRule="auto"/>
        <w:ind w:left="240" w:hanging="240" w:hangingChars="100"/>
        <w:jc w:val="both"/>
        <w:rPr>
          <w:rFonts w:hint="eastAsia" w:ascii="Times New Roman" w:hAnsi="Times New Roman" w:cs="Times New Roman"/>
          <w:color w:val="000000"/>
          <w:sz w:val="24"/>
          <w:highlight w:val="none"/>
        </w:rPr>
      </w:pPr>
      <w:bookmarkStart w:id="2" w:name="OLE_LINK65"/>
      <w:r>
        <w:rPr>
          <w:rFonts w:ascii="Times New Roman" w:hAnsi="Times New Roman" w:cs="Times New Roman"/>
          <w:color w:val="000000"/>
          <w:sz w:val="24"/>
          <w:highlight w:val="none"/>
        </w:rPr>
        <w:t>Tianjin University of Traditional Chinese Medicine, 10 Poyanghu Road, West Area, Tuanbo New Town, Jinghai District, Tianjin 301617, China</w:t>
      </w:r>
      <w:r>
        <w:rPr>
          <w:rFonts w:hint="eastAsia" w:ascii="Times New Roman" w:hAnsi="Times New Roman" w:cs="Times New Roman"/>
          <w:color w:val="000000"/>
          <w:sz w:val="24"/>
          <w:highlight w:val="none"/>
        </w:rPr>
        <w:t>.</w:t>
      </w:r>
    </w:p>
    <w:p>
      <w:pPr>
        <w:spacing w:line="480" w:lineRule="auto"/>
        <w:ind w:left="240" w:hanging="240" w:hangingChars="100"/>
        <w:jc w:val="both"/>
        <w:rPr>
          <w:rFonts w:hint="eastAsia" w:ascii="Times New Roman" w:hAnsi="Times New Roman" w:cs="Times New Roman"/>
          <w:color w:val="000000"/>
          <w:sz w:val="24"/>
          <w:highlight w:val="none"/>
        </w:rPr>
      </w:pPr>
    </w:p>
    <w:bookmarkEnd w:id="2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  <w:vertAlign w:val="superscript"/>
        </w:rPr>
        <w:t>1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</w:rPr>
        <w:t xml:space="preserve">Note: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>These t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hree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 xml:space="preserve"> authors are co-first authors.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default" w:ascii="Times New Roman" w:hAnsi="Times New Roman" w:cs="Times New Roman"/>
          <w:b/>
          <w:bCs/>
          <w:color w:val="000000"/>
          <w:sz w:val="24"/>
          <w:szCs w:val="24"/>
          <w:highlight w:val="none"/>
        </w:rPr>
        <w:t xml:space="preserve">Note: 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>These three authors are co-c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  <w:lang w:val="en-GB"/>
        </w:rPr>
        <w:t>orresponding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 xml:space="preserve"> authors, and 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the</w:t>
      </w:r>
      <w:r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  <w:t xml:space="preserve"> first corresponding author is Chunquan Yu.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auto"/>
        <w:rPr>
          <w:rFonts w:hint="default" w:ascii="Times New Roman" w:hAnsi="Times New Roman" w:cs="Times New Roman"/>
          <w:color w:val="000000"/>
          <w:sz w:val="24"/>
          <w:szCs w:val="24"/>
          <w:highlight w:val="none"/>
        </w:rPr>
      </w:pPr>
    </w:p>
    <w:p>
      <w:pPr>
        <w:numPr>
          <w:ilvl w:val="0"/>
          <w:numId w:val="0"/>
        </w:numPr>
        <w:spacing w:line="480" w:lineRule="auto"/>
        <w:jc w:val="both"/>
        <w:rPr>
          <w:rFonts w:hint="default" w:ascii="Times New Roman" w:hAnsi="Times New Roman" w:cs="Times New Roman"/>
          <w:b/>
          <w:bCs/>
          <w:color w:val="000000"/>
          <w:sz w:val="28"/>
          <w:szCs w:val="36"/>
          <w:highlight w:val="none"/>
          <w:lang w:val="en-US" w:eastAsia="zh-CN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highlight w:val="none"/>
        </w:rPr>
        <w:t>Corresponding Author</w:t>
      </w:r>
      <w:r>
        <w:rPr>
          <w:rFonts w:hint="eastAsia" w:ascii="Times New Roman" w:hAnsi="Times New Roman" w:cs="Times New Roman"/>
          <w:b/>
          <w:bCs/>
          <w:color w:val="000000"/>
          <w:sz w:val="24"/>
          <w:szCs w:val="24"/>
          <w:highlight w:val="none"/>
        </w:rPr>
        <w:t>s</w:t>
      </w:r>
    </w:p>
    <w:p>
      <w:pPr>
        <w:spacing w:line="480" w:lineRule="auto"/>
        <w:jc w:val="both"/>
        <w:rPr>
          <w:rFonts w:hint="default" w:ascii="Times New Roman" w:hAnsi="Times New Roman" w:eastAsia="宋体" w:cs="Times New Roman"/>
          <w:color w:val="000000"/>
          <w:sz w:val="24"/>
          <w:szCs w:val="24"/>
          <w:highlight w:val="none"/>
          <w:vertAlign w:val="superscript"/>
          <w:lang w:val="en-US" w:eastAsia="zh-CN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Chunquan Yu, 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  <w:t>Tianjin University of Traditional Chinese Medicine, Tianjin, 301617, China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>. E-mail: ycqtjutcm@foxmail.com</w:t>
      </w:r>
    </w:p>
    <w:p>
      <w:pPr>
        <w:spacing w:line="480" w:lineRule="auto"/>
        <w:jc w:val="both"/>
        <w:rPr>
          <w:rFonts w:hint="eastAsia" w:ascii="Times New Roman" w:hAnsi="Times New Roman"/>
          <w:b w:val="0"/>
          <w:bCs w:val="0"/>
          <w:color w:val="000000"/>
          <w:sz w:val="24"/>
          <w:szCs w:val="24"/>
          <w:highlight w:val="non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Shan Gao, 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  <w:t>Tianjin University of Traditional Chinese Medicine, Tianjin, 301617, China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E-mail: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bianjibugs@163.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highlight w:val="none"/>
        </w:rPr>
        <w:t>com</w:t>
      </w:r>
    </w:p>
    <w:p>
      <w:pPr>
        <w:spacing w:line="480" w:lineRule="auto"/>
        <w:jc w:val="both"/>
        <w:rPr>
          <w:rFonts w:hint="eastAsia" w:ascii="Times New Roman" w:hAnsi="Times New Roman"/>
          <w:b w:val="0"/>
          <w:bCs w:val="0"/>
          <w:color w:val="000000"/>
          <w:sz w:val="24"/>
          <w:szCs w:val="24"/>
          <w:highlight w:val="none"/>
        </w:rPr>
      </w:pPr>
      <w:r>
        <w:rPr>
          <w:rFonts w:ascii="Times New Roman" w:hAnsi="Times New Roman" w:cs="Times New Roman"/>
          <w:color w:val="000000"/>
          <w:sz w:val="24"/>
          <w:szCs w:val="24"/>
          <w:highlight w:val="none"/>
          <w:vertAlign w:val="superscript"/>
        </w:rPr>
        <w:t>*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Rongrong Yang, </w:t>
      </w:r>
      <w:r>
        <w:rPr>
          <w:rFonts w:ascii="Times New Roman" w:hAnsi="Times New Roman" w:cs="Times New Roman"/>
          <w:color w:val="000000"/>
          <w:sz w:val="24"/>
          <w:szCs w:val="24"/>
          <w:highlight w:val="none"/>
        </w:rPr>
        <w:t>Tianjin University of Traditional Chinese Medicine, Tianjin, 301617, China</w:t>
      </w:r>
      <w:r>
        <w:rPr>
          <w:rFonts w:hint="eastAsia" w:ascii="Times New Roman" w:hAnsi="Times New Roman" w:cs="Times New Roman"/>
          <w:color w:val="000000"/>
          <w:sz w:val="24"/>
          <w:szCs w:val="24"/>
          <w:highlight w:val="none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E-mail:</w:t>
      </w:r>
      <w:r>
        <w:rPr>
          <w:rFonts w:hint="eastAsia" w:ascii="Times New Roman" w:hAnsi="Times New Roman"/>
          <w:b w:val="0"/>
          <w:bCs w:val="0"/>
          <w:color w:val="000000"/>
          <w:sz w:val="24"/>
          <w:szCs w:val="24"/>
          <w:highlight w:val="none"/>
        </w:rPr>
        <w:t>rongrong0423@hotmail.com</w:t>
      </w: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480" w:lineRule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</w:pPr>
    </w:p>
    <w:p>
      <w:pPr>
        <w:spacing w:line="480" w:lineRule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highlight w:val="none"/>
          <w:lang w:val="en-US" w:eastAsia="zh-CN"/>
        </w:rPr>
        <w:t>E</w:t>
      </w:r>
      <w:r>
        <w:rPr>
          <w:rFonts w:hint="default" w:ascii="Times New Roman" w:hAnsi="Times New Roman"/>
          <w:b/>
          <w:bCs/>
          <w:sz w:val="24"/>
          <w:highlight w:val="none"/>
        </w:rPr>
        <w:t>lectronic supplementary material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32"/>
          <w:highlight w:val="none"/>
        </w:rPr>
        <w:t>Table Legends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32"/>
          <w:highlight w:val="none"/>
          <w:lang w:val="en-US" w:eastAsia="zh-CN"/>
        </w:rPr>
        <w:t>:</w:t>
      </w:r>
    </w:p>
    <w:p>
      <w:pPr>
        <w:spacing w:line="480" w:lineRule="auto"/>
        <w:jc w:val="left"/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>ESM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. Association of lipid and carotid plaque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 xml:space="preserve"> number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.</w:t>
      </w:r>
    </w:p>
    <w:p>
      <w:pPr>
        <w:tabs>
          <w:tab w:val="left" w:pos="9572"/>
        </w:tabs>
        <w:spacing w:line="480" w:lineRule="auto"/>
        <w:jc w:val="left"/>
        <w:rPr>
          <w:rFonts w:hint="eastAsia" w:ascii="Times New Roman" w:hAnsi="Times New Roman" w:eastAsia="宋体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>ESM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. Association between lipid and carotid plaque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 xml:space="preserve">s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echogenicity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.</w:t>
      </w:r>
    </w:p>
    <w:p>
      <w:p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ESM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. Odds ratios (OR) and 95% confidence intervals (CI) of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arotid plaques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in relation to lifestyle among people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with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LDL/HDL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(＞3mmol/L)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(unfavourable lifestyle as reference)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.</w:t>
      </w:r>
    </w:p>
    <w:p>
      <w:pPr>
        <w:spacing w:line="480" w:lineRule="auto"/>
        <w:jc w:val="both"/>
        <w:rPr>
          <w:rFonts w:hint="eastAsia" w:ascii="Times New Roman" w:hAnsi="Times New Roman"/>
          <w:b/>
          <w:bCs/>
          <w:color w:val="auto"/>
          <w:sz w:val="24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720" w:num="1"/>
          <w:docGrid w:type="lines" w:linePitch="312" w:charSpace="0"/>
        </w:sect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ESM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. Additive interaction between lifestyle and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color w:val="auto"/>
          <w:highlight w:val="none"/>
          <w:vertAlign w:val="baseline"/>
          <w:lang w:val="en-US" w:eastAsia="zh-CN"/>
        </w:rPr>
        <w:t>LDL/HDL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for the risk of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highlight w:val="none"/>
        </w:rPr>
        <w:t>arotid plaques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highlight w:val="none"/>
          <w:lang w:val="en-US" w:eastAsia="zh-CN"/>
        </w:rPr>
        <w:t>.</w:t>
      </w:r>
    </w:p>
    <w:p>
      <w:pPr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</w:pPr>
    </w:p>
    <w:p>
      <w:pPr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24"/>
          <w:highlight w:val="none"/>
          <w:lang w:val="en-US" w:eastAsia="zh-CN"/>
        </w:rPr>
        <w:t>ESM</w:t>
      </w:r>
      <w:r>
        <w:rPr>
          <w:rFonts w:hint="default" w:ascii="Times New Roman" w:hAnsi="Times New Roman"/>
          <w:b/>
          <w:bCs/>
          <w:color w:val="auto"/>
          <w:sz w:val="24"/>
          <w:highlight w:val="none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>1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>. Association of plasma lipid and carotid plaque number</w:t>
      </w:r>
    </w:p>
    <w:tbl>
      <w:tblPr>
        <w:tblStyle w:val="4"/>
        <w:tblW w:w="10856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2394"/>
        <w:gridCol w:w="2090"/>
        <w:gridCol w:w="2066"/>
        <w:gridCol w:w="202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278" w:type="dxa"/>
            <w:vMerge w:val="restart"/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Lipid profile</w:t>
            </w:r>
          </w:p>
        </w:tc>
        <w:tc>
          <w:tcPr>
            <w:tcW w:w="857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Number of carotid plaques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2278" w:type="dxa"/>
            <w:vMerge w:val="continue"/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484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4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=365)</w:t>
            </w:r>
          </w:p>
        </w:tc>
        <w:tc>
          <w:tcPr>
            <w:tcW w:w="4094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≥2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4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=6624)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2278" w:type="dxa"/>
            <w:vMerge w:val="continue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394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2090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2066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2028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TC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(0.99-1.1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0.95(0.91-0.9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TG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(0.9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1.00(0.9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1.02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HDL-C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0.49(0.33-0.72)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0.95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(0.43-0.59)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0.92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LDL-C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1.29(1.1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(1.02-1.13)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  <w:lang w:eastAsia="zh-CN"/>
              </w:rPr>
              <w:t>non-HDL-C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0.99(0.95-1.03)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TC/HDL-C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1.22(1.1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-1.32)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1.11(1.07-1.15)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-1.12)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LDL-C/HDL-C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-1.60)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1.33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1.25(1.19-1.3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TG/HDL-C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(0.9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-1.11)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0.99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1.01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227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  <w:lang w:eastAsia="zh-CN"/>
              </w:rPr>
              <w:t>non-HDL-C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highlight w:val="none"/>
              </w:rPr>
              <w:t>/HDL</w:t>
            </w:r>
            <w:r>
              <w:rPr>
                <w:rFonts w:hint="default" w:ascii="Times New Roman" w:hAnsi="Times New Roman" w:eastAsia="MinionPro-Regular" w:cs="Times New Roman"/>
                <w:b w:val="0"/>
                <w:bCs w:val="0"/>
                <w:color w:val="auto"/>
                <w:kern w:val="0"/>
                <w:sz w:val="24"/>
                <w:highlight w:val="none"/>
                <w:lang w:bidi="ar"/>
              </w:rPr>
              <w:t>-C</w:t>
            </w:r>
          </w:p>
        </w:tc>
        <w:tc>
          <w:tcPr>
            <w:tcW w:w="239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1.22(1.1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-1.32)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9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6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1.11(1.07-1.15)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202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-1.12)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vertAlign w:val="superscript"/>
                <w:lang w:eastAsia="zh-CN"/>
              </w:rPr>
              <w:t>**</w:t>
            </w:r>
          </w:p>
        </w:tc>
      </w:tr>
    </w:tbl>
    <w:p>
      <w:pPr>
        <w:spacing w:line="480" w:lineRule="auto"/>
        <w:jc w:val="both"/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Crude model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: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un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vertAlign w:val="superscript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: 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 for age, sex, SBP, DBP</w:t>
      </w:r>
      <w:r>
        <w:rPr>
          <w:rFonts w:hint="eastAsia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 xml:space="preserve">, </w:t>
      </w:r>
      <w:r>
        <w:rPr>
          <w:rFonts w:ascii="Times New Roman" w:hAnsi="Times New Roman" w:eastAsia="MinionPro-Regular"/>
          <w:color w:val="auto"/>
          <w:kern w:val="0"/>
          <w:sz w:val="24"/>
          <w:highlight w:val="none"/>
          <w:lang w:bidi="ar"/>
        </w:rPr>
        <w:t>HbA1c</w:t>
      </w:r>
      <w:r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  <w:t xml:space="preserve">; </w:t>
      </w:r>
    </w:p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Compared with 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no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carotid plaque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: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&lt; 0.05,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**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&lt; 0.01.</w:t>
      </w:r>
    </w:p>
    <w:p>
      <w:pPr>
        <w:tabs>
          <w:tab w:val="left" w:pos="9572"/>
        </w:tabs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720" w:num="1"/>
          <w:docGrid w:type="lines" w:linePitch="312" w:charSpace="0"/>
        </w:sectPr>
      </w:pPr>
    </w:p>
    <w:p>
      <w:pPr>
        <w:tabs>
          <w:tab w:val="left" w:pos="9572"/>
        </w:tabs>
        <w:spacing w:line="480" w:lineRule="auto"/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</w:pPr>
      <w:r>
        <w:rPr>
          <w:rFonts w:hint="eastAsia" w:ascii="Times New Roman" w:hAnsi="Times New Roman"/>
          <w:b/>
          <w:bCs/>
          <w:color w:val="auto"/>
          <w:sz w:val="24"/>
          <w:highlight w:val="none"/>
          <w:lang w:val="en-US" w:eastAsia="zh-CN"/>
        </w:rPr>
        <w:t xml:space="preserve">ESM 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>. Association between lipid and carotid plaque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 xml:space="preserve"> echogenicity</w:t>
      </w:r>
    </w:p>
    <w:tbl>
      <w:tblPr>
        <w:tblStyle w:val="4"/>
        <w:tblpPr w:leftFromText="180" w:rightFromText="180" w:vertAnchor="text" w:horzAnchor="page" w:tblpX="246" w:tblpY="291"/>
        <w:tblOverlap w:val="never"/>
        <w:tblW w:w="16694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1800"/>
        <w:gridCol w:w="1780"/>
        <w:gridCol w:w="1760"/>
        <w:gridCol w:w="1770"/>
        <w:gridCol w:w="1800"/>
        <w:gridCol w:w="1818"/>
        <w:gridCol w:w="1810"/>
        <w:gridCol w:w="193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220" w:type="dxa"/>
            <w:vMerge w:val="restart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Lipid profile</w:t>
            </w:r>
          </w:p>
        </w:tc>
        <w:tc>
          <w:tcPr>
            <w:tcW w:w="14474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MinionPro-Regular" w:cs="Times New Roman"/>
                <w:color w:val="auto"/>
                <w:kern w:val="0"/>
                <w:sz w:val="22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arotid plaque echogenicity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3580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Hypoechoic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2"/>
                <w:szCs w:val="22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454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3530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Isoechoic(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2"/>
                <w:szCs w:val="22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3618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Hyperechoic(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2"/>
                <w:szCs w:val="22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3846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3746" w:type="dxa"/>
            <w:gridSpan w:val="2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Mixture(</w:t>
            </w:r>
            <w:r>
              <w:rPr>
                <w:rFonts w:hint="default" w:ascii="Times New Roman" w:hAnsi="Times New Roman" w:cs="Times New Roman"/>
                <w:i/>
                <w:iCs/>
                <w:color w:val="auto"/>
                <w:sz w:val="22"/>
                <w:szCs w:val="22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=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2075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2220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17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76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177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80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181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b</w:t>
            </w:r>
          </w:p>
        </w:tc>
        <w:tc>
          <w:tcPr>
            <w:tcW w:w="181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193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OR(95 %CI)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TC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-1.05)</w:t>
            </w:r>
          </w:p>
        </w:tc>
        <w:tc>
          <w:tcPr>
            <w:tcW w:w="178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6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(0.94-1.10)</w:t>
            </w:r>
          </w:p>
        </w:tc>
        <w:tc>
          <w:tcPr>
            <w:tcW w:w="177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8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810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(0.93-1.0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936" w:type="dxa"/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TG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(0.92-1.06)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0.99(0.95-1.0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1.02(0.9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-1.06)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(0.34-0.69)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0.37(0.26-0.5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(0.45-0.6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0.48(0.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-0.59)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LDL-C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1.23(1.12-1.36)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(1.01-1.1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1.08(1.0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non-HDL-C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1.01(0.9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.1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(1.00-1.1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0.97(0.93-1.0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(0.97-1.08)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TC/HDL-C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(1.02-1.18)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.1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1.22(1.1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1.10(1.0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-1.14)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LDL-C/HDL-C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(1.12-1.3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1.46(1.3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-1.60)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1.24(1.1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TG/HDL-C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1.03(0.9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-1.09)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(0.97-1.85)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0.9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(0.9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1.02(0.99-1.05)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(1.00-1.07)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222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non-HDL-C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2"/>
                <w:szCs w:val="22"/>
                <w:highlight w:val="none"/>
              </w:rPr>
              <w:t>/HDL-C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(1.02-1.18)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.1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6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1.22(1.1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-1.3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1.10(1.0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-1.14)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1.07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810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  <w:tc>
          <w:tcPr>
            <w:tcW w:w="1936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480" w:lineRule="auto"/>
              <w:jc w:val="left"/>
              <w:rPr>
                <w:rFonts w:hint="eastAsia" w:ascii="Times New Roman" w:hAnsi="Times New Roman" w:eastAsia="宋体" w:cs="Times New Roman"/>
                <w:color w:val="auto"/>
                <w:kern w:val="2"/>
                <w:sz w:val="22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1.1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(1.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-1.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highlight w:val="none"/>
              </w:rPr>
              <w:t>)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highlight w:val="none"/>
                <w:vertAlign w:val="superscript"/>
                <w:lang w:eastAsia="zh-CN"/>
              </w:rPr>
              <w:t>**</w:t>
            </w:r>
          </w:p>
        </w:tc>
      </w:tr>
    </w:tbl>
    <w:p>
      <w:pPr>
        <w:spacing w:line="480" w:lineRule="auto"/>
        <w:jc w:val="both"/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>Crude model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: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un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vertAlign w:val="superscript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1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: 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 for age, sex, SBP, DBP</w:t>
      </w:r>
      <w:r>
        <w:rPr>
          <w:rFonts w:hint="eastAsia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 xml:space="preserve">, </w:t>
      </w:r>
      <w:r>
        <w:rPr>
          <w:rFonts w:ascii="Times New Roman" w:hAnsi="Times New Roman" w:eastAsia="MinionPro-Regular"/>
          <w:color w:val="auto"/>
          <w:kern w:val="0"/>
          <w:sz w:val="24"/>
          <w:highlight w:val="none"/>
          <w:lang w:bidi="ar"/>
        </w:rPr>
        <w:t>HbA1c</w:t>
      </w:r>
      <w:r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  <w:t xml:space="preserve">; </w:t>
      </w:r>
    </w:p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Compared with 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no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carotid plaque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s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: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&lt; 0.05,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**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&lt; 0.01.</w:t>
      </w:r>
    </w:p>
    <w:p>
      <w:pPr>
        <w:spacing w:line="480" w:lineRule="auto"/>
        <w:rPr>
          <w:rFonts w:hint="default" w:ascii="Times New Roman" w:hAnsi="Times New Roman" w:cs="Times New Roman"/>
          <w:b/>
          <w:bCs/>
          <w:color w:val="auto"/>
          <w:highlight w:val="none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spacing w:line="480" w:lineRule="auto"/>
        <w:jc w:val="both"/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1" w:restart="continuous"/>
          <w:cols w:space="425" w:num="1"/>
          <w:docGrid w:type="lines" w:linePitch="312" w:charSpace="0"/>
        </w:sectPr>
      </w:pPr>
    </w:p>
    <w:p>
      <w:pPr>
        <w:spacing w:line="480" w:lineRule="auto"/>
        <w:jc w:val="both"/>
        <w:rPr>
          <w:rFonts w:hint="default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ESM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. Odds ratios (ORs) and 95% confidence intervals (CIs) of 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>arotid plaques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in relation to lifestyle among people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with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LDL/HDL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(＞3mmol/L)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(unfavourable lifestyle as reference)</w:t>
      </w:r>
    </w:p>
    <w:tbl>
      <w:tblPr>
        <w:tblStyle w:val="4"/>
        <w:tblW w:w="8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410"/>
        <w:gridCol w:w="910"/>
        <w:gridCol w:w="2090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Lifestyle</w:t>
            </w:r>
          </w:p>
        </w:tc>
        <w:tc>
          <w:tcPr>
            <w:tcW w:w="6471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LDL/HDL(＞3mmol/L)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741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Subjects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Case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OR (95% CI)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20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OR (95% CI)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Unfavourable 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1093</w:t>
            </w:r>
          </w:p>
        </w:tc>
        <w:tc>
          <w:tcPr>
            <w:tcW w:w="91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943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Reference</w:t>
            </w:r>
          </w:p>
        </w:tc>
        <w:tc>
          <w:tcPr>
            <w:tcW w:w="2061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Intermediate 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14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201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0.72(0.66-0.79)</w:t>
            </w:r>
          </w:p>
        </w:tc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70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64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78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Favourable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571</w:t>
            </w:r>
          </w:p>
        </w:tc>
        <w:tc>
          <w:tcPr>
            <w:tcW w:w="91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373</w:t>
            </w:r>
          </w:p>
        </w:tc>
        <w:tc>
          <w:tcPr>
            <w:tcW w:w="209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0.30(0.29-0.33)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 w:line="48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33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-0.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37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)</w:t>
            </w:r>
          </w:p>
        </w:tc>
      </w:tr>
    </w:tbl>
    <w:p>
      <w:pPr>
        <w:spacing w:line="480" w:lineRule="auto"/>
        <w:jc w:val="both"/>
        <w:rPr>
          <w:rFonts w:hint="default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1: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un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;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vertAlign w:val="superscript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2: 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 for age, sex, SBP, DBP</w:t>
      </w:r>
      <w:r>
        <w:rPr>
          <w:rFonts w:hint="eastAsia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 xml:space="preserve">, </w:t>
      </w:r>
      <w:r>
        <w:rPr>
          <w:rFonts w:ascii="Times New Roman" w:hAnsi="Times New Roman" w:eastAsia="MinionPro-Regular"/>
          <w:color w:val="auto"/>
          <w:kern w:val="0"/>
          <w:sz w:val="24"/>
          <w:highlight w:val="none"/>
          <w:lang w:bidi="ar"/>
        </w:rPr>
        <w:t>HbA1c</w:t>
      </w:r>
      <w:r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  <w:t xml:space="preserve">; 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</w:p>
    <w:p>
      <w:pPr>
        <w:spacing w:line="480" w:lineRule="auto"/>
        <w:jc w:val="both"/>
        <w:rPr>
          <w:rFonts w:hint="default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ESM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. Additive interaction between lifestyle and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highlight w:val="none"/>
          <w:vertAlign w:val="baseline"/>
          <w:lang w:val="en-US" w:eastAsia="zh-CN"/>
        </w:rPr>
        <w:t>LDL/HDL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for the risk of</w:t>
      </w: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auto"/>
          <w:sz w:val="24"/>
          <w:highlight w:val="none"/>
          <w:lang w:val="en-US" w:eastAsia="zh-CN"/>
        </w:rPr>
        <w:t>c</w:t>
      </w:r>
      <w:r>
        <w:rPr>
          <w:rFonts w:hint="default" w:ascii="Times New Roman" w:hAnsi="Times New Roman" w:cs="Times New Roman"/>
          <w:b/>
          <w:bCs/>
          <w:color w:val="auto"/>
          <w:sz w:val="24"/>
          <w:highlight w:val="none"/>
        </w:rPr>
        <w:t>arotid plaques</w:t>
      </w:r>
    </w:p>
    <w:tbl>
      <w:tblPr>
        <w:tblStyle w:val="4"/>
        <w:tblW w:w="9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1399"/>
        <w:gridCol w:w="1168"/>
        <w:gridCol w:w="853"/>
        <w:gridCol w:w="1866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7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Joint exposure </w:t>
            </w:r>
          </w:p>
        </w:tc>
        <w:tc>
          <w:tcPr>
            <w:tcW w:w="1168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No. of </w:t>
            </w: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>subjects</w:t>
            </w:r>
          </w:p>
        </w:tc>
        <w:tc>
          <w:tcPr>
            <w:tcW w:w="4469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highlight w:val="none"/>
              </w:rPr>
              <w:t>arotid plaques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257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Lifestyle 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LDL/HDL</w:t>
            </w:r>
          </w:p>
        </w:tc>
        <w:tc>
          <w:tcPr>
            <w:tcW w:w="116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highlight w:val="none"/>
                <w:vertAlign w:val="baseline"/>
                <w:lang w:val="en-US" w:eastAsia="zh-CN"/>
              </w:rPr>
              <w:t>n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OR (95% CI)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superscript"/>
                <w:lang w:val="en-US" w:eastAsia="zh-CN"/>
              </w:rPr>
              <w:t>a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baseline"/>
                <w:lang w:val="en-US" w:eastAsia="zh-CN"/>
              </w:rPr>
              <w:t>OR (95% CI)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highlight w:val="none"/>
                <w:vertAlign w:val="superscript"/>
                <w:lang w:val="en-US" w:eastAsia="zh-CN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Intermediate/Favourable </w:t>
            </w:r>
          </w:p>
        </w:tc>
        <w:tc>
          <w:tcPr>
            <w:tcW w:w="1399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NO</w:t>
            </w:r>
          </w:p>
        </w:tc>
        <w:tc>
          <w:tcPr>
            <w:tcW w:w="116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45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85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3015</w:t>
            </w:r>
          </w:p>
        </w:tc>
        <w:tc>
          <w:tcPr>
            <w:tcW w:w="1866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reference</w:t>
            </w:r>
          </w:p>
        </w:tc>
        <w:tc>
          <w:tcPr>
            <w:tcW w:w="175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reference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Unfavourable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NO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1776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1457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2.29(2.17-2.42)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1.86(1.74-2.00)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Intermediate/Favourable 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Yes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203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157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1.71(1.62-1.79)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1.63(1.54-1.72)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5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left"/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 xml:space="preserve">Unfavourable </w:t>
            </w:r>
          </w:p>
        </w:tc>
        <w:tc>
          <w:tcPr>
            <w:tcW w:w="1399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Yes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1093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943</w:t>
            </w:r>
          </w:p>
        </w:tc>
        <w:tc>
          <w:tcPr>
            <w:tcW w:w="1866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3.15(2.92-3.39)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  <w:tc>
          <w:tcPr>
            <w:tcW w:w="1750" w:type="dxa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highlight w:val="none"/>
                <w:vertAlign w:val="baseline"/>
                <w:lang w:val="en-US" w:eastAsia="zh-CN"/>
              </w:rPr>
              <w:t>2.59(2.37-2.82)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**</w:t>
            </w:r>
          </w:p>
        </w:tc>
      </w:tr>
    </w:tbl>
    <w:p>
      <w:pPr>
        <w:spacing w:line="480" w:lineRule="auto"/>
        <w:jc w:val="both"/>
        <w:rPr>
          <w:rFonts w:hint="default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a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1: 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>un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;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 w:val="0"/>
          <w:i w:val="0"/>
          <w:iCs w:val="0"/>
          <w:color w:val="auto"/>
          <w:sz w:val="24"/>
          <w:szCs w:val="24"/>
          <w:highlight w:val="none"/>
          <w:vertAlign w:val="superscript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8"/>
          <w:highlight w:val="none"/>
          <w:vertAlign w:val="baseline"/>
          <w:lang w:val="en-US" w:eastAsia="zh-CN" w:bidi="ar-SA"/>
        </w:rPr>
        <w:t xml:space="preserve">Model 2: </w:t>
      </w:r>
      <w:r>
        <w:rPr>
          <w:rFonts w:hint="eastAsia" w:ascii="Times New Roman" w:hAnsi="Times New Roman" w:cs="Times New Roman"/>
          <w:color w:val="auto"/>
          <w:sz w:val="24"/>
          <w:szCs w:val="36"/>
          <w:highlight w:val="none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>djusted for age, sex, SBP, DBP</w:t>
      </w:r>
      <w:r>
        <w:rPr>
          <w:rFonts w:hint="eastAsia" w:ascii="Times New Roman" w:hAnsi="Times New Roman" w:eastAsia="宋体" w:cs="Times New Roman"/>
          <w:color w:val="auto"/>
          <w:sz w:val="24"/>
          <w:szCs w:val="36"/>
          <w:highlight w:val="none"/>
          <w:lang w:val="en-US" w:eastAsia="zh-CN"/>
        </w:rPr>
        <w:t xml:space="preserve">, </w:t>
      </w:r>
      <w:r>
        <w:rPr>
          <w:rFonts w:ascii="Times New Roman" w:hAnsi="Times New Roman" w:eastAsia="MinionPro-Regular"/>
          <w:color w:val="auto"/>
          <w:kern w:val="0"/>
          <w:sz w:val="24"/>
          <w:highlight w:val="none"/>
          <w:lang w:bidi="ar"/>
        </w:rPr>
        <w:t>HbA1c</w:t>
      </w:r>
      <w:r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  <w:t xml:space="preserve">; </w:t>
      </w:r>
    </w:p>
    <w:p>
      <w:pPr>
        <w:spacing w:line="480" w:lineRule="auto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Compared with </w:t>
      </w:r>
      <w:r>
        <w:rPr>
          <w:rFonts w:hint="eastAsia" w:ascii="Times New Roman" w:hAnsi="Times New Roman" w:cs="Times New Roman"/>
          <w:color w:val="auto"/>
          <w:sz w:val="24"/>
          <w:highlight w:val="none"/>
          <w:lang w:val="en-US" w:eastAsia="zh-CN"/>
        </w:rPr>
        <w:t>no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carotid plaque: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&lt; 0.05, </w:t>
      </w:r>
      <w:r>
        <w:rPr>
          <w:rFonts w:hint="eastAsia" w:ascii="Times New Roman" w:hAnsi="Times New Roman" w:cs="Times New Roman"/>
          <w:color w:val="auto"/>
          <w:sz w:val="24"/>
          <w:highlight w:val="none"/>
          <w:vertAlign w:val="superscript"/>
          <w:lang w:eastAsia="zh-CN"/>
        </w:rPr>
        <w:t>**</w:t>
      </w:r>
      <w:r>
        <w:rPr>
          <w:rFonts w:hint="default" w:ascii="Times New Roman" w:hAnsi="Times New Roman" w:cs="Times New Roman"/>
          <w:i/>
          <w:iCs/>
          <w:color w:val="auto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i/>
          <w:iCs/>
          <w:color w:val="auto"/>
          <w:sz w:val="24"/>
          <w:highlight w:val="none"/>
          <w:lang w:val="en-US" w:eastAsia="zh-CN"/>
        </w:rPr>
        <w:t>P</w:t>
      </w: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&lt; 0.01.</w:t>
      </w:r>
    </w:p>
    <w:p>
      <w:pPr>
        <w:spacing w:line="480" w:lineRule="auto"/>
        <w:jc w:val="both"/>
        <w:rPr>
          <w:rFonts w:hint="eastAsia" w:ascii="Times New Roman" w:hAnsi="Times New Roman" w:eastAsia="宋体"/>
          <w:color w:val="auto"/>
          <w:kern w:val="0"/>
          <w:sz w:val="24"/>
          <w:highlight w:val="none"/>
          <w:lang w:val="en-US" w:eastAsia="zh-CN" w:bidi="ar"/>
        </w:rPr>
      </w:pPr>
    </w:p>
    <w:p>
      <w:pPr>
        <w:spacing w:line="480" w:lineRule="auto"/>
        <w:rPr>
          <w:rFonts w:hint="default" w:ascii="Times New Roman" w:hAnsi="Times New Roman" w:cs="Times New Roman"/>
          <w:b/>
          <w:bCs/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ionPro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50783E"/>
    <w:rsid w:val="04462A69"/>
    <w:rsid w:val="074F72F7"/>
    <w:rsid w:val="085F3DF8"/>
    <w:rsid w:val="09F64E29"/>
    <w:rsid w:val="0ACC5C43"/>
    <w:rsid w:val="0B06128E"/>
    <w:rsid w:val="11DF0C80"/>
    <w:rsid w:val="188718C7"/>
    <w:rsid w:val="1C942A47"/>
    <w:rsid w:val="1E781252"/>
    <w:rsid w:val="20BE3C02"/>
    <w:rsid w:val="227B758F"/>
    <w:rsid w:val="27BA792E"/>
    <w:rsid w:val="285C7F8D"/>
    <w:rsid w:val="28942801"/>
    <w:rsid w:val="2E7A0EF4"/>
    <w:rsid w:val="33EF3ABE"/>
    <w:rsid w:val="35CC5BB8"/>
    <w:rsid w:val="35E0776A"/>
    <w:rsid w:val="35F56DAD"/>
    <w:rsid w:val="36094660"/>
    <w:rsid w:val="3F3B0C70"/>
    <w:rsid w:val="42D40BDA"/>
    <w:rsid w:val="4B09448C"/>
    <w:rsid w:val="4F9F4B98"/>
    <w:rsid w:val="51F02786"/>
    <w:rsid w:val="56DA5DAA"/>
    <w:rsid w:val="5950783E"/>
    <w:rsid w:val="605A764A"/>
    <w:rsid w:val="626C3EF6"/>
    <w:rsid w:val="62C41F0E"/>
    <w:rsid w:val="63156583"/>
    <w:rsid w:val="6DB30479"/>
    <w:rsid w:val="70F55F34"/>
    <w:rsid w:val="71BE103C"/>
    <w:rsid w:val="747D64C8"/>
    <w:rsid w:val="776C6C9B"/>
    <w:rsid w:val="78FC1067"/>
    <w:rsid w:val="794C4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2021-06-04T13:27:00Z</dcterms:created>
  <dc:creator>微醺</dc:creator>
  <cp:lastModifiedBy>微醺</cp:lastModifiedBy>
  <dcterms:modified xsi:type="dcterms:W3CDTF">2021-08-10T14:01:02Z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D12D06ABF8D44122BC45B20B1DA85D23</vt:lpwstr>
  </property>
</Properties>
</file>