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C9FBB" w14:textId="22260061" w:rsidR="00E821AE" w:rsidRDefault="00000000" w:rsidP="00501D4F">
      <w:pPr>
        <w:pStyle w:val="Heading1"/>
      </w:pPr>
      <w:r w:rsidRPr="003564E9">
        <w:t>Supplementary materials</w:t>
      </w:r>
    </w:p>
    <w:p w14:paraId="52B8A060" w14:textId="77777777" w:rsidR="00E821AE" w:rsidRPr="003564E9" w:rsidRDefault="00000000" w:rsidP="003564E9">
      <w:pPr>
        <w:pStyle w:val="Heading2"/>
      </w:pPr>
      <w:r w:rsidRPr="003564E9">
        <w:t>1. Parameter details</w:t>
      </w:r>
    </w:p>
    <w:p w14:paraId="0FED5BBE" w14:textId="77777777" w:rsidR="00E821AE" w:rsidRDefault="00000000">
      <w:r>
        <w:t xml:space="preserve">We used the following parameters for peak calling with Genrich </w:t>
      </w:r>
      <w:r w:rsidR="00041E8C">
        <w:fldChar w:fldCharType="begin"/>
      </w:r>
      <w:r w:rsidR="00041E8C">
        <w:instrText xml:space="preserve"> ADDIN ZOTERO_ITEM CSL_CITATION {"citationID":"L0m7sUq0","properties":{"formattedCitation":"[1]","plainCitation":"[1]","noteIndex":0},"citationItems":[{"id":544,"uris":["http://zotero.org/users/531/items/6M7CV5KG"],"itemData":{"id":544,"type":"software","abstract":"Detecting sites of genomic enrichment","genre":"C","license":"MIT","note":"original-date: 2018-06-28T13:18:23Z","source":"GitHub","title":"Genrich: detecting sites of genomic enrichment","title-short":"Genrich","URL":"https://github.com/jsh58/Genrich","author":[{"family":"Gaspar","given":"John M."}],"accessed":{"date-parts":[["2023",9,15]]},"issued":{"date-parts":[["2023",9,5]]}}}],"schema":"https://github.com/citation-style-language/schema/raw/master/csl-citation.json"} </w:instrText>
      </w:r>
      <w:r w:rsidR="00041E8C">
        <w:fldChar w:fldCharType="separate"/>
      </w:r>
      <w:r w:rsidR="00041E8C" w:rsidRPr="00041E8C">
        <w:t>[1]</w:t>
      </w:r>
      <w:r w:rsidR="00041E8C">
        <w:fldChar w:fldCharType="end"/>
      </w:r>
      <w:r>
        <w:t>:</w:t>
      </w:r>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24"/>
        <w:gridCol w:w="1406"/>
        <w:gridCol w:w="6186"/>
      </w:tblGrid>
      <w:tr w:rsidR="00E821AE" w14:paraId="659FB14D" w14:textId="77777777" w:rsidTr="00E821AE">
        <w:trPr>
          <w:cnfStyle w:val="000000100000" w:firstRow="0" w:lastRow="0" w:firstColumn="0" w:lastColumn="0" w:oddVBand="0" w:evenVBand="0" w:oddHBand="1" w:evenHBand="0" w:firstRowFirstColumn="0" w:firstRowLastColumn="0" w:lastRowFirstColumn="0" w:lastRowLastColumn="0"/>
        </w:trPr>
        <w:tc>
          <w:tcPr>
            <w:tcW w:w="1424" w:type="dxa"/>
          </w:tcPr>
          <w:p w14:paraId="1FE54BD6" w14:textId="77777777" w:rsidR="00E821AE" w:rsidRDefault="00000000">
            <w:pPr>
              <w:rPr>
                <w:b/>
              </w:rPr>
            </w:pPr>
            <w:r>
              <w:rPr>
                <w:b/>
              </w:rPr>
              <w:t>Assay</w:t>
            </w:r>
          </w:p>
        </w:tc>
        <w:tc>
          <w:tcPr>
            <w:tcW w:w="1406" w:type="dxa"/>
          </w:tcPr>
          <w:p w14:paraId="3A9B12FB" w14:textId="77777777" w:rsidR="00E821AE" w:rsidRDefault="00000000">
            <w:pPr>
              <w:spacing w:after="160" w:line="360" w:lineRule="auto"/>
              <w:rPr>
                <w:b/>
              </w:rPr>
            </w:pPr>
            <w:r>
              <w:rPr>
                <w:b/>
              </w:rPr>
              <w:t>Parameter</w:t>
            </w:r>
          </w:p>
        </w:tc>
        <w:tc>
          <w:tcPr>
            <w:tcW w:w="6186" w:type="dxa"/>
          </w:tcPr>
          <w:p w14:paraId="6A33F089" w14:textId="77777777" w:rsidR="00E821AE" w:rsidRDefault="00000000">
            <w:pPr>
              <w:spacing w:after="160" w:line="360" w:lineRule="auto"/>
              <w:rPr>
                <w:b/>
              </w:rPr>
            </w:pPr>
            <w:r>
              <w:rPr>
                <w:b/>
              </w:rPr>
              <w:t>Description</w:t>
            </w:r>
          </w:p>
        </w:tc>
      </w:tr>
      <w:tr w:rsidR="00E821AE" w14:paraId="6073D024" w14:textId="77777777" w:rsidTr="00E821AE">
        <w:tc>
          <w:tcPr>
            <w:tcW w:w="1424" w:type="dxa"/>
          </w:tcPr>
          <w:p w14:paraId="3A61C8A4" w14:textId="77777777" w:rsidR="00E821AE" w:rsidRDefault="00000000">
            <w:pPr>
              <w:spacing w:after="160" w:line="360" w:lineRule="auto"/>
            </w:pPr>
            <w:r>
              <w:t>All</w:t>
            </w:r>
          </w:p>
        </w:tc>
        <w:tc>
          <w:tcPr>
            <w:tcW w:w="1406" w:type="dxa"/>
          </w:tcPr>
          <w:p w14:paraId="545B041C"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-r</w:t>
            </w:r>
          </w:p>
        </w:tc>
        <w:tc>
          <w:tcPr>
            <w:tcW w:w="6186" w:type="dxa"/>
          </w:tcPr>
          <w:p w14:paraId="42B9796B" w14:textId="77777777" w:rsidR="00E821AE" w:rsidRDefault="00000000">
            <w:r>
              <w:t>Remove PCR duplicates</w:t>
            </w:r>
          </w:p>
        </w:tc>
      </w:tr>
      <w:tr w:rsidR="00E821AE" w14:paraId="3EFCAC04" w14:textId="77777777" w:rsidTr="00E821AE">
        <w:trPr>
          <w:cnfStyle w:val="000000100000" w:firstRow="0" w:lastRow="0" w:firstColumn="0" w:lastColumn="0" w:oddVBand="0" w:evenVBand="0" w:oddHBand="1" w:evenHBand="0" w:firstRowFirstColumn="0" w:firstRowLastColumn="0" w:lastRowFirstColumn="0" w:lastRowLastColumn="0"/>
        </w:trPr>
        <w:tc>
          <w:tcPr>
            <w:tcW w:w="1424" w:type="dxa"/>
          </w:tcPr>
          <w:p w14:paraId="5604DFDA" w14:textId="77777777" w:rsidR="00E821AE" w:rsidRDefault="00000000">
            <w:r>
              <w:t>All</w:t>
            </w:r>
          </w:p>
        </w:tc>
        <w:tc>
          <w:tcPr>
            <w:tcW w:w="1406" w:type="dxa"/>
          </w:tcPr>
          <w:p w14:paraId="140C81D1"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-e MT</w:t>
            </w:r>
          </w:p>
        </w:tc>
        <w:tc>
          <w:tcPr>
            <w:tcW w:w="6186" w:type="dxa"/>
          </w:tcPr>
          <w:p w14:paraId="3EDCFDAD" w14:textId="77777777" w:rsidR="00E821AE" w:rsidRDefault="00000000">
            <w:r>
              <w:t>Exclude reads aligning to the mitochondrial genome when present</w:t>
            </w:r>
          </w:p>
        </w:tc>
      </w:tr>
      <w:tr w:rsidR="00E821AE" w14:paraId="4086544E" w14:textId="77777777" w:rsidTr="00E821AE">
        <w:tc>
          <w:tcPr>
            <w:tcW w:w="1424" w:type="dxa"/>
          </w:tcPr>
          <w:p w14:paraId="7E5FEAF1" w14:textId="77777777" w:rsidR="00E821AE" w:rsidRDefault="00000000">
            <w:r>
              <w:t>All</w:t>
            </w:r>
          </w:p>
        </w:tc>
        <w:tc>
          <w:tcPr>
            <w:tcW w:w="1406" w:type="dxa"/>
          </w:tcPr>
          <w:p w14:paraId="40C5296B"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-E</w:t>
            </w:r>
          </w:p>
        </w:tc>
        <w:tc>
          <w:tcPr>
            <w:tcW w:w="6186" w:type="dxa"/>
          </w:tcPr>
          <w:p w14:paraId="66D2D01A" w14:textId="77777777" w:rsidR="00E821AE" w:rsidRDefault="00000000">
            <w:r>
              <w:t>BED file of genomic regions to exclude (see</w:t>
            </w:r>
            <w:r>
              <w:rPr>
                <w:i/>
              </w:rPr>
              <w:t xml:space="preserve"> Peak calling</w:t>
            </w:r>
            <w:r>
              <w:t xml:space="preserve"> in Methods)</w:t>
            </w:r>
          </w:p>
        </w:tc>
      </w:tr>
      <w:tr w:rsidR="00E821AE" w14:paraId="7999C604" w14:textId="77777777" w:rsidTr="00E821AE">
        <w:trPr>
          <w:cnfStyle w:val="000000100000" w:firstRow="0" w:lastRow="0" w:firstColumn="0" w:lastColumn="0" w:oddVBand="0" w:evenVBand="0" w:oddHBand="1" w:evenHBand="0" w:firstRowFirstColumn="0" w:firstRowLastColumn="0" w:lastRowFirstColumn="0" w:lastRowLastColumn="0"/>
        </w:trPr>
        <w:tc>
          <w:tcPr>
            <w:tcW w:w="1424" w:type="dxa"/>
          </w:tcPr>
          <w:p w14:paraId="7C5D0C86" w14:textId="77777777" w:rsidR="00E821AE" w:rsidRDefault="00000000">
            <w:r>
              <w:t>All</w:t>
            </w:r>
          </w:p>
        </w:tc>
        <w:tc>
          <w:tcPr>
            <w:tcW w:w="1406" w:type="dxa"/>
          </w:tcPr>
          <w:p w14:paraId="18B668DE"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-s 20</w:t>
            </w:r>
          </w:p>
        </w:tc>
        <w:tc>
          <w:tcPr>
            <w:tcW w:w="6186" w:type="dxa"/>
          </w:tcPr>
          <w:p w14:paraId="28E1CD9D" w14:textId="77777777" w:rsidR="00E821AE" w:rsidRDefault="00000000">
            <w:r>
              <w:t>Keep secondary alignments with an Alignment Score (AS) &gt;= best AS - &lt;value&gt;</w:t>
            </w:r>
          </w:p>
        </w:tc>
      </w:tr>
      <w:tr w:rsidR="00E821AE" w14:paraId="0B5FC7AF" w14:textId="77777777" w:rsidTr="00E821AE">
        <w:tc>
          <w:tcPr>
            <w:tcW w:w="1424" w:type="dxa"/>
          </w:tcPr>
          <w:p w14:paraId="1B4E7A52" w14:textId="77777777" w:rsidR="00E821AE" w:rsidRDefault="00000000">
            <w:r>
              <w:t>All</w:t>
            </w:r>
          </w:p>
        </w:tc>
        <w:tc>
          <w:tcPr>
            <w:tcW w:w="1406" w:type="dxa"/>
          </w:tcPr>
          <w:p w14:paraId="2CB760CD"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-y</w:t>
            </w:r>
          </w:p>
        </w:tc>
        <w:tc>
          <w:tcPr>
            <w:tcW w:w="6186" w:type="dxa"/>
          </w:tcPr>
          <w:p w14:paraId="1209571E" w14:textId="77777777" w:rsidR="00E821AE" w:rsidRDefault="00000000">
            <w:r>
              <w:t xml:space="preserve">Keep unpaired alignments </w:t>
            </w:r>
            <w:r>
              <w:br/>
              <w:t xml:space="preserve">This is necessary for experiments with </w:t>
            </w:r>
            <w:proofErr w:type="gramStart"/>
            <w:r>
              <w:t>single-end</w:t>
            </w:r>
            <w:proofErr w:type="gramEnd"/>
            <w:r>
              <w:t xml:space="preserve"> reads. This does not affect how paired alignments are processed since our alignment step for </w:t>
            </w:r>
            <w:proofErr w:type="gramStart"/>
            <w:r>
              <w:t>paired-end</w:t>
            </w:r>
            <w:proofErr w:type="gramEnd"/>
            <w:r>
              <w:t xml:space="preserve"> uses only properly paired reads.</w:t>
            </w:r>
          </w:p>
        </w:tc>
      </w:tr>
      <w:tr w:rsidR="00E821AE" w14:paraId="596F89E6" w14:textId="77777777" w:rsidTr="00E821AE">
        <w:trPr>
          <w:cnfStyle w:val="000000100000" w:firstRow="0" w:lastRow="0" w:firstColumn="0" w:lastColumn="0" w:oddVBand="0" w:evenVBand="0" w:oddHBand="1" w:evenHBand="0" w:firstRowFirstColumn="0" w:firstRowLastColumn="0" w:lastRowFirstColumn="0" w:lastRowLastColumn="0"/>
        </w:trPr>
        <w:tc>
          <w:tcPr>
            <w:tcW w:w="1424" w:type="dxa"/>
          </w:tcPr>
          <w:p w14:paraId="747C375F" w14:textId="77777777" w:rsidR="00E821AE" w:rsidRDefault="00000000">
            <w:r>
              <w:t>ATAC-</w:t>
            </w:r>
            <w:proofErr w:type="spellStart"/>
            <w:r>
              <w:t>seq</w:t>
            </w:r>
            <w:proofErr w:type="spellEnd"/>
            <w:r>
              <w:t>, DNase-</w:t>
            </w:r>
            <w:proofErr w:type="spellStart"/>
            <w:r>
              <w:t>seq</w:t>
            </w:r>
            <w:proofErr w:type="spellEnd"/>
          </w:p>
        </w:tc>
        <w:tc>
          <w:tcPr>
            <w:tcW w:w="1406" w:type="dxa"/>
          </w:tcPr>
          <w:p w14:paraId="5C653D8F"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-j</w:t>
            </w:r>
          </w:p>
        </w:tc>
        <w:tc>
          <w:tcPr>
            <w:tcW w:w="6186" w:type="dxa"/>
          </w:tcPr>
          <w:p w14:paraId="32F76F24" w14:textId="77777777" w:rsidR="00E821AE" w:rsidRDefault="00000000">
            <w:r>
              <w:t>ATAC-</w:t>
            </w:r>
            <w:proofErr w:type="spellStart"/>
            <w:r>
              <w:t>seq</w:t>
            </w:r>
            <w:proofErr w:type="spellEnd"/>
            <w:r>
              <w:t xml:space="preserve"> mode</w:t>
            </w:r>
          </w:p>
        </w:tc>
      </w:tr>
      <w:tr w:rsidR="00E821AE" w14:paraId="7DC5F811" w14:textId="77777777" w:rsidTr="00E821AE">
        <w:tc>
          <w:tcPr>
            <w:tcW w:w="1424" w:type="dxa"/>
          </w:tcPr>
          <w:p w14:paraId="270A23E2" w14:textId="77777777" w:rsidR="00E821AE" w:rsidRDefault="00000000">
            <w:r>
              <w:t>ATAC-</w:t>
            </w:r>
            <w:proofErr w:type="spellStart"/>
            <w:r>
              <w:t>seq</w:t>
            </w:r>
            <w:proofErr w:type="spellEnd"/>
            <w:r>
              <w:t>, DNase-</w:t>
            </w:r>
            <w:proofErr w:type="spellStart"/>
            <w:r>
              <w:t>seq</w:t>
            </w:r>
            <w:proofErr w:type="spellEnd"/>
          </w:p>
        </w:tc>
        <w:tc>
          <w:tcPr>
            <w:tcW w:w="1406" w:type="dxa"/>
          </w:tcPr>
          <w:p w14:paraId="4B0F5B16"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-q 0.1 or -p 0.1</w:t>
            </w:r>
          </w:p>
        </w:tc>
        <w:tc>
          <w:tcPr>
            <w:tcW w:w="6186" w:type="dxa"/>
          </w:tcPr>
          <w:p w14:paraId="2726277F" w14:textId="77777777" w:rsidR="00E821AE" w:rsidRDefault="00000000">
            <w:r>
              <w:t>Maximum p-value or maximum q-value</w:t>
            </w:r>
            <w:r>
              <w:br/>
              <w:t>We used a q-value of 0.1 when at least two biological replicates were available. Otherwise, we used a p-value of 0.1.</w:t>
            </w:r>
          </w:p>
        </w:tc>
      </w:tr>
      <w:tr w:rsidR="00E821AE" w14:paraId="3F792EBE" w14:textId="77777777" w:rsidTr="00E821AE">
        <w:trPr>
          <w:cnfStyle w:val="000000100000" w:firstRow="0" w:lastRow="0" w:firstColumn="0" w:lastColumn="0" w:oddVBand="0" w:evenVBand="0" w:oddHBand="1" w:evenHBand="0" w:firstRowFirstColumn="0" w:firstRowLastColumn="0" w:lastRowFirstColumn="0" w:lastRowLastColumn="0"/>
        </w:trPr>
        <w:tc>
          <w:tcPr>
            <w:tcW w:w="1424" w:type="dxa"/>
          </w:tcPr>
          <w:p w14:paraId="2ECAA893" w14:textId="77777777" w:rsidR="00E821AE" w:rsidRDefault="00000000">
            <w:r>
              <w:t>DNase-</w:t>
            </w:r>
            <w:proofErr w:type="spellStart"/>
            <w:r>
              <w:t>seq</w:t>
            </w:r>
            <w:proofErr w:type="spellEnd"/>
          </w:p>
        </w:tc>
        <w:tc>
          <w:tcPr>
            <w:tcW w:w="1406" w:type="dxa"/>
          </w:tcPr>
          <w:p w14:paraId="2FB1E7BE" w14:textId="77777777" w:rsidR="00E821AE" w:rsidRDefault="00000000">
            <w:pPr>
              <w:rPr>
                <w:rFonts w:ascii="Courier New" w:eastAsia="Courier New" w:hAnsi="Courier New" w:cs="Courier New"/>
                <w:sz w:val="20"/>
                <w:szCs w:val="20"/>
              </w:rPr>
            </w:pPr>
            <w:r>
              <w:rPr>
                <w:rFonts w:ascii="Courier New" w:eastAsia="Courier New" w:hAnsi="Courier New" w:cs="Courier New"/>
                <w:sz w:val="20"/>
                <w:szCs w:val="20"/>
              </w:rPr>
              <w:t>-D</w:t>
            </w:r>
          </w:p>
        </w:tc>
        <w:tc>
          <w:tcPr>
            <w:tcW w:w="6186" w:type="dxa"/>
          </w:tcPr>
          <w:p w14:paraId="571443C8" w14:textId="77777777" w:rsidR="00E821AE" w:rsidRDefault="00000000">
            <w:r>
              <w:t>Skips Tn5 adjustments of cut sites</w:t>
            </w:r>
          </w:p>
        </w:tc>
      </w:tr>
    </w:tbl>
    <w:p w14:paraId="2702F5C2" w14:textId="77777777" w:rsidR="00E821AE" w:rsidRDefault="00E821AE"/>
    <w:p w14:paraId="379AD8F0" w14:textId="77777777" w:rsidR="00E821AE" w:rsidRDefault="00000000">
      <w:r>
        <w:t>For ChIP-seq peak calling, we used further parameters, which depended on:</w:t>
      </w:r>
    </w:p>
    <w:p w14:paraId="4A813146" w14:textId="77777777" w:rsidR="00E821AE" w:rsidRDefault="00000000">
      <w:pPr>
        <w:numPr>
          <w:ilvl w:val="0"/>
          <w:numId w:val="2"/>
        </w:numPr>
        <w:pBdr>
          <w:top w:val="nil"/>
          <w:left w:val="nil"/>
          <w:bottom w:val="nil"/>
          <w:right w:val="nil"/>
          <w:between w:val="nil"/>
        </w:pBdr>
        <w:rPr>
          <w:color w:val="000000"/>
        </w:rPr>
      </w:pPr>
      <w:r>
        <w:rPr>
          <w:color w:val="000000"/>
        </w:rPr>
        <w:t>whether the histone target is considered narrow or broad by ENCODE standards (</w:t>
      </w:r>
      <w:hyperlink r:id="rId8">
        <w:r w:rsidR="00E821AE">
          <w:rPr>
            <w:color w:val="0000FF"/>
            <w:u w:val="single"/>
          </w:rPr>
          <w:t>https://www.encodeproject.org/chip-seq/histone/</w:t>
        </w:r>
      </w:hyperlink>
      <w:r>
        <w:rPr>
          <w:color w:val="000000"/>
        </w:rPr>
        <w:t>)</w:t>
      </w:r>
    </w:p>
    <w:p w14:paraId="594C2C36" w14:textId="77777777" w:rsidR="00E821AE" w:rsidRDefault="00000000">
      <w:pPr>
        <w:numPr>
          <w:ilvl w:val="0"/>
          <w:numId w:val="2"/>
        </w:numPr>
        <w:pBdr>
          <w:top w:val="nil"/>
          <w:left w:val="nil"/>
          <w:bottom w:val="nil"/>
          <w:right w:val="nil"/>
          <w:between w:val="nil"/>
        </w:pBdr>
        <w:spacing w:after="0"/>
      </w:pPr>
      <w:r>
        <w:rPr>
          <w:color w:val="000000"/>
        </w:rPr>
        <w:t xml:space="preserve">the type of ChIP-seq assay: the standard assay has an adapter ligation step; </w:t>
      </w:r>
      <w:proofErr w:type="spellStart"/>
      <w:r>
        <w:rPr>
          <w:color w:val="000000"/>
        </w:rPr>
        <w:t>ChIPmentation</w:t>
      </w:r>
      <w:proofErr w:type="spellEnd"/>
      <w:r>
        <w:rPr>
          <w:color w:val="000000"/>
        </w:rPr>
        <w:t xml:space="preserve"> uses Tn5 </w:t>
      </w:r>
      <w:proofErr w:type="spellStart"/>
      <w:r>
        <w:rPr>
          <w:color w:val="000000"/>
        </w:rPr>
        <w:t>tagmentation</w:t>
      </w:r>
      <w:proofErr w:type="spellEnd"/>
      <w:r>
        <w:rPr>
          <w:color w:val="000000"/>
        </w:rPr>
        <w:t xml:space="preserve"> instead</w:t>
      </w:r>
    </w:p>
    <w:p w14:paraId="5A48EF07" w14:textId="77777777" w:rsidR="00E821AE" w:rsidRDefault="00000000">
      <w:pPr>
        <w:numPr>
          <w:ilvl w:val="0"/>
          <w:numId w:val="2"/>
        </w:numPr>
        <w:pBdr>
          <w:top w:val="nil"/>
          <w:left w:val="nil"/>
          <w:bottom w:val="nil"/>
          <w:right w:val="nil"/>
          <w:between w:val="nil"/>
        </w:pBdr>
        <w:spacing w:after="0"/>
      </w:pPr>
      <w:r>
        <w:rPr>
          <w:color w:val="000000"/>
        </w:rPr>
        <w:t>the availability of controls</w:t>
      </w:r>
    </w:p>
    <w:p w14:paraId="3B06D076" w14:textId="77777777" w:rsidR="00E821AE" w:rsidRDefault="00000000">
      <w:pPr>
        <w:numPr>
          <w:ilvl w:val="0"/>
          <w:numId w:val="2"/>
        </w:numPr>
        <w:pBdr>
          <w:top w:val="nil"/>
          <w:left w:val="nil"/>
          <w:bottom w:val="nil"/>
          <w:right w:val="nil"/>
          <w:between w:val="nil"/>
        </w:pBdr>
      </w:pPr>
      <w:r>
        <w:rPr>
          <w:color w:val="000000"/>
        </w:rPr>
        <w:t>read length</w:t>
      </w:r>
    </w:p>
    <w:p w14:paraId="0F780E72" w14:textId="77777777" w:rsidR="00E821AE" w:rsidRPr="003564E9" w:rsidRDefault="00000000" w:rsidP="003564E9">
      <w:pPr>
        <w:pStyle w:val="Heading3"/>
      </w:pPr>
      <w:r w:rsidRPr="003564E9">
        <w:t>Narrow peaks</w:t>
      </w:r>
    </w:p>
    <w:p w14:paraId="0BCEDB26" w14:textId="77777777" w:rsidR="00E821AE" w:rsidRDefault="00000000">
      <w:r>
        <w:t>H3K27ac, H3K4me3 and CTCF are considered narrow peaks.</w:t>
      </w:r>
    </w:p>
    <w:p w14:paraId="144872C6" w14:textId="77777777" w:rsidR="00501D4F" w:rsidRDefault="00501D4F">
      <w:pPr>
        <w:rPr>
          <w:i/>
          <w:color w:val="0F4761"/>
        </w:rPr>
      </w:pPr>
      <w:r>
        <w:br w:type="page"/>
      </w:r>
    </w:p>
    <w:p w14:paraId="19B9E8F8" w14:textId="3064561D" w:rsidR="00E821AE" w:rsidRDefault="00000000">
      <w:pPr>
        <w:pStyle w:val="Heading4"/>
      </w:pPr>
      <w:r>
        <w:lastRenderedPageBreak/>
        <w:t>Standard ChIP-seq:</w:t>
      </w:r>
    </w:p>
    <w:p w14:paraId="0C2B335C" w14:textId="77777777" w:rsidR="00E821AE" w:rsidRDefault="00000000">
      <w:pPr>
        <w:numPr>
          <w:ilvl w:val="0"/>
          <w:numId w:val="3"/>
        </w:numPr>
      </w:pPr>
      <w:r>
        <w:t>With all controls and all read lengths &gt; 75bp: </w:t>
      </w:r>
      <w:r>
        <w:rPr>
          <w:rFonts w:ascii="Courier New" w:eastAsia="Courier New" w:hAnsi="Courier New" w:cs="Courier New"/>
          <w:sz w:val="20"/>
          <w:szCs w:val="20"/>
        </w:rPr>
        <w:t>-p 0.1</w:t>
      </w:r>
    </w:p>
    <w:p w14:paraId="705E0BEA" w14:textId="77777777" w:rsidR="00E821AE" w:rsidRDefault="00000000">
      <w:pPr>
        <w:numPr>
          <w:ilvl w:val="0"/>
          <w:numId w:val="3"/>
        </w:numPr>
      </w:pPr>
      <w:r>
        <w:t>With at least one missing control or at least one file with read length &lt;=75bp: </w:t>
      </w:r>
      <w:r>
        <w:rPr>
          <w:rFonts w:ascii="Courier New" w:eastAsia="Courier New" w:hAnsi="Courier New" w:cs="Courier New"/>
          <w:sz w:val="20"/>
          <w:szCs w:val="20"/>
        </w:rPr>
        <w:t>-q 0.1</w:t>
      </w:r>
    </w:p>
    <w:p w14:paraId="62FBF263" w14:textId="77777777" w:rsidR="00E821AE" w:rsidRDefault="00000000">
      <w:pPr>
        <w:pStyle w:val="Heading4"/>
      </w:pPr>
      <w:proofErr w:type="spellStart"/>
      <w:r>
        <w:t>ChIPMentation</w:t>
      </w:r>
      <w:proofErr w:type="spellEnd"/>
      <w:r>
        <w:t>:</w:t>
      </w:r>
    </w:p>
    <w:p w14:paraId="768EACD5" w14:textId="77777777" w:rsidR="00E821AE" w:rsidRDefault="00000000">
      <w:pPr>
        <w:numPr>
          <w:ilvl w:val="0"/>
          <w:numId w:val="4"/>
        </w:numPr>
      </w:pPr>
      <w:r>
        <w:t>With all controls: </w:t>
      </w:r>
      <w:r>
        <w:rPr>
          <w:rFonts w:ascii="Courier New" w:eastAsia="Courier New" w:hAnsi="Courier New" w:cs="Courier New"/>
          <w:sz w:val="20"/>
          <w:szCs w:val="20"/>
        </w:rPr>
        <w:t>-q 0.1</w:t>
      </w:r>
    </w:p>
    <w:p w14:paraId="5A8964A8" w14:textId="77777777" w:rsidR="00E821AE" w:rsidRDefault="00000000" w:rsidP="003564E9">
      <w:pPr>
        <w:pStyle w:val="Heading3"/>
      </w:pPr>
      <w:r>
        <w:t>Gapped peaks</w:t>
      </w:r>
    </w:p>
    <w:p w14:paraId="63E775D8" w14:textId="77777777" w:rsidR="00E821AE" w:rsidRDefault="00000000">
      <w:r>
        <w:t>H3K27me3 and H3K4me1 are considered broad marks. For a broad mark experiment, we created a gapped peak track, which first calls broad peaks, which are then annotated with peaks called with more restrictive parameters.</w:t>
      </w:r>
    </w:p>
    <w:p w14:paraId="41A0C020" w14:textId="77777777" w:rsidR="00E821AE" w:rsidRDefault="00000000">
      <w:r>
        <w:rPr>
          <w:b/>
        </w:rPr>
        <w:t>Broad peaks</w:t>
      </w:r>
      <w:r>
        <w:t> are called with:</w:t>
      </w:r>
    </w:p>
    <w:p w14:paraId="4EF7719A" w14:textId="77777777" w:rsidR="00E821AE" w:rsidRDefault="00000000">
      <w:r>
        <w:rPr>
          <w:rFonts w:ascii="Courier New" w:eastAsia="Courier New" w:hAnsi="Courier New" w:cs="Courier New"/>
          <w:sz w:val="20"/>
          <w:szCs w:val="20"/>
        </w:rPr>
        <w:t>-g</w:t>
      </w:r>
      <w:r>
        <w:t>: The maximum distance between significant sites is relaxed from 100 to 200 for broad peaks.</w:t>
      </w:r>
    </w:p>
    <w:p w14:paraId="05CE02F5" w14:textId="77777777" w:rsidR="00E821AE" w:rsidRDefault="00000000">
      <w:r>
        <w:rPr>
          <w:rFonts w:ascii="Courier New" w:eastAsia="Courier New" w:hAnsi="Courier New" w:cs="Courier New"/>
          <w:sz w:val="20"/>
          <w:szCs w:val="20"/>
        </w:rPr>
        <w:t>-a</w:t>
      </w:r>
      <w:r>
        <w:t>: The minimum AUC for a broad peak is increased from 200 to 800.</w:t>
      </w:r>
    </w:p>
    <w:p w14:paraId="4B541498" w14:textId="77777777" w:rsidR="00E821AE" w:rsidRDefault="00000000">
      <w:r>
        <w:rPr>
          <w:rFonts w:ascii="Courier New" w:eastAsia="Courier New" w:hAnsi="Courier New" w:cs="Courier New"/>
          <w:sz w:val="20"/>
          <w:szCs w:val="20"/>
        </w:rPr>
        <w:t>-p</w:t>
      </w:r>
      <w:r>
        <w:t>: We used a p-value with a threshold empirically optimized:</w:t>
      </w:r>
    </w:p>
    <w:p w14:paraId="73A6EFC5" w14:textId="77777777" w:rsidR="00E821AE" w:rsidRDefault="00000000">
      <w:r>
        <w:t>Standard ChIP-seq:</w:t>
      </w:r>
    </w:p>
    <w:p w14:paraId="66494FA0" w14:textId="77777777" w:rsidR="00E821AE" w:rsidRDefault="00000000">
      <w:pPr>
        <w:numPr>
          <w:ilvl w:val="0"/>
          <w:numId w:val="5"/>
        </w:numPr>
      </w:pPr>
      <w:r>
        <w:t xml:space="preserve">With all controls and all read lengths &gt; 75bp: p: </w:t>
      </w:r>
      <w:r>
        <w:rPr>
          <w:rFonts w:ascii="Courier New" w:eastAsia="Courier New" w:hAnsi="Courier New" w:cs="Courier New"/>
          <w:sz w:val="20"/>
          <w:szCs w:val="20"/>
        </w:rPr>
        <w:t>0.2</w:t>
      </w:r>
    </w:p>
    <w:p w14:paraId="25809F18" w14:textId="77777777" w:rsidR="00E821AE" w:rsidRDefault="00000000">
      <w:pPr>
        <w:numPr>
          <w:ilvl w:val="0"/>
          <w:numId w:val="5"/>
        </w:numPr>
      </w:pPr>
      <w:r>
        <w:t xml:space="preserve">With at least one missing control or at least one file with read length &lt;= 75bp: p: </w:t>
      </w:r>
      <w:r>
        <w:rPr>
          <w:rFonts w:ascii="Courier New" w:eastAsia="Courier New" w:hAnsi="Courier New" w:cs="Courier New"/>
          <w:sz w:val="20"/>
          <w:szCs w:val="20"/>
        </w:rPr>
        <w:t>0.1</w:t>
      </w:r>
    </w:p>
    <w:p w14:paraId="526419C2" w14:textId="77777777" w:rsidR="00E821AE" w:rsidRDefault="00000000">
      <w:proofErr w:type="spellStart"/>
      <w:r>
        <w:t>ChIPMentation</w:t>
      </w:r>
      <w:proofErr w:type="spellEnd"/>
      <w:r>
        <w:t>:</w:t>
      </w:r>
    </w:p>
    <w:p w14:paraId="653D1099" w14:textId="77777777" w:rsidR="00E821AE" w:rsidRDefault="00000000">
      <w:pPr>
        <w:numPr>
          <w:ilvl w:val="0"/>
          <w:numId w:val="1"/>
        </w:numPr>
      </w:pPr>
      <w:r>
        <w:t xml:space="preserve">With all controls: p: </w:t>
      </w:r>
      <w:r>
        <w:rPr>
          <w:rFonts w:ascii="Courier New" w:eastAsia="Courier New" w:hAnsi="Courier New" w:cs="Courier New"/>
          <w:sz w:val="20"/>
          <w:szCs w:val="20"/>
        </w:rPr>
        <w:t>0.2</w:t>
      </w:r>
    </w:p>
    <w:p w14:paraId="72B2B7B6" w14:textId="77777777" w:rsidR="00E821AE" w:rsidRDefault="00000000">
      <w:r>
        <w:rPr>
          <w:b/>
        </w:rPr>
        <w:t>Narrow peaks</w:t>
      </w:r>
      <w:r>
        <w:t> within these broad peaks are called using:</w:t>
      </w:r>
    </w:p>
    <w:p w14:paraId="4D3EC42B" w14:textId="77777777" w:rsidR="00E821AE" w:rsidRDefault="00000000">
      <w:r>
        <w:rPr>
          <w:rFonts w:ascii="Courier New" w:eastAsia="Courier New" w:hAnsi="Courier New" w:cs="Courier New"/>
          <w:sz w:val="20"/>
          <w:szCs w:val="20"/>
        </w:rPr>
        <w:t>-p</w:t>
      </w:r>
      <w:r>
        <w:t>: We use a p-value with a threshold empirically optimized across all species:</w:t>
      </w:r>
    </w:p>
    <w:p w14:paraId="7BF8739E" w14:textId="77777777" w:rsidR="00E821AE" w:rsidRDefault="00000000">
      <w:r>
        <w:t>Standard ChIP-seq:</w:t>
      </w:r>
    </w:p>
    <w:p w14:paraId="057877FA" w14:textId="77777777" w:rsidR="00E821AE" w:rsidRDefault="00000000">
      <w:pPr>
        <w:numPr>
          <w:ilvl w:val="0"/>
          <w:numId w:val="6"/>
        </w:numPr>
      </w:pPr>
      <w:r>
        <w:t xml:space="preserve">With all controls and all read lengths &gt; 75bp: p: </w:t>
      </w:r>
      <w:r>
        <w:rPr>
          <w:rFonts w:ascii="Courier New" w:eastAsia="Courier New" w:hAnsi="Courier New" w:cs="Courier New"/>
          <w:sz w:val="20"/>
          <w:szCs w:val="20"/>
        </w:rPr>
        <w:t>0.1</w:t>
      </w:r>
    </w:p>
    <w:p w14:paraId="799F63CB" w14:textId="77777777" w:rsidR="00E821AE" w:rsidRDefault="00000000">
      <w:pPr>
        <w:numPr>
          <w:ilvl w:val="0"/>
          <w:numId w:val="6"/>
        </w:numPr>
      </w:pPr>
      <w:r>
        <w:t xml:space="preserve">With at least one missing control or at least one file with read length &lt;= 75bp: p: </w:t>
      </w:r>
      <w:r>
        <w:rPr>
          <w:rFonts w:ascii="Courier New" w:eastAsia="Courier New" w:hAnsi="Courier New" w:cs="Courier New"/>
          <w:sz w:val="20"/>
          <w:szCs w:val="20"/>
        </w:rPr>
        <w:t>0.05</w:t>
      </w:r>
    </w:p>
    <w:p w14:paraId="72C468DD" w14:textId="77777777" w:rsidR="00E821AE" w:rsidRDefault="00000000">
      <w:proofErr w:type="spellStart"/>
      <w:r>
        <w:t>ChIPMentation</w:t>
      </w:r>
      <w:proofErr w:type="spellEnd"/>
      <w:r>
        <w:t>:</w:t>
      </w:r>
    </w:p>
    <w:p w14:paraId="73F7EBBB" w14:textId="77777777" w:rsidR="00E821AE" w:rsidRDefault="00000000">
      <w:pPr>
        <w:numPr>
          <w:ilvl w:val="0"/>
          <w:numId w:val="7"/>
        </w:numPr>
      </w:pPr>
      <w:r>
        <w:t xml:space="preserve">With all controls: p: </w:t>
      </w:r>
      <w:r>
        <w:rPr>
          <w:rFonts w:ascii="Courier New" w:eastAsia="Courier New" w:hAnsi="Courier New" w:cs="Courier New"/>
          <w:sz w:val="20"/>
          <w:szCs w:val="20"/>
        </w:rPr>
        <w:t>0.1</w:t>
      </w:r>
    </w:p>
    <w:p w14:paraId="091B521C" w14:textId="77777777" w:rsidR="00E821AE" w:rsidRDefault="00000000" w:rsidP="003564E9">
      <w:pPr>
        <w:pStyle w:val="Heading2"/>
      </w:pPr>
      <w:r>
        <w:lastRenderedPageBreak/>
        <w:t>2. Process flow for pipeline</w:t>
      </w:r>
    </w:p>
    <w:p w14:paraId="7829A24F" w14:textId="77777777" w:rsidR="00E821AE" w:rsidRDefault="00000000">
      <w:r>
        <w:rPr>
          <w:noProof/>
          <w:sz w:val="18"/>
          <w:szCs w:val="18"/>
        </w:rPr>
        <w:drawing>
          <wp:inline distT="114300" distB="114300" distL="114300" distR="114300" wp14:anchorId="52C69811" wp14:editId="27C4A150">
            <wp:extent cx="5122462" cy="6916717"/>
            <wp:effectExtent l="0" t="0" r="0" b="0"/>
            <wp:docPr id="2140894292" name="image3.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diagram of a diagram&#10;&#10;Description automatically generated"/>
                    <pic:cNvPicPr preferRelativeResize="0"/>
                  </pic:nvPicPr>
                  <pic:blipFill>
                    <a:blip r:embed="rId9"/>
                    <a:srcRect/>
                    <a:stretch>
                      <a:fillRect/>
                    </a:stretch>
                  </pic:blipFill>
                  <pic:spPr>
                    <a:xfrm>
                      <a:off x="0" y="0"/>
                      <a:ext cx="5122462" cy="6916717"/>
                    </a:xfrm>
                    <a:prstGeom prst="rect">
                      <a:avLst/>
                    </a:prstGeom>
                    <a:ln/>
                  </pic:spPr>
                </pic:pic>
              </a:graphicData>
            </a:graphic>
          </wp:inline>
        </w:drawing>
      </w:r>
    </w:p>
    <w:p w14:paraId="70449BFE" w14:textId="77777777" w:rsidR="00E821AE" w:rsidRDefault="00000000">
      <w:pPr>
        <w:rPr>
          <w:sz w:val="18"/>
          <w:szCs w:val="18"/>
        </w:rPr>
      </w:pPr>
      <w:r w:rsidRPr="00F168B6">
        <w:rPr>
          <w:b/>
          <w:bCs/>
          <w:sz w:val="18"/>
          <w:szCs w:val="18"/>
        </w:rPr>
        <w:t>Supplementary Figure 1</w:t>
      </w:r>
      <w:r>
        <w:rPr>
          <w:sz w:val="18"/>
          <w:szCs w:val="18"/>
        </w:rPr>
        <w:t xml:space="preserve">: Ensembl’s regulatory annotation process. The results of peak calling, along with gene annotation, are used to identify potential regulatory regions in the genome. Candidate regulatory features are regions that have been detected as open. If a candidate </w:t>
      </w:r>
      <w:sdt>
        <w:sdtPr>
          <w:tag w:val="goog_rdk_0"/>
          <w:id w:val="458161529"/>
        </w:sdtPr>
        <w:sdtContent/>
      </w:sdt>
      <w:sdt>
        <w:sdtPr>
          <w:tag w:val="goog_rdk_1"/>
          <w:id w:val="1575081839"/>
        </w:sdtPr>
        <w:sdtContent/>
      </w:sdt>
      <w:r>
        <w:rPr>
          <w:sz w:val="18"/>
          <w:szCs w:val="18"/>
        </w:rPr>
        <w:t>regulatory feature overlaps within 100 bp of the 5’ end of a transcript, it can be classified as a promoter; if it overlaps histone marks associated with enhancers (H3K4me1 or H3K27ac) but does not overlap a coding region of a gene (CDS), it can be classified as an enhancer. Remaining features are kept as unclassified open chromatin features.</w:t>
      </w:r>
    </w:p>
    <w:p w14:paraId="132163AD" w14:textId="77777777" w:rsidR="00E821AE" w:rsidRDefault="00000000" w:rsidP="003564E9">
      <w:pPr>
        <w:pStyle w:val="Heading2"/>
      </w:pPr>
      <w:r>
        <w:br w:type="page"/>
      </w:r>
      <w:r>
        <w:lastRenderedPageBreak/>
        <w:t>3. β-globin locus of mouse</w:t>
      </w:r>
    </w:p>
    <w:p w14:paraId="02F995D4" w14:textId="77777777" w:rsidR="00E821AE" w:rsidRDefault="00000000">
      <w:pPr>
        <w:rPr>
          <w:sz w:val="18"/>
          <w:szCs w:val="18"/>
        </w:rPr>
      </w:pPr>
      <w:r>
        <w:rPr>
          <w:noProof/>
          <w:sz w:val="18"/>
          <w:szCs w:val="18"/>
        </w:rPr>
        <w:drawing>
          <wp:inline distT="0" distB="0" distL="0" distR="0" wp14:anchorId="3D6D4B6F" wp14:editId="24F3C535">
            <wp:extent cx="5731510" cy="1072515"/>
            <wp:effectExtent l="0" t="0" r="0" b="0"/>
            <wp:docPr id="21408942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31510" cy="1072515"/>
                    </a:xfrm>
                    <a:prstGeom prst="rect">
                      <a:avLst/>
                    </a:prstGeom>
                    <a:ln/>
                  </pic:spPr>
                </pic:pic>
              </a:graphicData>
            </a:graphic>
          </wp:inline>
        </w:drawing>
      </w:r>
    </w:p>
    <w:p w14:paraId="3BF59F69" w14:textId="2DF07CC7" w:rsidR="00E821AE" w:rsidRDefault="00000000" w:rsidP="00F168B6">
      <w:pPr>
        <w:spacing w:before="240"/>
        <w:rPr>
          <w:sz w:val="18"/>
          <w:szCs w:val="18"/>
        </w:rPr>
      </w:pPr>
      <w:r w:rsidRPr="00B443C9">
        <w:rPr>
          <w:b/>
          <w:bCs/>
          <w:sz w:val="18"/>
          <w:szCs w:val="18"/>
        </w:rPr>
        <w:t>Supplementary Figure 2</w:t>
      </w:r>
      <w:r>
        <w:rPr>
          <w:sz w:val="18"/>
          <w:szCs w:val="18"/>
        </w:rPr>
        <w:t xml:space="preserve">: A genome view of chr7:103,438,805-103,532,360 in GRCm39. </w:t>
      </w:r>
      <w:proofErr w:type="spellStart"/>
      <w:r>
        <w:rPr>
          <w:sz w:val="18"/>
          <w:szCs w:val="18"/>
        </w:rPr>
        <w:t>Hbb</w:t>
      </w:r>
      <w:proofErr w:type="spellEnd"/>
      <w:r>
        <w:rPr>
          <w:sz w:val="18"/>
          <w:szCs w:val="18"/>
        </w:rPr>
        <w:t xml:space="preserve">-y is a mouse orthologue of human HBE1 (see Figure 3). Potential clusters of regulatory elements can be identified upstream of </w:t>
      </w:r>
      <w:proofErr w:type="spellStart"/>
      <w:r>
        <w:rPr>
          <w:sz w:val="18"/>
          <w:szCs w:val="18"/>
        </w:rPr>
        <w:t>Hbb</w:t>
      </w:r>
      <w:proofErr w:type="spellEnd"/>
      <w:r>
        <w:rPr>
          <w:sz w:val="18"/>
          <w:szCs w:val="18"/>
        </w:rPr>
        <w:t xml:space="preserve">-y. Ensembl annotation also includes promoters for annotated lncRNA, such as ENSMUSG00000143602, which are not shown in the gene track. Ensembl motif features are only available for </w:t>
      </w:r>
      <w:proofErr w:type="spellStart"/>
      <w:r w:rsidR="00A73514">
        <w:rPr>
          <w:sz w:val="18"/>
          <w:szCs w:val="18"/>
        </w:rPr>
        <w:t>Ctcf</w:t>
      </w:r>
      <w:proofErr w:type="spellEnd"/>
      <w:r>
        <w:rPr>
          <w:sz w:val="18"/>
          <w:szCs w:val="18"/>
        </w:rPr>
        <w:t xml:space="preserve"> in mouse. </w:t>
      </w:r>
      <w:r w:rsidR="004D7FFD">
        <w:rPr>
          <w:sz w:val="18"/>
          <w:szCs w:val="18"/>
        </w:rPr>
        <w:t xml:space="preserve">The </w:t>
      </w:r>
      <w:r>
        <w:rPr>
          <w:sz w:val="18"/>
          <w:szCs w:val="18"/>
        </w:rPr>
        <w:t xml:space="preserve">Ensembl 103 track shows the annotation from the previous regulatory build </w:t>
      </w:r>
      <w:r w:rsidR="00041E8C">
        <w:rPr>
          <w:sz w:val="18"/>
          <w:szCs w:val="18"/>
        </w:rPr>
        <w:fldChar w:fldCharType="begin"/>
      </w:r>
      <w:r w:rsidR="00041E8C">
        <w:rPr>
          <w:sz w:val="18"/>
          <w:szCs w:val="18"/>
        </w:rPr>
        <w:instrText xml:space="preserve"> ADDIN ZOTERO_ITEM CSL_CITATION {"citationID":"bkQGdbQc","properties":{"formattedCitation":"[2,3]","plainCitation":"[2,3]","noteIndex":0},"citationItems":[{"id":2229,"uris":["http://zotero.org/users/531/items/YRZGI33I"],"itemData":{"id":2229,"type":"article-journal","abstract":"Most genomic variants associated with phenotypic traits or disease do not fall within gene coding regions, but in regulatory regions, rendering their interpretation difficult. We collected public data on epigenetic marks and transcription factor binding in human cell types and used it to construct an intuitive summary of regulatory regions in the human genome. We verified it against independent assays for sensitivity. The Ensembl Regulatory Build will be progressively enriched when more data is made available. It is freely available on the Ensembl browser, from the Ensembl Regulation MySQL database server and in a dedicated track hub.","container-title":"Genome Biology","DOI":"10.1186/s13059-015-0621-5","ISSN":"1465-6906","issue":"1","journalAbbreviation":"Genome Biology","page":"56","source":"BioMed Central","title":"The Ensembl Regulatory Build","volume":"16","author":[{"family":"Zerbino","given":"Daniel R."},{"family":"Wilder","given":"Steven P."},{"family":"Johnson","given":"Nathan"},{"family":"Juettemann","given":"Thomas"},{"family":"Flicek","given":"Paul R."}],"issued":{"date-parts":[["2015",3,24]]}}},{"id":548,"uris":["http://zotero.org/users/531/items/RIZCDXHB"],"itemData":{"id":548,"type":"article-journal","abstract":"Ensembl (https://www.ensembl.org) is unique in its flexible infrastructure for access to genomic data and annotation. It has been designed to efficiently deliver annotation at scale for all eukaryotic life, and it also provides deep comprehensive annotation for key species. Genomes representing a greater diversity of species are increasingly being sequenced. In response, we have focussed our recent efforts on expediting the annotation of new assemblies. Here, we report the release of the greatest annual number of newly annotated genomes in the history of Ensembl via our dedicated Ensembl Rapid Release platform (http://rapid.ensembl.org). We have also developed a new method to generate comparative analyses at scale for these assemblies and, for the first time, we have annotated non-vertebrate eukaryotes. Meanwhile, we continually improve, extend and update the annotation for our high-value reference vertebrate genomes and report the details here. We have a range of specific software tools for specific tasks, such as the Ensembl Variant Effect Predictor (VEP) and the newly developed interface for the Variant Recoder. All Ensembl data, software and tools are freely available for download and are accessible programmatically.","container-title":"Nucleic Acids Research","DOI":"10.1093/nar/gkab1049","ISSN":"0305-1048","issue":"D1","journalAbbreviation":"Nucleic Acids Research","page":"D988-D995","source":"Silverchair","title":"Ensembl 2022","volume":"50","author":[{"family":"Cunningham","given":"Fiona"},{"family":"Allen","given":"James E"},{"family":"Allen","given":"Jamie"},{"family":"Alvarez-Jarreta","given":"Jorge"},{"family":"Amode","given":"M Ridwan"},{"family":"Armean","given":"Irina M"},{"family":"Austine-Orimoloye","given":"Olanrewaju"},{"family":"Azov","given":"Andrey G"},{"family":"Barnes","given":"If"},{"family":"Bennett","given":"Ruth"},{"family":"Berry","given":"Andrew"},{"family":"Bhai","given":"Jyothish"},{"family":"Bignell","given":"Alexandra"},{"family":"Billis","given":"Konstantinos"},{"family":"Boddu","given":"Sanjay"},{"family":"Brooks","given":"Lucy"},{"family":"Charkhchi","given":"Mehrnaz"},{"family":"Cummins","given":"Carla"},{"family":"Da Rin Fioretto","given":"Luca"},{"family":"Davidson","given":"Claire"},{"family":"Dodiya","given":"Kamalkumar"},{"family":"Donaldson","given":"Sarah"},{"family":"El Houdaigui","given":"Bilal"},{"family":"El Naboulsi","given":"Tamara"},{"family":"Fatima","given":"Reham"},{"family":"Giron","given":"Carlos Garcia"},{"family":"Genez","given":"Thiago"},{"family":"Martinez","given":"Jose Gonzalez"},{"family":"Guijarro-Clarke","given":"Cristina"},{"family":"Gymer","given":"Arthur"},{"family":"Hardy","given":"Matthew"},{"family":"Hollis","given":"Zoe"},{"family":"Hourlier","given":"Thibaut"},{"family":"Hunt","given":"Toby"},{"family":"Juettemann","given":"Thomas"},{"family":"Kaikala","given":"Vinay"},{"family":"Kay","given":"Mike"},{"family":"Lavidas","given":"Ilias"},{"family":"Le","given":"Tuan"},{"family":"Lemos","given":"Diana"},{"family":"Marugán","given":"José Carlos"},{"family":"Mohanan","given":"Shamika"},{"family":"Mushtaq","given":"Aleena"},{"family":"Naven","given":"Marc"},{"family":"Ogeh","given":"Denye N"},{"family":"Parker","given":"Anne"},{"family":"Parton","given":"Andrew"},{"family":"Perry","given":"Malcolm"},{"family":"Piližota","given":"Ivana"},{"family":"Prosovetskaia","given":"Irina"},{"family":"Sakthivel","given":"Manoj Pandian"},{"family":"Salam","given":"Ahamed Imran Abdul"},{"family":"Schmitt","given":"Bianca M"},{"family":"Schuilenburg","given":"Helen"},{"family":"Sheppard","given":"Dan"},{"family":"Pérez-Silva","given":"José G"},{"family":"Stark","given":"William"},{"family":"Steed","given":"Emily"},{"family":"Sutinen","given":"Kyösti"},{"family":"Sukumaran","given":"Ranjit"},{"family":"Sumathipala","given":"Dulika"},{"family":"Suner","given":"Marie-Marthe"},{"family":"Szpak","given":"Michal"},{"family":"Thormann","given":"Anja"},{"family":"Tricomi","given":"Francesca Floriana"},{"family":"Urbina-Gómez","given":"David"},{"family":"Veidenberg","given":"Andres"},{"family":"Walsh","given":"Thomas A"},{"family":"Walts","given":"Brandon"},{"family":"Willhoft","given":"Natalie"},{"family":"Winterbottom","given":"Andrea"},{"family":"Wass","given":"Elizabeth"},{"family":"Chakiachvili","given":"Marc"},{"family":"Flint","given":"Bethany"},{"family":"Frankish","given":"Adam"},{"family":"Giorgetti","given":"Stefano"},{"family":"Haggerty","given":"Leanne"},{"family":"Hunt","given":"Sarah E"},{"family":"IIsley","given":"Garth R"},{"family":"Loveland","given":"Jane E"},{"family":"Martin","given":"Fergal J"},{"family":"Moore","given":"Benjamin"},{"family":"Mudge","given":"Jonathan M"},{"family":"Muffato","given":"Matthieu"},{"family":"Perry","given":"Emily"},{"family":"Ruffier","given":"Magali"},{"family":"Tate","given":"John"},{"family":"Thybert","given":"David"},{"family":"Trevanion","given":"Stephen J"},{"family":"Dyer","given":"Sarah"},{"family":"Harrison","given":"Peter W"},{"family":"Howe","given":"Kevin L"},{"family":"Yates","given":"Andrew D"},{"family":"Zerbino","given":"Daniel R"},{"family":"Flicek","given":"Paul"}],"issued":{"date-parts":[["2022",1,7]]}}}],"schema":"https://github.com/citation-style-language/schema/raw/master/csl-citation.json"} </w:instrText>
      </w:r>
      <w:r w:rsidR="00041E8C">
        <w:rPr>
          <w:sz w:val="18"/>
          <w:szCs w:val="18"/>
        </w:rPr>
        <w:fldChar w:fldCharType="separate"/>
      </w:r>
      <w:r w:rsidR="00041E8C" w:rsidRPr="00041E8C">
        <w:rPr>
          <w:sz w:val="18"/>
        </w:rPr>
        <w:t>[2,3]</w:t>
      </w:r>
      <w:r w:rsidR="00041E8C">
        <w:rPr>
          <w:sz w:val="18"/>
          <w:szCs w:val="18"/>
        </w:rPr>
        <w:fldChar w:fldCharType="end"/>
      </w:r>
      <w:r>
        <w:rPr>
          <w:sz w:val="18"/>
          <w:szCs w:val="18"/>
        </w:rPr>
        <w:t xml:space="preserve">. The last track is ENCODE SCREEN annotation v4 </w:t>
      </w:r>
      <w:r w:rsidR="00041E8C">
        <w:rPr>
          <w:sz w:val="18"/>
          <w:szCs w:val="18"/>
        </w:rPr>
        <w:fldChar w:fldCharType="begin"/>
      </w:r>
      <w:r w:rsidR="00041E8C">
        <w:rPr>
          <w:sz w:val="18"/>
          <w:szCs w:val="18"/>
        </w:rPr>
        <w:instrText xml:space="preserve"> ADDIN ZOTERO_ITEM CSL_CITATION {"citationID":"cOWyYVAM","properties":{"formattedCitation":"[4]","plainCitation":"[4]","noteIndex":0},"citationItems":[{"id":2280,"uris":["http://zotero.org/users/531/items/RYR4SU2T"],"itemData":{"id":2280,"type":"article","abstract":"Mammalian genomes contain millions of regulatory elements that control the complex patterns of gene expression. Previously, The ENCODE consortium mapped biochemical signals across many cell types and tissues and integrated these data to develop a Registry of 0.9 million human and 300 thousand mouse candidate cis-Regulatory Elements (cCREs) annotated with potential functions1. We have expanded the Registry to include 2.35 million human and 927 thousand mouse cCREs, leveraging new ENCODE datasets and enhanced computational methods. This expanded Registry covers hundreds of unique cell and tissue types, providing a comprehensive understanding of gene regulation. Functional characterization data from assays like STARR-seq, MPRA, CRISPR perturbation, and transgenic mouse assays now cover over 90% of human cCREs, revealing complex regulatory functions. We identified thousands of novel silencer cCREs and demonstrated their dual enhancer/silencer roles in different cellular contexts. Integrating the Registry with other ENCODE annotations facilitates genetic variation interpretation and trait-associated gene identification, exemplified by discovering KLF1 as a novel causal gene for red blood cell traits. This expanded Registry is a valuable resource for studying the regulatory genome and its impact on health and disease.","DOI":"10.1101/2024.12.26.629296","language":"en","license":"© 2024, Posted by Cold Spring Harbor Laboratory. This pre-print is available under a Creative Commons License (Attribution-NonCommercial-NoDerivs 4.0 International), CC BY-NC-ND 4.0, as described at http://creativecommons.org/licenses/by-nc-nd/4.0/","note":"page: 2024.12.26.629296\nsection: New Results","publisher":"bioRxiv","source":"bioRxiv","title":"An Expanded Registry of Candidate cis-Regulatory Elements for Studying Transcriptional Regulation","URL":"https://www.biorxiv.org/content/10.1101/2024.12.26.629296v1","author":[{"family":"Moore","given":"Jill E."},{"family":"Pratt","given":"Henry E."},{"family":"Fan","given":"Kaili"},{"family":"Phalke","given":"Nishigandha"},{"family":"Fisher","given":"Jonathan"},{"family":"Elhajjajy","given":"Shaimae I."},{"family":"Andrews","given":"Gregory"},{"family":"Gao","given":"Mingshi"},{"family":"Shedd","given":"Nicole"},{"family":"Fu","given":"Yu"},{"family":"Lacadie","given":"Matthew C."},{"family":"Meza","given":"Jair"},{"family":"Ganna","given":"Mohit"},{"family":"Choudhury","given":"Eva"},{"family":"Swofford","given":"Ross"},{"family":"Farrell","given":"Nina P."},{"family":"Pampari","given":"Anusri"},{"family":"Ramalingam","given":"Vivekanandan"},{"family":"Reese","given":"Fairlie"},{"family":"Borsari","given":"Beatrice"},{"family":"Yu","given":"Michelle"},{"family":"Wattenberg","given":"Eve"},{"family":"Ruiz-Romero","given":"Marina"},{"family":"Razavi-Mohseni","given":"Milad"},{"family":"Xu","given":"Jinrui"},{"family":"Galeev","given":"Timur"},{"family":"Beer","given":"Michael A."},{"family":"Guigó","given":"Roderic"},{"family":"Gerstein","given":"Mark"},{"family":"Engreitz","given":"Jesse"},{"family":"Ljungman","given":"Mats"},{"family":"Reddy","given":"Timothy E."},{"family":"Snyder","given":"Michael P."},{"family":"Epstein","given":"Charles B."},{"family":"Gaskell","given":"Elizabeth"},{"family":"Bernstein","given":"Bradley E."},{"family":"Dickel","given":"Diane E."},{"family":"Visel","given":"Axel"},{"family":"Pennacchio","given":"Len A."},{"family":"Mortazavi","given":"Ali"},{"family":"Kundaje","given":"Anshul"},{"family":"Weng","given":"Zhiping"}],"accessed":{"date-parts":[["2025",1,24]]},"issued":{"date-parts":[["2024",12,26]]}}}],"schema":"https://github.com/citation-style-language/schema/raw/master/csl-citation.json"} </w:instrText>
      </w:r>
      <w:r w:rsidR="00041E8C">
        <w:rPr>
          <w:sz w:val="18"/>
          <w:szCs w:val="18"/>
        </w:rPr>
        <w:fldChar w:fldCharType="separate"/>
      </w:r>
      <w:r w:rsidR="00041E8C" w:rsidRPr="00041E8C">
        <w:rPr>
          <w:sz w:val="18"/>
        </w:rPr>
        <w:t>[4]</w:t>
      </w:r>
      <w:r w:rsidR="00041E8C">
        <w:rPr>
          <w:sz w:val="18"/>
          <w:szCs w:val="18"/>
        </w:rPr>
        <w:fldChar w:fldCharType="end"/>
      </w:r>
      <w:r>
        <w:rPr>
          <w:sz w:val="18"/>
          <w:szCs w:val="18"/>
        </w:rPr>
        <w:t>.</w:t>
      </w:r>
    </w:p>
    <w:p w14:paraId="58F15E3B" w14:textId="77777777" w:rsidR="00E821AE" w:rsidRDefault="00E821AE">
      <w:pPr>
        <w:rPr>
          <w:sz w:val="18"/>
          <w:szCs w:val="18"/>
        </w:rPr>
      </w:pPr>
    </w:p>
    <w:p w14:paraId="3EB8DB2B" w14:textId="77777777" w:rsidR="00E821AE" w:rsidRDefault="00000000" w:rsidP="003564E9">
      <w:pPr>
        <w:pStyle w:val="Heading2"/>
      </w:pPr>
      <w:r>
        <w:t>4. Feature count across species, including embryonic tissue</w:t>
      </w:r>
    </w:p>
    <w:p w14:paraId="54BCE360" w14:textId="77777777" w:rsidR="00E821AE" w:rsidRDefault="00000000">
      <w:pPr>
        <w:widowControl w:val="0"/>
        <w:pBdr>
          <w:top w:val="nil"/>
          <w:left w:val="nil"/>
          <w:bottom w:val="nil"/>
          <w:right w:val="nil"/>
          <w:between w:val="nil"/>
        </w:pBdr>
        <w:spacing w:after="0" w:line="276" w:lineRule="auto"/>
      </w:pPr>
      <w:r>
        <w:rPr>
          <w:noProof/>
        </w:rPr>
        <w:drawing>
          <wp:inline distT="0" distB="0" distL="0" distR="0" wp14:anchorId="36E13A9A" wp14:editId="7991F032">
            <wp:extent cx="5731510" cy="2644140"/>
            <wp:effectExtent l="0" t="0" r="0" b="0"/>
            <wp:docPr id="21408942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31510" cy="2644140"/>
                    </a:xfrm>
                    <a:prstGeom prst="rect">
                      <a:avLst/>
                    </a:prstGeom>
                    <a:ln/>
                  </pic:spPr>
                </pic:pic>
              </a:graphicData>
            </a:graphic>
          </wp:inline>
        </w:drawing>
      </w:r>
    </w:p>
    <w:p w14:paraId="6D6BC326" w14:textId="27C08E99" w:rsidR="00E821AE" w:rsidRDefault="00000000" w:rsidP="00F168B6">
      <w:pPr>
        <w:spacing w:before="120"/>
      </w:pPr>
      <w:r w:rsidRPr="00B443C9">
        <w:rPr>
          <w:b/>
          <w:bCs/>
          <w:sz w:val="18"/>
          <w:szCs w:val="18"/>
        </w:rPr>
        <w:t>Supplementary Figure 3:</w:t>
      </w:r>
      <w:r>
        <w:rPr>
          <w:sz w:val="18"/>
          <w:szCs w:val="18"/>
        </w:rPr>
        <w:t xml:space="preserve"> Feature count across species by tissue count and genome length as in Figure </w:t>
      </w:r>
      <w:proofErr w:type="gramStart"/>
      <w:r>
        <w:rPr>
          <w:sz w:val="18"/>
          <w:szCs w:val="18"/>
        </w:rPr>
        <w:t>2, but</w:t>
      </w:r>
      <w:proofErr w:type="gramEnd"/>
      <w:r>
        <w:rPr>
          <w:sz w:val="18"/>
          <w:szCs w:val="18"/>
        </w:rPr>
        <w:t xml:space="preserve"> including embryonic tissue.</w:t>
      </w:r>
    </w:p>
    <w:p w14:paraId="5A2A6A83" w14:textId="77777777" w:rsidR="00E821AE" w:rsidRDefault="00000000">
      <w:pPr>
        <w:rPr>
          <w:color w:val="0F4761"/>
          <w:sz w:val="32"/>
          <w:szCs w:val="32"/>
        </w:rPr>
      </w:pPr>
      <w:r>
        <w:br w:type="page"/>
      </w:r>
    </w:p>
    <w:p w14:paraId="78EC3FF1" w14:textId="77777777" w:rsidR="00041E8C" w:rsidRDefault="00041E8C" w:rsidP="003564E9">
      <w:pPr>
        <w:pStyle w:val="Heading2"/>
      </w:pPr>
      <w:r>
        <w:lastRenderedPageBreak/>
        <w:t>References</w:t>
      </w:r>
    </w:p>
    <w:p w14:paraId="1A5DF61E" w14:textId="77777777" w:rsidR="00041E8C" w:rsidRPr="00041E8C" w:rsidRDefault="00041E8C" w:rsidP="00041E8C">
      <w:pPr>
        <w:pStyle w:val="Bibliography"/>
      </w:pPr>
      <w:r>
        <w:fldChar w:fldCharType="begin"/>
      </w:r>
      <w:r>
        <w:instrText xml:space="preserve"> ADDIN ZOTERO_BIBL {"uncited":[],"omitted":[],"custom":[]} CSL_BIBLIOGRAPHY </w:instrText>
      </w:r>
      <w:r>
        <w:fldChar w:fldCharType="separate"/>
      </w:r>
      <w:r w:rsidRPr="00041E8C">
        <w:t>1. Gaspar JM. Genrich: detecting sites of genomic enrichment [Internet]. 2023 [cited 2023 Sept 15]. https://github.com/jsh58/Genrich. Accessed 15 Sept 2023</w:t>
      </w:r>
    </w:p>
    <w:p w14:paraId="21B7903A" w14:textId="77777777" w:rsidR="00041E8C" w:rsidRPr="00041E8C" w:rsidRDefault="00041E8C" w:rsidP="00041E8C">
      <w:pPr>
        <w:pStyle w:val="Bibliography"/>
      </w:pPr>
      <w:r w:rsidRPr="00041E8C">
        <w:t>2. Zerbino DR, Wilder SP, Johnson N, Juettemann T, Flicek PR. The Ensembl Regulatory Build. Genome Biology. 2015;16:56. https://doi.org/10.1186/s13059-015-0621-5</w:t>
      </w:r>
    </w:p>
    <w:p w14:paraId="1A24C4CF" w14:textId="77777777" w:rsidR="00041E8C" w:rsidRPr="00041E8C" w:rsidRDefault="00041E8C" w:rsidP="00041E8C">
      <w:pPr>
        <w:pStyle w:val="Bibliography"/>
      </w:pPr>
      <w:r w:rsidRPr="00041E8C">
        <w:t>3. Cunningham F, Allen JE, Allen J, Alvarez-Jarreta J, Amode MR, Armean IM, et al. Ensembl 2022. Nucleic Acids Research. 2022;50:D988–95. https://doi.org/10.1093/nar/gkab1049</w:t>
      </w:r>
    </w:p>
    <w:p w14:paraId="0F9EF479" w14:textId="77777777" w:rsidR="00041E8C" w:rsidRPr="00041E8C" w:rsidRDefault="00041E8C" w:rsidP="00041E8C">
      <w:pPr>
        <w:pStyle w:val="Bibliography"/>
      </w:pPr>
      <w:r w:rsidRPr="00041E8C">
        <w:t>4. Moore JE, Pratt HE, Fan K, Phalke N, Fisher J, Elhajjajy SI, et al. An Expanded Registry of Candidate cis-Regulatory Elements for Studying Transcriptional Regulation [Internet]. bioRxiv; 2024 [cited 2025 Jan 24]. p. 2024.12.26.629296. https://doi.org/10.1101/2024.12.26.629296</w:t>
      </w:r>
    </w:p>
    <w:p w14:paraId="31061E56" w14:textId="698AE373" w:rsidR="00E821AE" w:rsidRDefault="00041E8C">
      <w:r>
        <w:fldChar w:fldCharType="end"/>
      </w:r>
    </w:p>
    <w:sectPr w:rsidR="00E821AE">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D41C5" w14:textId="77777777" w:rsidR="002667DD" w:rsidRDefault="002667DD" w:rsidP="00880514">
      <w:pPr>
        <w:spacing w:after="0" w:line="240" w:lineRule="auto"/>
      </w:pPr>
      <w:r>
        <w:separator/>
      </w:r>
    </w:p>
  </w:endnote>
  <w:endnote w:type="continuationSeparator" w:id="0">
    <w:p w14:paraId="5BCDED22" w14:textId="77777777" w:rsidR="002667DD" w:rsidRDefault="002667DD" w:rsidP="0088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350136"/>
      <w:docPartObj>
        <w:docPartGallery w:val="Page Numbers (Bottom of Page)"/>
        <w:docPartUnique/>
      </w:docPartObj>
    </w:sdtPr>
    <w:sdtContent>
      <w:p w14:paraId="4FAB28C0" w14:textId="3B537058" w:rsidR="00880514" w:rsidRDefault="00880514">
        <w:pPr>
          <w:pStyle w:val="Footer"/>
          <w:jc w:val="right"/>
        </w:pPr>
        <w:r>
          <w:fldChar w:fldCharType="begin"/>
        </w:r>
        <w:r>
          <w:instrText>PAGE   \* MERGEFORMAT</w:instrText>
        </w:r>
        <w:r>
          <w:fldChar w:fldCharType="separate"/>
        </w:r>
        <w:r>
          <w:t>2</w:t>
        </w:r>
        <w:r>
          <w:fldChar w:fldCharType="end"/>
        </w:r>
      </w:p>
    </w:sdtContent>
  </w:sdt>
  <w:p w14:paraId="48074AD8" w14:textId="77777777" w:rsidR="00880514" w:rsidRDefault="00880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D7A18" w14:textId="77777777" w:rsidR="002667DD" w:rsidRDefault="002667DD" w:rsidP="00880514">
      <w:pPr>
        <w:spacing w:after="0" w:line="240" w:lineRule="auto"/>
      </w:pPr>
      <w:r>
        <w:separator/>
      </w:r>
    </w:p>
  </w:footnote>
  <w:footnote w:type="continuationSeparator" w:id="0">
    <w:p w14:paraId="0678CED7" w14:textId="77777777" w:rsidR="002667DD" w:rsidRDefault="002667DD" w:rsidP="00880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800"/>
    <w:multiLevelType w:val="multilevel"/>
    <w:tmpl w:val="3DC079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010D5B"/>
    <w:multiLevelType w:val="multilevel"/>
    <w:tmpl w:val="30B4B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41F246F"/>
    <w:multiLevelType w:val="multilevel"/>
    <w:tmpl w:val="CCF67C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9E595D"/>
    <w:multiLevelType w:val="multilevel"/>
    <w:tmpl w:val="1E40E6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2994D15"/>
    <w:multiLevelType w:val="multilevel"/>
    <w:tmpl w:val="DAB03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984417C"/>
    <w:multiLevelType w:val="multilevel"/>
    <w:tmpl w:val="DFA8D6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AC55753"/>
    <w:multiLevelType w:val="multilevel"/>
    <w:tmpl w:val="C8FE4A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70282027">
    <w:abstractNumId w:val="4"/>
  </w:num>
  <w:num w:numId="2" w16cid:durableId="1443265707">
    <w:abstractNumId w:val="2"/>
  </w:num>
  <w:num w:numId="3" w16cid:durableId="1634555120">
    <w:abstractNumId w:val="0"/>
  </w:num>
  <w:num w:numId="4" w16cid:durableId="1230579290">
    <w:abstractNumId w:val="5"/>
  </w:num>
  <w:num w:numId="5" w16cid:durableId="53547892">
    <w:abstractNumId w:val="6"/>
  </w:num>
  <w:num w:numId="6" w16cid:durableId="594825839">
    <w:abstractNumId w:val="1"/>
  </w:num>
  <w:num w:numId="7" w16cid:durableId="1871412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AE"/>
    <w:rsid w:val="00041E8C"/>
    <w:rsid w:val="000A47D1"/>
    <w:rsid w:val="002667DD"/>
    <w:rsid w:val="002E5F93"/>
    <w:rsid w:val="003564E9"/>
    <w:rsid w:val="003E183B"/>
    <w:rsid w:val="003E59D6"/>
    <w:rsid w:val="004D7FFD"/>
    <w:rsid w:val="00501D4F"/>
    <w:rsid w:val="007012B5"/>
    <w:rsid w:val="00880514"/>
    <w:rsid w:val="00A73514"/>
    <w:rsid w:val="00B443C9"/>
    <w:rsid w:val="00BE5DF9"/>
    <w:rsid w:val="00D90796"/>
    <w:rsid w:val="00E821AE"/>
    <w:rsid w:val="00F16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E3EA"/>
  <w15:docId w15:val="{CDDE2561-A3E0-4250-B44A-33B17184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564E9"/>
    <w:pPr>
      <w:keepNext/>
      <w:keepLines/>
      <w:spacing w:before="360" w:after="80"/>
      <w:outlineLvl w:val="0"/>
    </w:pPr>
    <w:rPr>
      <w:sz w:val="40"/>
      <w:szCs w:val="40"/>
    </w:rPr>
  </w:style>
  <w:style w:type="paragraph" w:styleId="Heading2">
    <w:name w:val="heading 2"/>
    <w:basedOn w:val="Normal"/>
    <w:next w:val="Normal"/>
    <w:uiPriority w:val="9"/>
    <w:unhideWhenUsed/>
    <w:qFormat/>
    <w:rsid w:val="003564E9"/>
    <w:pPr>
      <w:keepNext/>
      <w:keepLines/>
      <w:spacing w:before="160" w:after="80"/>
      <w:outlineLvl w:val="1"/>
    </w:pPr>
    <w:rPr>
      <w:sz w:val="32"/>
      <w:szCs w:val="32"/>
    </w:rPr>
  </w:style>
  <w:style w:type="paragraph" w:styleId="Heading3">
    <w:name w:val="heading 3"/>
    <w:basedOn w:val="Normal"/>
    <w:next w:val="Normal"/>
    <w:uiPriority w:val="9"/>
    <w:unhideWhenUsed/>
    <w:qFormat/>
    <w:rsid w:val="003564E9"/>
    <w:pPr>
      <w:keepNext/>
      <w:keepLines/>
      <w:spacing w:before="160" w:after="80"/>
      <w:outlineLvl w:val="2"/>
    </w:pPr>
    <w:rPr>
      <w:sz w:val="28"/>
      <w:szCs w:val="28"/>
    </w:rPr>
  </w:style>
  <w:style w:type="paragraph" w:styleId="Heading4">
    <w:name w:val="heading 4"/>
    <w:basedOn w:val="Normal"/>
    <w:next w:val="Normal"/>
    <w:uiPriority w:val="9"/>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a">
    <w:basedOn w:val="TableNormal2"/>
    <w:tblPr>
      <w:tblStyleRowBandSize w:val="1"/>
      <w:tblStyleColBandSize w:val="1"/>
    </w:tblPr>
  </w:style>
  <w:style w:type="table" w:customStyle="1" w:styleId="a0">
    <w:basedOn w:val="TableNormal2"/>
    <w:pPr>
      <w:spacing w:after="0" w:line="240" w:lineRule="auto"/>
    </w:pPr>
    <w:rPr>
      <w:color w:val="FFFFFF"/>
    </w:rPr>
    <w:tblPr>
      <w:tblStyleRowBandSize w:val="1"/>
      <w:tblStyleColBandSize w:val="1"/>
      <w:tblCellMar>
        <w:top w:w="0" w:type="dxa"/>
        <w:left w:w="115" w:type="dxa"/>
        <w:bottom w:w="0" w:type="dxa"/>
        <w:right w:w="115" w:type="dxa"/>
      </w:tblCellMar>
    </w:tblPr>
    <w:tcPr>
      <w:shd w:val="clear" w:color="auto" w:fill="156082"/>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1">
    <w:basedOn w:val="TableNormal2"/>
    <w:pPr>
      <w:spacing w:after="0" w:line="240" w:lineRule="auto"/>
    </w:pPr>
    <w:tblPr>
      <w:tblStyleRowBandSize w:val="1"/>
      <w:tblStyleColBandSize w:val="1"/>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ibliography">
    <w:name w:val="Bibliography"/>
    <w:basedOn w:val="Normal"/>
    <w:next w:val="Normal"/>
    <w:uiPriority w:val="37"/>
    <w:unhideWhenUsed/>
    <w:rsid w:val="000E394E"/>
    <w:pPr>
      <w:spacing w:after="240" w:line="240" w:lineRule="auto"/>
    </w:pPr>
  </w:style>
  <w:style w:type="paragraph" w:styleId="Header">
    <w:name w:val="header"/>
    <w:basedOn w:val="Normal"/>
    <w:link w:val="HeaderChar"/>
    <w:uiPriority w:val="99"/>
    <w:unhideWhenUsed/>
    <w:rsid w:val="00441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5C1"/>
  </w:style>
  <w:style w:type="paragraph" w:styleId="Footer">
    <w:name w:val="footer"/>
    <w:basedOn w:val="Normal"/>
    <w:link w:val="FooterChar"/>
    <w:uiPriority w:val="99"/>
    <w:unhideWhenUsed/>
    <w:rsid w:val="00441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5C1"/>
  </w:style>
  <w:style w:type="table" w:styleId="PlainTable1">
    <w:name w:val="Plain Table 1"/>
    <w:basedOn w:val="TableNormal"/>
    <w:uiPriority w:val="41"/>
    <w:rsid w:val="002A31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E25A4"/>
    <w:pPr>
      <w:ind w:left="720"/>
      <w:contextualSpacing/>
    </w:pPr>
  </w:style>
  <w:style w:type="character" w:styleId="Hyperlink">
    <w:name w:val="Hyperlink"/>
    <w:basedOn w:val="DefaultParagraphFont"/>
    <w:uiPriority w:val="99"/>
    <w:unhideWhenUsed/>
    <w:rsid w:val="002E25A4"/>
    <w:rPr>
      <w:color w:val="0000FF" w:themeColor="hyperlink"/>
      <w:u w:val="single"/>
    </w:rPr>
  </w:style>
  <w:style w:type="character" w:styleId="UnresolvedMention">
    <w:name w:val="Unresolved Mention"/>
    <w:basedOn w:val="DefaultParagraphFont"/>
    <w:uiPriority w:val="99"/>
    <w:semiHidden/>
    <w:unhideWhenUsed/>
    <w:rsid w:val="002E25A4"/>
    <w:rPr>
      <w:color w:val="605E5C"/>
      <w:shd w:val="clear" w:color="auto" w:fill="E1DFDD"/>
    </w:r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Subtitle">
    <w:name w:val="Subtitle"/>
    <w:basedOn w:val="Normal"/>
    <w:next w:val="Normal"/>
    <w:uiPriority w:val="11"/>
    <w:qFormat/>
    <w:rPr>
      <w:color w:val="595959"/>
      <w:sz w:val="28"/>
      <w:szCs w:val="28"/>
    </w:r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3E183B"/>
    <w:pPr>
      <w:spacing w:after="0" w:line="240" w:lineRule="auto"/>
    </w:pPr>
  </w:style>
  <w:style w:type="paragraph" w:styleId="CommentSubject">
    <w:name w:val="annotation subject"/>
    <w:basedOn w:val="CommentText"/>
    <w:next w:val="CommentText"/>
    <w:link w:val="CommentSubjectChar"/>
    <w:uiPriority w:val="99"/>
    <w:semiHidden/>
    <w:unhideWhenUsed/>
    <w:rsid w:val="003E183B"/>
    <w:rPr>
      <w:b/>
      <w:bCs/>
    </w:rPr>
  </w:style>
  <w:style w:type="character" w:customStyle="1" w:styleId="CommentSubjectChar">
    <w:name w:val="Comment Subject Char"/>
    <w:basedOn w:val="CommentTextChar"/>
    <w:link w:val="CommentSubject"/>
    <w:uiPriority w:val="99"/>
    <w:semiHidden/>
    <w:rsid w:val="003E18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ncodeproject.org/chip-seq/histo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cx8QxSXYygawd8EH73QUDAoLQ==">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2462</Words>
  <Characters>14035</Characters>
  <Application>Microsoft Office Word</Application>
  <DocSecurity>0</DocSecurity>
  <Lines>116</Lines>
  <Paragraphs>32</Paragraphs>
  <ScaleCrop>false</ScaleCrop>
  <Company>EMBL EBI</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Garth Ilsley</cp:lastModifiedBy>
  <cp:revision>13</cp:revision>
  <dcterms:created xsi:type="dcterms:W3CDTF">2025-09-19T09:29:00Z</dcterms:created>
  <dcterms:modified xsi:type="dcterms:W3CDTF">2025-11-01T17:17:00Z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id="tlIwFBrj"/&gt;&lt;style id="http://www.zotero.org/styles/genome-biology" hasBibliography="1" bibliographyStyleHasBeenSet="1"/&gt;&lt;prefs&gt;&lt;pref name="fieldType" value="Field"/&gt;&lt;/prefs&gt;&lt;/data&gt;</vt:lpwstr>
  </property>
</Properties>
</file>