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1592" w:tblpY="2382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2"/>
        <w:gridCol w:w="2044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5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eastAsia="Times New Roman"/>
                <w:b/>
                <w:color w:val="000000" w:themeColor="text1"/>
                <w:sz w:val="24"/>
                <w:szCs w:val="24"/>
                <w:lang w:val="en-MY"/>
                <w14:textFill>
                  <w14:solidFill>
                    <w14:schemeClr w14:val="tx1"/>
                  </w14:solidFill>
                </w14:textFill>
              </w:rPr>
              <w:t xml:space="preserve"> Table 5.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MY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MY"/>
              </w:rPr>
              <w:t>Overall Survival, 7-gene Signature, and Kaplan–Meier Estimates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lang w:val="en-M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/>
                <w:bCs/>
                <w:sz w:val="24"/>
                <w:szCs w:val="24"/>
                <w:vertAlign w:val="baseline"/>
                <w:lang w:val="en-MY"/>
              </w:rPr>
              <w:t>Variables</w:t>
            </w:r>
          </w:p>
        </w:tc>
        <w:tc>
          <w:tcPr>
            <w:tcW w:w="4158" w:type="dxa"/>
            <w:gridSpan w:val="2"/>
          </w:tcPr>
          <w:p>
            <w:pPr>
              <w:widowControl w:val="0"/>
              <w:jc w:val="center"/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val="en-MY" w:eastAsia="zh-CN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  <w:t>Groups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/>
                <w:bCs/>
                <w:sz w:val="24"/>
                <w:szCs w:val="24"/>
                <w:vertAlign w:val="baseline"/>
                <w:lang w:val="en-MY"/>
              </w:rPr>
              <w:t>Training group</w:t>
            </w:r>
          </w:p>
        </w:tc>
        <w:tc>
          <w:tcPr>
            <w:tcW w:w="2044" w:type="dxa"/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val="en-MY" w:eastAsia="zh-CN"/>
              </w:rPr>
              <w:t>low risk (</w:t>
            </w: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n=51)</w:t>
            </w:r>
          </w:p>
        </w:tc>
        <w:tc>
          <w:tcPr>
            <w:tcW w:w="2114" w:type="dxa"/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val="en-MY" w:eastAsia="zh-CN"/>
              </w:rPr>
              <w:t xml:space="preserve">high risk </w:t>
            </w: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(n=51)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Deaths — no. (%)†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Data censored‡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Median overall survival — mo (95% CI)</w:t>
            </w:r>
          </w:p>
        </w:tc>
        <w:tc>
          <w:tcPr>
            <w:tcW w:w="204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NE</w:t>
            </w:r>
          </w:p>
        </w:tc>
        <w:tc>
          <w:tcPr>
            <w:tcW w:w="211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560" w:type="dxa"/>
            <w:gridSpan w:val="3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MY"/>
                <w14:textFill>
                  <w14:solidFill>
                    <w14:schemeClr w14:val="tx1"/>
                  </w14:solidFill>
                </w14:textFill>
              </w:rPr>
              <w:t>The overall survival (95% CI) by Kaplan–Meier estimation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/>
                <w:b w:val="0"/>
                <w:bCs w:val="0"/>
                <w:sz w:val="24"/>
                <w:szCs w:val="24"/>
                <w:vertAlign w:val="baseline"/>
                <w:lang w:val="en-MY"/>
              </w:rPr>
              <w:t>3.60</w:t>
            </w: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 xml:space="preserve"> mo</w:t>
            </w:r>
          </w:p>
        </w:tc>
        <w:tc>
          <w:tcPr>
            <w:tcW w:w="20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  <w:t>NA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98(94.3-1)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10.70 mo</w:t>
            </w:r>
          </w:p>
        </w:tc>
        <w:tc>
          <w:tcPr>
            <w:tcW w:w="20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  <w:t>NA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90.2(82.4 -98.7)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mo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98(94.2-1)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84.3(74.9-94.9)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23.57 mo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  <w:t>NA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82.3(72.5 -93.5)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 mo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96( 90.7-1)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76.2(65.3-88.9)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 mo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  <w:t>NA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73.9(62.6-87.2)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 mo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  <w:t>NA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68.6( 56.4-83.5)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/>
                <w:bCs/>
                <w:sz w:val="24"/>
                <w:szCs w:val="24"/>
                <w:vertAlign w:val="baseline"/>
                <w:lang w:val="en-MY"/>
              </w:rPr>
              <w:t>Validation group (TCGA data)</w:t>
            </w:r>
          </w:p>
        </w:tc>
        <w:tc>
          <w:tcPr>
            <w:tcW w:w="2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low risk (n =261)</w:t>
            </w:r>
          </w:p>
        </w:tc>
        <w:tc>
          <w:tcPr>
            <w:tcW w:w="2114" w:type="dxa"/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/>
                <w:b w:val="0"/>
                <w:bCs w:val="0"/>
                <w:sz w:val="24"/>
                <w:szCs w:val="24"/>
                <w:vertAlign w:val="baseline"/>
                <w:lang w:val="en-MY"/>
              </w:rPr>
              <w:t>high risk (n=261)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Deaths — no. (%)†</w:t>
            </w:r>
          </w:p>
        </w:tc>
        <w:tc>
          <w:tcPr>
            <w:tcW w:w="204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62</w:t>
            </w:r>
          </w:p>
        </w:tc>
        <w:tc>
          <w:tcPr>
            <w:tcW w:w="211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Data censored‡</w:t>
            </w:r>
          </w:p>
        </w:tc>
        <w:tc>
          <w:tcPr>
            <w:tcW w:w="204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199</w:t>
            </w:r>
          </w:p>
        </w:tc>
        <w:tc>
          <w:tcPr>
            <w:tcW w:w="211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Median overall survival — mo (95% CI)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77.3( 55.1 - NE)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36(31.6 - 42.2)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560" w:type="dxa"/>
            <w:gridSpan w:val="3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MY"/>
                <w14:textFill>
                  <w14:solidFill>
                    <w14:schemeClr w14:val="tx1"/>
                  </w14:solidFill>
                </w14:textFill>
              </w:rPr>
              <w:t>The overall survival (95% CI) by Kaplan–Meier estimation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36-39.8 mo</w:t>
            </w:r>
          </w:p>
        </w:tc>
        <w:tc>
          <w:tcPr>
            <w:tcW w:w="204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/>
                <w:b w:val="0"/>
                <w:bCs w:val="0"/>
                <w:sz w:val="24"/>
                <w:szCs w:val="24"/>
                <w:vertAlign w:val="baseline"/>
                <w:lang w:val="en-MY"/>
              </w:rPr>
              <w:t>75.4(68.77- 82.7)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49.9(42.95 - 58.1)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402" w:type="dxa"/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77-79 mo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  <w:lang w:val="en-MY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48.7(38.29 -61.8)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25.1(17.72- 35.6)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40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  <w:t>106-112 mo</w:t>
            </w:r>
          </w:p>
        </w:tc>
        <w:tc>
          <w:tcPr>
            <w:tcW w:w="2044" w:type="dxa"/>
            <w:tcBorders>
              <w:bottom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4"/>
                <w:szCs w:val="24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/>
                <w:b w:val="0"/>
                <w:bCs w:val="0"/>
                <w:sz w:val="24"/>
                <w:szCs w:val="24"/>
                <w:vertAlign w:val="baseline"/>
                <w:lang w:val="en-MY"/>
              </w:rPr>
              <w:t>42.6(29.85- 60.7)</w:t>
            </w:r>
          </w:p>
        </w:tc>
        <w:tc>
          <w:tcPr>
            <w:tcW w:w="211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MY" w:eastAsia="zh-CN" w:bidi="ar-SA"/>
              </w:rPr>
            </w:pPr>
            <w:r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15.2(8.21 - 28.2)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5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</w:pPr>
          </w:p>
          <w:p>
            <w:pPr>
              <w:widowControl w:val="0"/>
              <w:spacing w:line="240" w:lineRule="auto"/>
              <w:jc w:val="left"/>
              <w:rPr>
                <w:rFonts w:hint="default" w:ascii="OTNEJMScalaSansLF-Bold" w:hAnsi="OTNEJMScalaSansLF-Bold" w:eastAsia="OTNEJMScalaSansLF-Bold"/>
                <w:b/>
                <w:sz w:val="20"/>
                <w:szCs w:val="20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  <w:t>† Represent the hazard ratio for death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firstLine="0"/>
              <w:jc w:val="left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  <w:t xml:space="preserve">‡ </w:t>
            </w:r>
            <w:r>
              <w:rPr>
                <w:rFonts w:hint="default" w:ascii="Times New Roman" w:hAnsi="Times New Roman" w:eastAsia="OTNEJMScalaSansLF-Bold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Indicate the date for censorship of patients on the date the patient was last known to be alive.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  <w:t>NA indicate that there is no available events.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</w:pPr>
            <w:r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  <w:t>NE represent that the value could not be estimated.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OTNEJMScalaSansLF-Bold" w:cs="Times New Roman"/>
                <w:b w:val="0"/>
                <w:bCs w:val="0"/>
                <w:sz w:val="20"/>
                <w:szCs w:val="20"/>
                <w:vertAlign w:val="baseline"/>
                <w:lang w:val="en-MY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OTNEJMScalaSansLF-Bold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TNEJMScalaSansLF-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21983"/>
    <w:rsid w:val="02B16576"/>
    <w:rsid w:val="0D6E74A3"/>
    <w:rsid w:val="46421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2020-08-25T01:45:00Z</dcterms:created>
  <dc:creator>aisha</dc:creator>
  <cp:lastModifiedBy>aisha</cp:lastModifiedBy>
  <dcterms:modified xsi:type="dcterms:W3CDTF">2020-09-07T01:44:32Z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1033-11.2.0.9662</vt:lpwstr>
  </property>
</Properties>
</file>