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EB3" w:rsidRPr="00E27D18" w:rsidRDefault="00D82EB3" w:rsidP="00D82EB3">
      <w:pPr>
        <w:spacing w:line="480" w:lineRule="auto"/>
        <w:ind w:left="720" w:hanging="720"/>
        <w:jc w:val="left"/>
        <w:rPr>
          <w:rFonts w:cstheme="minorHAnsi"/>
          <w:b/>
          <w:sz w:val="24"/>
          <w:szCs w:val="24"/>
        </w:rPr>
      </w:pPr>
      <w:r w:rsidRPr="00E27D18">
        <w:rPr>
          <w:rFonts w:cstheme="minorHAnsi"/>
          <w:b/>
          <w:sz w:val="24"/>
          <w:szCs w:val="24"/>
        </w:rPr>
        <w:t>Supplement</w:t>
      </w:r>
      <w:r>
        <w:rPr>
          <w:rFonts w:cstheme="minorHAnsi"/>
          <w:b/>
          <w:sz w:val="24"/>
          <w:szCs w:val="24"/>
        </w:rPr>
        <w:t>al</w:t>
      </w:r>
      <w:r w:rsidRPr="00E27D18">
        <w:rPr>
          <w:rFonts w:cstheme="minorHAnsi"/>
          <w:b/>
          <w:sz w:val="24"/>
          <w:szCs w:val="24"/>
        </w:rPr>
        <w:t xml:space="preserve"> data</w:t>
      </w:r>
    </w:p>
    <w:p w:rsidR="00D82EB3" w:rsidRPr="006A3550" w:rsidRDefault="00D82EB3" w:rsidP="00D82EB3">
      <w:pPr>
        <w:autoSpaceDE w:val="0"/>
        <w:autoSpaceDN w:val="0"/>
        <w:adjustRightInd w:val="0"/>
        <w:spacing w:line="480" w:lineRule="auto"/>
        <w:ind w:firstLine="420"/>
        <w:jc w:val="left"/>
        <w:rPr>
          <w:rFonts w:cstheme="minorHAnsi"/>
          <w:bCs/>
          <w:color w:val="000000" w:themeColor="text1"/>
          <w:sz w:val="24"/>
          <w:szCs w:val="24"/>
        </w:rPr>
      </w:pPr>
      <w:r w:rsidRPr="001B5A55">
        <w:rPr>
          <w:rFonts w:cstheme="minorHAnsi"/>
          <w:bCs/>
          <w:color w:val="000000" w:themeColor="text1"/>
          <w:sz w:val="24"/>
          <w:szCs w:val="24"/>
        </w:rPr>
        <w:t xml:space="preserve">The correlation analysis was conducted </w:t>
      </w:r>
      <w:r>
        <w:rPr>
          <w:rFonts w:cstheme="minorHAnsi"/>
          <w:bCs/>
          <w:color w:val="000000" w:themeColor="text1"/>
          <w:sz w:val="24"/>
          <w:szCs w:val="24"/>
        </w:rPr>
        <w:t xml:space="preserve">in 8 normal and 66 male and female NHPs initially enrolled in the screen </w:t>
      </w:r>
      <w:r w:rsidRPr="001B5A55">
        <w:rPr>
          <w:rFonts w:cstheme="minorHAnsi"/>
          <w:bCs/>
          <w:color w:val="000000" w:themeColor="text1"/>
          <w:sz w:val="24"/>
          <w:szCs w:val="24"/>
        </w:rPr>
        <w:t xml:space="preserve">by </w:t>
      </w:r>
      <w:r>
        <w:rPr>
          <w:rFonts w:cstheme="minorHAnsi"/>
          <w:bCs/>
          <w:color w:val="000000" w:themeColor="text1"/>
          <w:sz w:val="24"/>
          <w:szCs w:val="24"/>
        </w:rPr>
        <w:t>an open source statistic software (</w:t>
      </w:r>
      <w:r w:rsidRPr="001B5A55">
        <w:rPr>
          <w:rFonts w:cstheme="minorHAnsi"/>
          <w:bCs/>
          <w:color w:val="000000" w:themeColor="text1"/>
          <w:sz w:val="24"/>
          <w:szCs w:val="24"/>
        </w:rPr>
        <w:t>R 3.</w:t>
      </w:r>
      <w:r>
        <w:rPr>
          <w:rFonts w:cstheme="minorHAnsi"/>
          <w:bCs/>
          <w:color w:val="000000" w:themeColor="text1"/>
          <w:sz w:val="24"/>
          <w:szCs w:val="24"/>
        </w:rPr>
        <w:t>6.1).  On</w:t>
      </w:r>
      <w:r w:rsidRPr="001B5A55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>
        <w:rPr>
          <w:rFonts w:cstheme="minorHAnsi"/>
          <w:bCs/>
          <w:color w:val="000000" w:themeColor="text1"/>
          <w:sz w:val="24"/>
          <w:szCs w:val="24"/>
        </w:rPr>
        <w:t xml:space="preserve">the bottom panel of </w:t>
      </w:r>
      <w:r w:rsidRPr="001B5A55">
        <w:rPr>
          <w:rFonts w:cstheme="minorHAnsi"/>
          <w:bCs/>
          <w:color w:val="000000" w:themeColor="text1"/>
          <w:sz w:val="24"/>
          <w:szCs w:val="24"/>
        </w:rPr>
        <w:t>Fig</w:t>
      </w:r>
      <w:r>
        <w:rPr>
          <w:rFonts w:cstheme="minorHAnsi"/>
          <w:bCs/>
          <w:color w:val="000000" w:themeColor="text1"/>
          <w:sz w:val="24"/>
          <w:szCs w:val="24"/>
        </w:rPr>
        <w:t>s.</w:t>
      </w:r>
      <w:r w:rsidRPr="001B5A55">
        <w:rPr>
          <w:rFonts w:cstheme="minorHAnsi"/>
          <w:bCs/>
          <w:color w:val="000000" w:themeColor="text1"/>
          <w:sz w:val="24"/>
          <w:szCs w:val="24"/>
        </w:rPr>
        <w:t xml:space="preserve"> S1-S6, </w:t>
      </w:r>
      <w:r>
        <w:rPr>
          <w:rFonts w:cstheme="minorHAnsi"/>
          <w:bCs/>
          <w:color w:val="000000" w:themeColor="text1"/>
          <w:sz w:val="24"/>
          <w:szCs w:val="24"/>
        </w:rPr>
        <w:t xml:space="preserve">the </w:t>
      </w:r>
      <w:r w:rsidRPr="001B5A55">
        <w:rPr>
          <w:rFonts w:cstheme="minorHAnsi"/>
          <w:bCs/>
          <w:color w:val="000000" w:themeColor="text1"/>
          <w:sz w:val="24"/>
          <w:szCs w:val="24"/>
        </w:rPr>
        <w:t xml:space="preserve">density plots </w:t>
      </w:r>
      <w:r>
        <w:rPr>
          <w:rFonts w:cstheme="minorHAnsi"/>
          <w:bCs/>
          <w:color w:val="000000" w:themeColor="text1"/>
          <w:sz w:val="24"/>
          <w:szCs w:val="24"/>
        </w:rPr>
        <w:t>are</w:t>
      </w:r>
      <w:r w:rsidRPr="001B5A55">
        <w:rPr>
          <w:rFonts w:cstheme="minorHAnsi"/>
          <w:bCs/>
          <w:color w:val="000000" w:themeColor="text1"/>
          <w:sz w:val="24"/>
          <w:szCs w:val="24"/>
        </w:rPr>
        <w:t xml:space="preserve"> displayed </w:t>
      </w:r>
      <w:r>
        <w:rPr>
          <w:rFonts w:cstheme="minorHAnsi"/>
          <w:bCs/>
          <w:color w:val="000000" w:themeColor="text1"/>
          <w:sz w:val="24"/>
          <w:szCs w:val="24"/>
        </w:rPr>
        <w:t>on</w:t>
      </w:r>
      <w:r w:rsidRPr="001B5A55">
        <w:rPr>
          <w:rFonts w:cstheme="minorHAnsi"/>
          <w:bCs/>
          <w:color w:val="000000" w:themeColor="text1"/>
          <w:sz w:val="24"/>
          <w:szCs w:val="24"/>
        </w:rPr>
        <w:t xml:space="preserve"> the diagonal line along with all </w:t>
      </w:r>
      <w:r w:rsidRPr="00F95226">
        <w:rPr>
          <w:rFonts w:cstheme="minorHAnsi"/>
          <w:bCs/>
          <w:color w:val="000000" w:themeColor="text1"/>
          <w:sz w:val="24"/>
          <w:szCs w:val="24"/>
        </w:rPr>
        <w:t xml:space="preserve">pairwise </w:t>
      </w:r>
      <w:r w:rsidRPr="00346441">
        <w:rPr>
          <w:rFonts w:cstheme="minorHAnsi"/>
          <w:bCs/>
          <w:color w:val="000000" w:themeColor="text1"/>
          <w:sz w:val="24"/>
          <w:szCs w:val="24"/>
        </w:rPr>
        <w:t xml:space="preserve">scatter plots </w:t>
      </w:r>
      <w:r w:rsidRPr="00F95226">
        <w:rPr>
          <w:rFonts w:cstheme="minorHAnsi"/>
          <w:bCs/>
          <w:color w:val="000000" w:themeColor="text1"/>
          <w:sz w:val="24"/>
          <w:szCs w:val="24"/>
        </w:rPr>
        <w:t xml:space="preserve">being displayed </w:t>
      </w:r>
      <w:r>
        <w:rPr>
          <w:rFonts w:cstheme="minorHAnsi"/>
          <w:bCs/>
          <w:color w:val="000000" w:themeColor="text1"/>
          <w:sz w:val="24"/>
          <w:szCs w:val="24"/>
        </w:rPr>
        <w:t>in</w:t>
      </w:r>
      <w:r w:rsidRPr="00F95226">
        <w:rPr>
          <w:rFonts w:cstheme="minorHAnsi"/>
          <w:bCs/>
          <w:color w:val="000000" w:themeColor="text1"/>
          <w:sz w:val="24"/>
          <w:szCs w:val="24"/>
        </w:rPr>
        <w:t xml:space="preserve"> the upper right triangle </w:t>
      </w:r>
      <w:r>
        <w:rPr>
          <w:rFonts w:cstheme="minorHAnsi"/>
          <w:bCs/>
          <w:color w:val="000000" w:themeColor="text1"/>
          <w:sz w:val="24"/>
          <w:szCs w:val="24"/>
        </w:rPr>
        <w:t>and</w:t>
      </w:r>
      <w:r w:rsidRPr="00F95226">
        <w:rPr>
          <w:rFonts w:cstheme="minorHAnsi"/>
          <w:bCs/>
          <w:color w:val="000000" w:themeColor="text1"/>
          <w:sz w:val="24"/>
          <w:szCs w:val="24"/>
        </w:rPr>
        <w:t xml:space="preserve"> the corresponding correlation coefficients being displayed </w:t>
      </w:r>
      <w:r>
        <w:rPr>
          <w:rFonts w:cstheme="minorHAnsi"/>
          <w:bCs/>
          <w:color w:val="000000" w:themeColor="text1"/>
          <w:sz w:val="24"/>
          <w:szCs w:val="24"/>
        </w:rPr>
        <w:t>in</w:t>
      </w:r>
      <w:r w:rsidRPr="00F95226">
        <w:rPr>
          <w:rFonts w:cstheme="minorHAnsi"/>
          <w:bCs/>
          <w:color w:val="000000" w:themeColor="text1"/>
          <w:sz w:val="24"/>
          <w:szCs w:val="24"/>
        </w:rPr>
        <w:t xml:space="preserve"> the lower left triangle.  The </w:t>
      </w:r>
      <w:r w:rsidRPr="00346441">
        <w:rPr>
          <w:rFonts w:cstheme="minorHAnsi"/>
          <w:bCs/>
          <w:color w:val="000000" w:themeColor="text1"/>
          <w:sz w:val="24"/>
          <w:szCs w:val="24"/>
        </w:rPr>
        <w:t xml:space="preserve">correlation matrices are also presented </w:t>
      </w:r>
      <w:r w:rsidRPr="00F95226">
        <w:rPr>
          <w:rFonts w:cstheme="minorHAnsi"/>
          <w:bCs/>
          <w:color w:val="000000" w:themeColor="text1"/>
          <w:sz w:val="24"/>
          <w:szCs w:val="24"/>
        </w:rPr>
        <w:t xml:space="preserve">graphically </w:t>
      </w:r>
      <w:r>
        <w:rPr>
          <w:rFonts w:cstheme="minorHAnsi"/>
          <w:bCs/>
          <w:color w:val="000000" w:themeColor="text1"/>
          <w:sz w:val="24"/>
          <w:szCs w:val="24"/>
        </w:rPr>
        <w:t>in</w:t>
      </w:r>
      <w:r w:rsidRPr="00F95226">
        <w:rPr>
          <w:rFonts w:cstheme="minorHAnsi"/>
          <w:bCs/>
          <w:color w:val="000000" w:themeColor="text1"/>
          <w:sz w:val="24"/>
          <w:szCs w:val="24"/>
        </w:rPr>
        <w:t xml:space="preserve"> the top panel</w:t>
      </w:r>
      <w:r w:rsidRPr="00346441">
        <w:rPr>
          <w:rFonts w:cstheme="minorHAnsi"/>
          <w:bCs/>
          <w:color w:val="000000" w:themeColor="text1"/>
          <w:sz w:val="24"/>
          <w:szCs w:val="24"/>
        </w:rPr>
        <w:t xml:space="preserve">, with the size and darkness of each circle being proportional to the absolute value of its corresponding correlation coefficient, and blue and red </w:t>
      </w:r>
      <w:r>
        <w:rPr>
          <w:rFonts w:cstheme="minorHAnsi"/>
          <w:bCs/>
          <w:color w:val="000000" w:themeColor="text1"/>
          <w:sz w:val="24"/>
          <w:szCs w:val="24"/>
        </w:rPr>
        <w:t xml:space="preserve">color </w:t>
      </w:r>
      <w:r w:rsidRPr="00346441">
        <w:rPr>
          <w:rFonts w:cstheme="minorHAnsi"/>
          <w:bCs/>
          <w:color w:val="000000" w:themeColor="text1"/>
          <w:sz w:val="24"/>
          <w:szCs w:val="24"/>
        </w:rPr>
        <w:t xml:space="preserve">representing </w:t>
      </w:r>
      <w:r>
        <w:rPr>
          <w:rFonts w:cstheme="minorHAnsi"/>
          <w:bCs/>
          <w:color w:val="000000" w:themeColor="text1"/>
          <w:sz w:val="24"/>
          <w:szCs w:val="24"/>
        </w:rPr>
        <w:t xml:space="preserve">respective </w:t>
      </w:r>
      <w:r w:rsidRPr="00346441">
        <w:rPr>
          <w:rFonts w:cstheme="minorHAnsi"/>
          <w:bCs/>
          <w:color w:val="000000" w:themeColor="text1"/>
          <w:sz w:val="24"/>
          <w:szCs w:val="24"/>
        </w:rPr>
        <w:t>positive and negative values.</w:t>
      </w:r>
      <w:r>
        <w:rPr>
          <w:rFonts w:cstheme="minorHAnsi"/>
          <w:bCs/>
          <w:color w:val="000000" w:themeColor="text1"/>
          <w:sz w:val="24"/>
          <w:szCs w:val="24"/>
        </w:rPr>
        <w:t xml:space="preserve">  </w:t>
      </w:r>
      <w:r>
        <w:rPr>
          <w:rFonts w:cstheme="minorHAnsi"/>
          <w:b/>
          <w:sz w:val="24"/>
          <w:szCs w:val="24"/>
        </w:rPr>
        <w:br w:type="page"/>
      </w:r>
    </w:p>
    <w:p w:rsidR="00D82EB3" w:rsidRDefault="00D82EB3" w:rsidP="00D82EB3">
      <w:pPr>
        <w:spacing w:line="480" w:lineRule="auto"/>
        <w:ind w:left="720" w:hanging="720"/>
        <w:jc w:val="left"/>
        <w:rPr>
          <w:rFonts w:cstheme="minorHAnsi"/>
          <w:b/>
          <w:bCs/>
          <w:sz w:val="24"/>
          <w:szCs w:val="24"/>
        </w:rPr>
      </w:pPr>
      <w:r w:rsidRPr="00E27D18">
        <w:rPr>
          <w:rFonts w:cstheme="minorHAnsi"/>
          <w:b/>
          <w:sz w:val="24"/>
          <w:szCs w:val="24"/>
        </w:rPr>
        <w:lastRenderedPageBreak/>
        <w:t>Figure S1</w:t>
      </w:r>
      <w:r w:rsidRPr="00E27D18">
        <w:rPr>
          <w:rFonts w:cstheme="minorHAnsi"/>
          <w:b/>
          <w:sz w:val="24"/>
          <w:szCs w:val="24"/>
        </w:rPr>
        <w:tab/>
        <w:t>Correlations between different blood chemistry parameters</w:t>
      </w:r>
      <w:r>
        <w:rPr>
          <w:rFonts w:cstheme="minorHAnsi"/>
          <w:b/>
          <w:sz w:val="24"/>
          <w:szCs w:val="24"/>
        </w:rPr>
        <w:t xml:space="preserve"> in 8 normal control NHPs and 66 dysmetabolic NHPs </w:t>
      </w:r>
      <w:r>
        <w:rPr>
          <w:rFonts w:cstheme="minorHAnsi"/>
          <w:b/>
          <w:bCs/>
          <w:sz w:val="24"/>
          <w:szCs w:val="24"/>
        </w:rPr>
        <w:t>with different degree of proteinuria</w:t>
      </w:r>
    </w:p>
    <w:p w:rsidR="00D82EB3" w:rsidRDefault="00D82EB3" w:rsidP="00D82EB3">
      <w:pPr>
        <w:spacing w:line="480" w:lineRule="auto"/>
        <w:ind w:left="720" w:hanging="720"/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n-US"/>
        </w:rPr>
        <w:drawing>
          <wp:inline distT="0" distB="0" distL="0" distR="0" wp14:anchorId="2F9C3EEB" wp14:editId="182683CC">
            <wp:extent cx="4448987" cy="7558106"/>
            <wp:effectExtent l="0" t="0" r="889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745" cy="7617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24"/>
          <w:szCs w:val="24"/>
        </w:rPr>
        <w:br w:type="page"/>
      </w:r>
    </w:p>
    <w:p w:rsidR="00D82EB3" w:rsidRDefault="00D82EB3" w:rsidP="00D82EB3">
      <w:pPr>
        <w:spacing w:line="480" w:lineRule="auto"/>
        <w:ind w:left="720" w:hanging="720"/>
        <w:jc w:val="lef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Figure S2.</w:t>
      </w:r>
      <w:r>
        <w:rPr>
          <w:rFonts w:cstheme="minorHAnsi"/>
          <w:b/>
          <w:sz w:val="24"/>
          <w:szCs w:val="24"/>
        </w:rPr>
        <w:tab/>
        <w:t xml:space="preserve">Correlation between different urinary chemistry parameters in 8 normal control NHPs and 66 dysmetabolic NHPs </w:t>
      </w:r>
      <w:r>
        <w:rPr>
          <w:rFonts w:cstheme="minorHAnsi"/>
          <w:b/>
          <w:bCs/>
          <w:sz w:val="24"/>
          <w:szCs w:val="24"/>
        </w:rPr>
        <w:t>with different degree of proteinuria</w:t>
      </w:r>
      <w:r>
        <w:rPr>
          <w:rFonts w:cstheme="minorHAnsi"/>
          <w:b/>
          <w:sz w:val="24"/>
          <w:szCs w:val="24"/>
        </w:rPr>
        <w:t>.</w:t>
      </w:r>
    </w:p>
    <w:p w:rsidR="00D82EB3" w:rsidRDefault="00D82EB3" w:rsidP="00D82EB3">
      <w:pPr>
        <w:spacing w:line="480" w:lineRule="auto"/>
        <w:ind w:left="720" w:hanging="720"/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n-US"/>
        </w:rPr>
        <w:drawing>
          <wp:inline distT="0" distB="0" distL="0" distR="0" wp14:anchorId="189AE9D0" wp14:editId="0A089157">
            <wp:extent cx="4591413" cy="7406535"/>
            <wp:effectExtent l="0" t="0" r="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579" cy="7422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24"/>
          <w:szCs w:val="24"/>
        </w:rPr>
        <w:br w:type="page"/>
      </w:r>
    </w:p>
    <w:p w:rsidR="00D82EB3" w:rsidRDefault="00D82EB3" w:rsidP="00D82EB3">
      <w:pPr>
        <w:spacing w:line="480" w:lineRule="auto"/>
        <w:ind w:left="720" w:hanging="720"/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Figure S3.  Correlation between different cardiac functional parameters</w:t>
      </w:r>
      <w:r w:rsidRPr="009F0081">
        <w:rPr>
          <w:rFonts w:cstheme="minorHAnsi"/>
          <w:b/>
          <w:sz w:val="24"/>
          <w:szCs w:val="24"/>
        </w:rPr>
        <w:t xml:space="preserve"> in 8 normal control NHPs and 66 dysmetabolic NHPs with different degree of proteinuria</w:t>
      </w:r>
      <w:r>
        <w:rPr>
          <w:rFonts w:cstheme="minorHAnsi"/>
          <w:b/>
          <w:noProof/>
          <w:sz w:val="24"/>
          <w:szCs w:val="24"/>
          <w:lang w:eastAsia="en-US"/>
        </w:rPr>
        <w:drawing>
          <wp:inline distT="0" distB="0" distL="0" distR="0" wp14:anchorId="05BC7E5A" wp14:editId="2B480652">
            <wp:extent cx="4627816" cy="7305732"/>
            <wp:effectExtent l="0" t="0" r="190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877" cy="732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24"/>
          <w:szCs w:val="24"/>
        </w:rPr>
        <w:br w:type="page"/>
      </w:r>
    </w:p>
    <w:p w:rsidR="00D82EB3" w:rsidRDefault="00D82EB3" w:rsidP="00D82EB3">
      <w:pPr>
        <w:spacing w:line="480" w:lineRule="auto"/>
        <w:ind w:left="720" w:hanging="720"/>
        <w:jc w:val="left"/>
        <w:rPr>
          <w:rFonts w:cstheme="minorHAnsi"/>
          <w:b/>
          <w:bCs/>
          <w:sz w:val="24"/>
          <w:szCs w:val="24"/>
        </w:rPr>
      </w:pPr>
      <w:r w:rsidRPr="00514DCF">
        <w:rPr>
          <w:rFonts w:cstheme="minorHAnsi"/>
          <w:b/>
          <w:sz w:val="24"/>
          <w:szCs w:val="24"/>
        </w:rPr>
        <w:lastRenderedPageBreak/>
        <w:t>Figure S</w:t>
      </w:r>
      <w:r>
        <w:rPr>
          <w:rFonts w:cstheme="minorHAnsi"/>
          <w:b/>
          <w:sz w:val="24"/>
          <w:szCs w:val="24"/>
        </w:rPr>
        <w:t>4</w:t>
      </w:r>
      <w:r w:rsidRPr="00514DCF">
        <w:rPr>
          <w:rFonts w:cstheme="minorHAnsi"/>
          <w:b/>
          <w:sz w:val="24"/>
          <w:szCs w:val="24"/>
        </w:rPr>
        <w:t>.  Correlation between blood and urine chemistry parameters</w:t>
      </w:r>
      <w:r>
        <w:rPr>
          <w:rFonts w:cstheme="minorHAnsi"/>
          <w:b/>
          <w:sz w:val="24"/>
          <w:szCs w:val="24"/>
        </w:rPr>
        <w:t xml:space="preserve"> in </w:t>
      </w:r>
      <w:r w:rsidRPr="00E27D18">
        <w:rPr>
          <w:rFonts w:cstheme="minorHAnsi"/>
          <w:b/>
          <w:sz w:val="24"/>
          <w:szCs w:val="24"/>
        </w:rPr>
        <w:t>parameters</w:t>
      </w:r>
      <w:r>
        <w:rPr>
          <w:rFonts w:cstheme="minorHAnsi"/>
          <w:b/>
          <w:sz w:val="24"/>
          <w:szCs w:val="24"/>
        </w:rPr>
        <w:t xml:space="preserve"> in 8 normal control NHPs and 66 dysmetabolic NHPs </w:t>
      </w:r>
      <w:r>
        <w:rPr>
          <w:rFonts w:cstheme="minorHAnsi"/>
          <w:b/>
          <w:bCs/>
          <w:sz w:val="24"/>
          <w:szCs w:val="24"/>
        </w:rPr>
        <w:t>with different degree of proteinuria</w:t>
      </w:r>
    </w:p>
    <w:p w:rsidR="00D82EB3" w:rsidRDefault="00D82EB3" w:rsidP="00D82EB3">
      <w:pPr>
        <w:spacing w:line="480" w:lineRule="auto"/>
        <w:ind w:left="720" w:hanging="720"/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n-US"/>
        </w:rPr>
        <w:drawing>
          <wp:inline distT="0" distB="0" distL="0" distR="0" wp14:anchorId="05273BCA" wp14:editId="4D2D74DC">
            <wp:extent cx="5058002" cy="7086551"/>
            <wp:effectExtent l="0" t="0" r="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501" cy="7097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24"/>
          <w:szCs w:val="24"/>
        </w:rPr>
        <w:br w:type="page"/>
      </w:r>
    </w:p>
    <w:p w:rsidR="00D82EB3" w:rsidRDefault="00D82EB3" w:rsidP="00D82EB3">
      <w:pPr>
        <w:spacing w:line="480" w:lineRule="auto"/>
        <w:ind w:left="720" w:hanging="720"/>
        <w:jc w:val="left"/>
        <w:rPr>
          <w:rFonts w:cstheme="minorHAnsi"/>
          <w:b/>
          <w:bCs/>
          <w:sz w:val="24"/>
          <w:szCs w:val="24"/>
        </w:rPr>
      </w:pPr>
      <w:r w:rsidRPr="00514DCF">
        <w:rPr>
          <w:rFonts w:cstheme="minorHAnsi"/>
          <w:b/>
          <w:sz w:val="24"/>
          <w:szCs w:val="24"/>
        </w:rPr>
        <w:lastRenderedPageBreak/>
        <w:t>Figure S</w:t>
      </w:r>
      <w:r>
        <w:rPr>
          <w:rFonts w:cstheme="minorHAnsi"/>
          <w:b/>
          <w:sz w:val="24"/>
          <w:szCs w:val="24"/>
        </w:rPr>
        <w:t>5</w:t>
      </w:r>
      <w:r w:rsidRPr="00514DCF">
        <w:rPr>
          <w:rFonts w:cstheme="minorHAnsi"/>
          <w:b/>
          <w:sz w:val="24"/>
          <w:szCs w:val="24"/>
        </w:rPr>
        <w:t xml:space="preserve">. Correlation between blood chemistry and </w:t>
      </w:r>
      <w:r>
        <w:rPr>
          <w:rFonts w:cstheme="minorHAnsi"/>
          <w:b/>
          <w:sz w:val="24"/>
          <w:szCs w:val="24"/>
        </w:rPr>
        <w:t xml:space="preserve">resting </w:t>
      </w:r>
      <w:r w:rsidRPr="00514DCF">
        <w:rPr>
          <w:rFonts w:cstheme="minorHAnsi"/>
          <w:b/>
          <w:sz w:val="24"/>
          <w:szCs w:val="24"/>
        </w:rPr>
        <w:t>cardiac function parameters</w:t>
      </w:r>
      <w:r>
        <w:rPr>
          <w:rFonts w:cstheme="minorHAnsi"/>
          <w:b/>
          <w:sz w:val="24"/>
          <w:szCs w:val="24"/>
        </w:rPr>
        <w:t xml:space="preserve"> in  8 normal control NHPs and 66 dysmetabolic NHPs </w:t>
      </w:r>
      <w:r>
        <w:rPr>
          <w:rFonts w:cstheme="minorHAnsi"/>
          <w:b/>
          <w:bCs/>
          <w:sz w:val="24"/>
          <w:szCs w:val="24"/>
        </w:rPr>
        <w:t>with different degree of proteinuria</w:t>
      </w:r>
    </w:p>
    <w:p w:rsidR="00D82EB3" w:rsidRDefault="00D82EB3" w:rsidP="00D82EB3">
      <w:pPr>
        <w:spacing w:line="480" w:lineRule="auto"/>
        <w:ind w:left="720" w:hanging="720"/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n-US"/>
        </w:rPr>
        <w:drawing>
          <wp:inline distT="0" distB="0" distL="0" distR="0" wp14:anchorId="63E8EE27" wp14:editId="7A054899">
            <wp:extent cx="4263933" cy="7230811"/>
            <wp:effectExtent l="0" t="0" r="3810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439" cy="7253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24"/>
          <w:szCs w:val="24"/>
        </w:rPr>
        <w:br w:type="page"/>
      </w:r>
    </w:p>
    <w:p w:rsidR="00D82EB3" w:rsidRDefault="00D82EB3" w:rsidP="00D82EB3">
      <w:pPr>
        <w:spacing w:line="480" w:lineRule="auto"/>
        <w:ind w:left="720" w:hanging="720"/>
        <w:jc w:val="lef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Figure S6.</w:t>
      </w:r>
      <w:r>
        <w:rPr>
          <w:rFonts w:cstheme="minorHAnsi"/>
          <w:b/>
          <w:sz w:val="24"/>
          <w:szCs w:val="24"/>
        </w:rPr>
        <w:tab/>
        <w:t xml:space="preserve">Correlation between blood chemistry and body composition in </w:t>
      </w:r>
      <w:r w:rsidRPr="00E27D18">
        <w:rPr>
          <w:rFonts w:cstheme="minorHAnsi"/>
          <w:b/>
          <w:sz w:val="24"/>
          <w:szCs w:val="24"/>
        </w:rPr>
        <w:t>parameters</w:t>
      </w:r>
      <w:r>
        <w:rPr>
          <w:rFonts w:cstheme="minorHAnsi"/>
          <w:b/>
          <w:sz w:val="24"/>
          <w:szCs w:val="24"/>
        </w:rPr>
        <w:t xml:space="preserve"> in 8 normal control NHPs and 66 dysmetabolic NHPs </w:t>
      </w:r>
      <w:r>
        <w:rPr>
          <w:rFonts w:cstheme="minorHAnsi"/>
          <w:b/>
          <w:bCs/>
          <w:sz w:val="24"/>
          <w:szCs w:val="24"/>
        </w:rPr>
        <w:t>with different degree of proteinuria</w:t>
      </w:r>
    </w:p>
    <w:p w:rsidR="00D82EB3" w:rsidRDefault="00D82EB3" w:rsidP="00D82EB3">
      <w:pPr>
        <w:spacing w:line="480" w:lineRule="auto"/>
        <w:ind w:left="720" w:hanging="720"/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n-US"/>
        </w:rPr>
        <w:drawing>
          <wp:inline distT="0" distB="0" distL="0" distR="0" wp14:anchorId="37BF0E24" wp14:editId="378E5EF5">
            <wp:extent cx="4696097" cy="7458594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600" cy="7478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2EB3" w:rsidRDefault="00D82EB3" w:rsidP="00D82EB3">
      <w:pPr>
        <w:spacing w:line="480" w:lineRule="auto"/>
        <w:ind w:left="720" w:hanging="720"/>
        <w:jc w:val="left"/>
        <w:rPr>
          <w:rFonts w:cstheme="minorHAnsi"/>
          <w:b/>
          <w:bCs/>
          <w:sz w:val="24"/>
          <w:szCs w:val="24"/>
        </w:rPr>
      </w:pPr>
      <w:r w:rsidRPr="002278A7">
        <w:rPr>
          <w:rFonts w:cstheme="minorHAnsi"/>
          <w:b/>
          <w:sz w:val="24"/>
          <w:szCs w:val="24"/>
        </w:rPr>
        <w:lastRenderedPageBreak/>
        <w:t xml:space="preserve">Figure </w:t>
      </w:r>
      <w:r>
        <w:rPr>
          <w:rFonts w:cstheme="minorHAnsi"/>
          <w:b/>
          <w:sz w:val="24"/>
          <w:szCs w:val="24"/>
        </w:rPr>
        <w:t>S7</w:t>
      </w:r>
      <w:r w:rsidRPr="002278A7">
        <w:rPr>
          <w:rFonts w:cstheme="minorHAnsi"/>
          <w:b/>
          <w:sz w:val="24"/>
          <w:szCs w:val="24"/>
        </w:rPr>
        <w:t>.</w:t>
      </w:r>
      <w:r w:rsidRPr="002278A7">
        <w:rPr>
          <w:rFonts w:cstheme="minorHAnsi"/>
          <w:b/>
          <w:sz w:val="24"/>
          <w:szCs w:val="24"/>
        </w:rPr>
        <w:tab/>
      </w:r>
      <w:r w:rsidRPr="002278A7">
        <w:rPr>
          <w:rFonts w:cstheme="minorHAnsi"/>
          <w:b/>
          <w:bCs/>
          <w:sz w:val="24"/>
          <w:szCs w:val="24"/>
        </w:rPr>
        <w:t xml:space="preserve">Correlation between total body fat and waist circumference (WCU) (top); as well as </w:t>
      </w:r>
      <w:r>
        <w:rPr>
          <w:rFonts w:cstheme="minorHAnsi"/>
          <w:b/>
          <w:bCs/>
          <w:sz w:val="24"/>
          <w:szCs w:val="24"/>
        </w:rPr>
        <w:t>h</w:t>
      </w:r>
      <w:r w:rsidRPr="002278A7">
        <w:rPr>
          <w:rFonts w:cstheme="minorHAnsi"/>
          <w:b/>
          <w:bCs/>
          <w:sz w:val="24"/>
          <w:szCs w:val="24"/>
        </w:rPr>
        <w:t xml:space="preserve">emoglobin A1c </w:t>
      </w:r>
      <w:r>
        <w:rPr>
          <w:rFonts w:cstheme="minorHAnsi"/>
          <w:b/>
          <w:bCs/>
          <w:sz w:val="24"/>
          <w:szCs w:val="24"/>
        </w:rPr>
        <w:t xml:space="preserve">(HbA1c) </w:t>
      </w:r>
      <w:r w:rsidRPr="002278A7">
        <w:rPr>
          <w:rFonts w:cstheme="minorHAnsi"/>
          <w:b/>
          <w:bCs/>
          <w:sz w:val="24"/>
          <w:szCs w:val="24"/>
        </w:rPr>
        <w:t>and liver ALT (bottom)</w:t>
      </w:r>
      <w:r>
        <w:rPr>
          <w:rFonts w:cstheme="minorHAnsi"/>
          <w:b/>
          <w:sz w:val="24"/>
          <w:szCs w:val="24"/>
        </w:rPr>
        <w:t xml:space="preserve"> in 8 normal control NHPs and 66 dysmetabolic NHPs </w:t>
      </w:r>
      <w:r>
        <w:rPr>
          <w:rFonts w:cstheme="minorHAnsi"/>
          <w:b/>
          <w:bCs/>
          <w:sz w:val="24"/>
          <w:szCs w:val="24"/>
        </w:rPr>
        <w:t>with different degree of proteinuria</w:t>
      </w:r>
    </w:p>
    <w:p w:rsidR="00D82EB3" w:rsidRPr="002278A7" w:rsidRDefault="00D82EB3" w:rsidP="00D82EB3">
      <w:pPr>
        <w:spacing w:line="480" w:lineRule="auto"/>
        <w:ind w:left="720" w:hanging="720"/>
        <w:jc w:val="left"/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  <w:lang w:eastAsia="en-US"/>
        </w:rPr>
        <w:drawing>
          <wp:inline distT="0" distB="0" distL="0" distR="0" wp14:anchorId="6BDDBBB6" wp14:editId="347725BC">
            <wp:extent cx="4895935" cy="715246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617" cy="718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sz w:val="24"/>
          <w:szCs w:val="24"/>
        </w:rPr>
        <w:br w:type="page"/>
      </w:r>
    </w:p>
    <w:p w:rsidR="00D82EB3" w:rsidRDefault="00D82EB3" w:rsidP="00D82EB3">
      <w:pPr>
        <w:spacing w:line="480" w:lineRule="auto"/>
        <w:ind w:left="720" w:hanging="720"/>
        <w:jc w:val="left"/>
        <w:rPr>
          <w:rFonts w:cstheme="minorHAnsi"/>
          <w:b/>
          <w:bCs/>
          <w:sz w:val="24"/>
          <w:szCs w:val="24"/>
        </w:rPr>
      </w:pPr>
      <w:r w:rsidRPr="00F75C7B">
        <w:rPr>
          <w:rFonts w:cstheme="minorHAnsi"/>
          <w:b/>
          <w:bCs/>
          <w:sz w:val="24"/>
          <w:szCs w:val="24"/>
        </w:rPr>
        <w:lastRenderedPageBreak/>
        <w:t>Fig</w:t>
      </w:r>
      <w:r>
        <w:rPr>
          <w:rFonts w:cstheme="minorHAnsi"/>
          <w:b/>
          <w:bCs/>
          <w:sz w:val="24"/>
          <w:szCs w:val="24"/>
        </w:rPr>
        <w:t>ure</w:t>
      </w:r>
      <w:r w:rsidRPr="00F75C7B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S8.</w:t>
      </w:r>
      <w:r w:rsidRPr="00F75C7B">
        <w:rPr>
          <w:rFonts w:cstheme="minorHAnsi"/>
          <w:b/>
          <w:bCs/>
          <w:sz w:val="24"/>
          <w:szCs w:val="24"/>
        </w:rPr>
        <w:tab/>
        <w:t>Correlation between different c</w:t>
      </w:r>
      <w:r>
        <w:rPr>
          <w:rFonts w:cstheme="minorHAnsi"/>
          <w:b/>
          <w:bCs/>
          <w:sz w:val="24"/>
          <w:szCs w:val="24"/>
        </w:rPr>
        <w:t>a</w:t>
      </w:r>
      <w:r w:rsidRPr="00F75C7B">
        <w:rPr>
          <w:rFonts w:cstheme="minorHAnsi"/>
          <w:b/>
          <w:bCs/>
          <w:sz w:val="24"/>
          <w:szCs w:val="24"/>
        </w:rPr>
        <w:t>rdia</w:t>
      </w:r>
      <w:r>
        <w:rPr>
          <w:rFonts w:cstheme="minorHAnsi"/>
          <w:b/>
          <w:bCs/>
          <w:sz w:val="24"/>
          <w:szCs w:val="24"/>
        </w:rPr>
        <w:t>c</w:t>
      </w:r>
      <w:r w:rsidRPr="00F75C7B">
        <w:rPr>
          <w:rFonts w:cstheme="minorHAnsi"/>
          <w:b/>
          <w:bCs/>
          <w:sz w:val="24"/>
          <w:szCs w:val="24"/>
        </w:rPr>
        <w:t xml:space="preserve"> functional parameters:  Left ventricular </w:t>
      </w:r>
      <w:r>
        <w:rPr>
          <w:rFonts w:cstheme="minorHAnsi"/>
          <w:b/>
          <w:bCs/>
          <w:sz w:val="24"/>
          <w:szCs w:val="24"/>
        </w:rPr>
        <w:t>(LV) e</w:t>
      </w:r>
      <w:r w:rsidRPr="00F75C7B">
        <w:rPr>
          <w:rFonts w:cstheme="minorHAnsi"/>
          <w:b/>
          <w:bCs/>
          <w:sz w:val="24"/>
          <w:szCs w:val="24"/>
        </w:rPr>
        <w:t xml:space="preserve">nd diastolic (EDV) vs. end systolic (ESV) volume </w:t>
      </w:r>
      <w:r>
        <w:rPr>
          <w:rFonts w:cstheme="minorHAnsi"/>
          <w:b/>
          <w:bCs/>
          <w:sz w:val="24"/>
          <w:szCs w:val="24"/>
        </w:rPr>
        <w:t xml:space="preserve">(top), </w:t>
      </w:r>
      <w:r w:rsidRPr="00F75C7B">
        <w:rPr>
          <w:rFonts w:cstheme="minorHAnsi"/>
          <w:b/>
          <w:bCs/>
          <w:sz w:val="24"/>
          <w:szCs w:val="24"/>
        </w:rPr>
        <w:t>stroke volume (SV, middle); or cardiac output (CO, bottom)</w:t>
      </w:r>
      <w:r>
        <w:rPr>
          <w:rFonts w:cstheme="minorHAnsi"/>
          <w:b/>
          <w:sz w:val="24"/>
          <w:szCs w:val="24"/>
        </w:rPr>
        <w:t xml:space="preserve"> in 8 normal control NHPs and 66 dysmetabolic NHPs </w:t>
      </w:r>
      <w:r>
        <w:rPr>
          <w:rFonts w:cstheme="minorHAnsi"/>
          <w:b/>
          <w:bCs/>
          <w:sz w:val="24"/>
          <w:szCs w:val="24"/>
        </w:rPr>
        <w:t>with different degree of proteinuria</w:t>
      </w:r>
    </w:p>
    <w:p w:rsidR="00D82EB3" w:rsidRDefault="00D82EB3" w:rsidP="00D82EB3">
      <w:pPr>
        <w:spacing w:line="480" w:lineRule="auto"/>
        <w:ind w:left="720" w:hanging="720"/>
        <w:jc w:val="lef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n-US"/>
        </w:rPr>
        <w:drawing>
          <wp:inline distT="0" distB="0" distL="0" distR="0" wp14:anchorId="59EF776F" wp14:editId="52C5CADE">
            <wp:extent cx="3392905" cy="7136569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089" cy="7317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BA0" w:rsidRDefault="00BD6BA0">
      <w:bookmarkStart w:id="0" w:name="_GoBack"/>
      <w:bookmarkEnd w:id="0"/>
    </w:p>
    <w:sectPr w:rsidR="00BD6BA0" w:rsidSect="00AD41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301" w:rsidRDefault="00D82E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8690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4C78" w:rsidRDefault="00D82EB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24C78" w:rsidRDefault="00D82E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301" w:rsidRDefault="00D82EB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301" w:rsidRDefault="00D82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301" w:rsidRDefault="00D82E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301" w:rsidRDefault="00D82E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B3"/>
    <w:rsid w:val="00BD6BA0"/>
    <w:rsid w:val="00D8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AD2E4F-4D6C-4BD0-96B9-302B29A12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EB3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E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82EB3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82E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82EB3"/>
    <w:rPr>
      <w:rFonts w:eastAsiaTheme="minorEastAsia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oter" Target="footer2.xml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337</Words>
  <Characters>1921</Characters>
  <Application>Microsoft Office Word</Application>
  <DocSecurity>0</DocSecurity>
  <Lines>16</Lines>
  <Paragraphs>4</Paragraphs>
  <ScaleCrop>false</ScaleCrop>
  <Company>Springer Nature IT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2020-09-28T12:22:00Z</dcterms:created>
  <dcterms:modified xsi:type="dcterms:W3CDTF">2020-09-28T12:22:00Z</dcterms:modified>
</cp:coreProperties>
</file>