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ECE70" w14:textId="77777777" w:rsidR="00A40839" w:rsidRPr="001F65B1" w:rsidRDefault="00A40839" w:rsidP="00A40839">
      <w:pPr>
        <w:spacing w:line="360" w:lineRule="auto"/>
        <w:jc w:val="both"/>
        <w:rPr>
          <w:rFonts w:ascii="Times New Roman" w:hAnsi="Times New Roman" w:cs="Times New Roman"/>
          <w:sz w:val="24"/>
        </w:rPr>
      </w:pPr>
      <w:r w:rsidRPr="001F65B1">
        <w:rPr>
          <w:rFonts w:ascii="Times New Roman" w:hAnsi="Times New Roman" w:cs="Times New Roman"/>
          <w:b/>
          <w:bCs/>
          <w:sz w:val="24"/>
        </w:rPr>
        <w:t xml:space="preserve">Fig. S1 </w:t>
      </w:r>
      <w:r w:rsidRPr="00FF7492">
        <w:rPr>
          <w:rFonts w:ascii="Times New Roman" w:hAnsi="Times New Roman" w:cs="Times New Roman"/>
          <w:sz w:val="24"/>
        </w:rPr>
        <w:t xml:space="preserve">Oxygen consumption rates of mt-Normal and mt-Low cells. </w:t>
      </w:r>
      <w:r>
        <w:rPr>
          <w:rFonts w:ascii="Times New Roman" w:hAnsi="Times New Roman" w:cs="Times New Roman"/>
          <w:sz w:val="24"/>
        </w:rPr>
        <w:t>B</w:t>
      </w:r>
      <w:r w:rsidRPr="001F65B1">
        <w:rPr>
          <w:rFonts w:ascii="Times New Roman" w:hAnsi="Times New Roman" w:cs="Times New Roman"/>
          <w:sz w:val="24"/>
        </w:rPr>
        <w:t xml:space="preserve">asal oxygen consumption rate (OCR) was determined in </w:t>
      </w:r>
      <w:r>
        <w:rPr>
          <w:rFonts w:ascii="Times New Roman" w:hAnsi="Times New Roman" w:cs="Times New Roman" w:hint="eastAsia"/>
          <w:sz w:val="24"/>
        </w:rPr>
        <w:t xml:space="preserve">mt-Normal and mt-Low </w:t>
      </w:r>
      <w:r>
        <w:rPr>
          <w:rFonts w:ascii="Times New Roman" w:hAnsi="Times New Roman" w:cs="Times New Roman"/>
          <w:sz w:val="24"/>
        </w:rPr>
        <w:t>hepatocellular</w:t>
      </w:r>
      <w:r>
        <w:rPr>
          <w:rFonts w:ascii="Times New Roman" w:hAnsi="Times New Roman" w:cs="Times New Roman" w:hint="eastAsia"/>
          <w:sz w:val="24"/>
        </w:rPr>
        <w:t xml:space="preserve"> carcinoma (</w:t>
      </w:r>
      <w:r w:rsidRPr="001F65B1">
        <w:rPr>
          <w:rFonts w:ascii="Times New Roman" w:hAnsi="Times New Roman" w:cs="Times New Roman"/>
          <w:sz w:val="24"/>
        </w:rPr>
        <w:t>HCC</w:t>
      </w:r>
      <w:r>
        <w:rPr>
          <w:rFonts w:ascii="Times New Roman" w:hAnsi="Times New Roman" w:cs="Times New Roman" w:hint="eastAsia"/>
          <w:sz w:val="24"/>
        </w:rPr>
        <w:t>)</w:t>
      </w:r>
      <w:r w:rsidRPr="001F65B1">
        <w:rPr>
          <w:rFonts w:ascii="Times New Roman" w:hAnsi="Times New Roman" w:cs="Times New Roman"/>
          <w:sz w:val="24"/>
        </w:rPr>
        <w:t xml:space="preserve"> cells </w:t>
      </w:r>
      <w:r>
        <w:rPr>
          <w:rFonts w:ascii="Times New Roman" w:hAnsi="Times New Roman" w:cs="Times New Roman" w:hint="eastAsia"/>
          <w:sz w:val="24"/>
        </w:rPr>
        <w:t>(c</w:t>
      </w:r>
      <w:r w:rsidRPr="001F65B1">
        <w:rPr>
          <w:rFonts w:ascii="Times New Roman" w:hAnsi="Times New Roman" w:cs="Times New Roman"/>
          <w:sz w:val="24"/>
        </w:rPr>
        <w:t>ells marked with a downward arrow represent mt-Low cells</w:t>
      </w:r>
      <w:r>
        <w:rPr>
          <w:rFonts w:ascii="Times New Roman" w:hAnsi="Times New Roman" w:cs="Times New Roman" w:hint="eastAsia"/>
          <w:sz w:val="24"/>
        </w:rPr>
        <w:t xml:space="preserve">) </w:t>
      </w:r>
      <w:r w:rsidRPr="001F65B1">
        <w:rPr>
          <w:rFonts w:ascii="Times New Roman" w:hAnsi="Times New Roman" w:cs="Times New Roman"/>
          <w:sz w:val="24"/>
        </w:rPr>
        <w:t xml:space="preserve">using the </w:t>
      </w:r>
      <w:r>
        <w:rPr>
          <w:rFonts w:ascii="Times New Roman" w:hAnsi="Times New Roman" w:cs="Times New Roman"/>
          <w:sz w:val="24"/>
        </w:rPr>
        <w:t>e</w:t>
      </w:r>
      <w:r w:rsidRPr="001F65B1">
        <w:rPr>
          <w:rFonts w:ascii="Times New Roman" w:hAnsi="Times New Roman" w:cs="Times New Roman"/>
          <w:sz w:val="24"/>
        </w:rPr>
        <w:t>xtracellular OCR Plate Assay Kit (Dojindo) as described previously</w:t>
      </w:r>
      <w:r w:rsidRPr="00F67C59">
        <w:rPr>
          <w:rFonts w:ascii="Times New Roman" w:hAnsi="Times New Roman" w:cs="Times New Roman"/>
          <w:sz w:val="24"/>
        </w:rPr>
        <w:t xml:space="preserve"> </w:t>
      </w:r>
      <w:r w:rsidRPr="00F67C59">
        <w:rPr>
          <w:rFonts w:ascii="Times New Roman" w:hAnsi="Times New Roman" w:cs="Times New Roman" w:hint="eastAsia"/>
          <w:sz w:val="24"/>
        </w:rPr>
        <w:t>[14]</w:t>
      </w:r>
      <w:r w:rsidRPr="00F67C59">
        <w:rPr>
          <w:rFonts w:ascii="Times New Roman" w:hAnsi="Times New Roman" w:cs="Times New Roman"/>
          <w:sz w:val="24"/>
        </w:rPr>
        <w:t xml:space="preserve">. </w:t>
      </w:r>
      <w:r w:rsidRPr="001F65B1">
        <w:rPr>
          <w:rFonts w:ascii="Times New Roman" w:hAnsi="Times New Roman" w:cs="Times New Roman"/>
          <w:sz w:val="24"/>
        </w:rPr>
        <w:t>Briefly, 4</w:t>
      </w:r>
      <w:r>
        <w:rPr>
          <w:rFonts w:ascii="Times New Roman" w:hAnsi="Times New Roman" w:cs="Times New Roman"/>
          <w:sz w:val="24"/>
        </w:rPr>
        <w:t xml:space="preserve"> </w:t>
      </w:r>
      <w:r w:rsidRPr="001F65B1">
        <w:rPr>
          <w:rFonts w:ascii="Times New Roman" w:eastAsia="Yu Mincho" w:hAnsi="Times New Roman" w:cs="Times New Roman"/>
          <w:sz w:val="24"/>
        </w:rPr>
        <w:t>×</w:t>
      </w:r>
      <w:r>
        <w:rPr>
          <w:rFonts w:ascii="Times New Roman" w:eastAsia="Yu Mincho" w:hAnsi="Times New Roman" w:cs="Times New Roman"/>
          <w:sz w:val="24"/>
        </w:rPr>
        <w:t xml:space="preserve"> </w:t>
      </w:r>
      <w:r w:rsidRPr="001F65B1">
        <w:rPr>
          <w:rFonts w:ascii="Times New Roman" w:hAnsi="Times New Roman" w:cs="Times New Roman"/>
          <w:sz w:val="24"/>
        </w:rPr>
        <w:t>10</w:t>
      </w:r>
      <w:r w:rsidRPr="001F65B1">
        <w:rPr>
          <w:rFonts w:ascii="Times New Roman" w:hAnsi="Times New Roman" w:cs="Times New Roman"/>
          <w:sz w:val="24"/>
          <w:vertAlign w:val="superscript"/>
        </w:rPr>
        <w:t>4</w:t>
      </w:r>
      <w:r w:rsidRPr="001F65B1">
        <w:rPr>
          <w:rFonts w:ascii="Times New Roman" w:hAnsi="Times New Roman" w:cs="Times New Roman"/>
          <w:sz w:val="24"/>
        </w:rPr>
        <w:t xml:space="preserve"> cells were plated in a single well of a 96-well black plate. After 24 h, the cells were treated with an oxygen probe, and fluorescence was measured at 10-min intervals. The OCR was calculated by analyzing the kinetic profiles obtained from the measurements. The fluorescence intensity was corrected by the fluorescence intensity of Hoechst 33342. Bars represent the means ± standard deviation from two independent experiments with triplicate measurements for each experiment. a.u., arbitrary units.</w:t>
      </w:r>
    </w:p>
    <w:p w14:paraId="4D028EC8" w14:textId="77777777" w:rsidR="00A40839" w:rsidRPr="001F65B1" w:rsidRDefault="00A40839" w:rsidP="00A40839">
      <w:pPr>
        <w:spacing w:line="360" w:lineRule="auto"/>
        <w:jc w:val="both"/>
        <w:rPr>
          <w:rFonts w:ascii="Times New Roman" w:hAnsi="Times New Roman" w:cs="Times New Roman"/>
          <w:sz w:val="24"/>
        </w:rPr>
      </w:pPr>
    </w:p>
    <w:p w14:paraId="762C5E4D" w14:textId="77777777" w:rsidR="00A40839" w:rsidRPr="001F65B1" w:rsidRDefault="00A40839" w:rsidP="00A40839">
      <w:pPr>
        <w:spacing w:line="360" w:lineRule="auto"/>
        <w:jc w:val="both"/>
        <w:rPr>
          <w:rFonts w:ascii="Times New Roman" w:hAnsi="Times New Roman" w:cs="Times New Roman"/>
          <w:sz w:val="24"/>
        </w:rPr>
      </w:pPr>
      <w:r w:rsidRPr="001F65B1">
        <w:rPr>
          <w:rFonts w:ascii="Times New Roman" w:hAnsi="Times New Roman" w:cs="Times New Roman"/>
          <w:b/>
          <w:bCs/>
          <w:sz w:val="24"/>
        </w:rPr>
        <w:t>Fig. S2</w:t>
      </w:r>
      <w:r>
        <w:rPr>
          <w:rFonts w:ascii="Times New Roman" w:hAnsi="Times New Roman" w:cs="Times New Roman" w:hint="eastAsia"/>
          <w:b/>
          <w:bCs/>
          <w:sz w:val="24"/>
        </w:rPr>
        <w:t xml:space="preserve"> </w:t>
      </w:r>
      <w:r w:rsidRPr="00B86994">
        <w:rPr>
          <w:rFonts w:ascii="Times New Roman" w:hAnsi="Times New Roman" w:cs="Times New Roman"/>
          <w:sz w:val="24"/>
        </w:rPr>
        <w:t xml:space="preserve">Measurements of parameters related to cell viability during ETC inhibition. </w:t>
      </w:r>
      <w:r w:rsidRPr="00B86994">
        <w:rPr>
          <w:rFonts w:ascii="Times New Roman" w:hAnsi="Times New Roman" w:cs="Times New Roman"/>
          <w:b/>
          <w:bCs/>
          <w:sz w:val="24"/>
        </w:rPr>
        <w:t>A</w:t>
      </w:r>
      <w:r w:rsidRPr="001F65B1">
        <w:rPr>
          <w:rFonts w:ascii="Times New Roman" w:hAnsi="Times New Roman" w:cs="Times New Roman"/>
          <w:sz w:val="24"/>
        </w:rPr>
        <w:t xml:space="preserve"> Cells were treated with 0.2 </w:t>
      </w:r>
      <w:r w:rsidRPr="001C561F">
        <w:rPr>
          <w:rFonts w:ascii="Symbol" w:hAnsi="Symbol" w:cs="Times New Roman"/>
          <w:sz w:val="24"/>
        </w:rPr>
        <w:t>m</w:t>
      </w:r>
      <w:r w:rsidRPr="001F65B1">
        <w:rPr>
          <w:rFonts w:ascii="Times New Roman" w:hAnsi="Times New Roman" w:cs="Times New Roman"/>
          <w:sz w:val="24"/>
        </w:rPr>
        <w:t xml:space="preserve">M antimycin A (AMA) for 4 h and then treated with 22.5 mM 2-deoxy-D-glucose (2-DG) for 5 h. ATP levels were measured relative to the </w:t>
      </w:r>
      <w:r>
        <w:rPr>
          <w:rFonts w:ascii="Times New Roman" w:hAnsi="Times New Roman" w:cs="Times New Roman" w:hint="eastAsia"/>
          <w:sz w:val="24"/>
        </w:rPr>
        <w:t>vehicle</w:t>
      </w:r>
      <w:r w:rsidRPr="001F65B1">
        <w:rPr>
          <w:rFonts w:ascii="Times New Roman" w:hAnsi="Times New Roman" w:cs="Times New Roman"/>
          <w:sz w:val="24"/>
        </w:rPr>
        <w:t xml:space="preserve">-treated control (-). Bars represent the means ± standard deviation from three independent experiments with triplicate measurements for each experiment. </w:t>
      </w:r>
      <w:r w:rsidRPr="00B86994">
        <w:rPr>
          <w:rFonts w:ascii="Times New Roman" w:hAnsi="Times New Roman" w:cs="Times New Roman"/>
          <w:b/>
          <w:bCs/>
          <w:sz w:val="24"/>
        </w:rPr>
        <w:t>B</w:t>
      </w:r>
      <w:r>
        <w:rPr>
          <w:rFonts w:ascii="Times New Roman" w:hAnsi="Times New Roman" w:cs="Times New Roman" w:hint="eastAsia"/>
          <w:b/>
          <w:bCs/>
          <w:sz w:val="24"/>
        </w:rPr>
        <w:t xml:space="preserve">, </w:t>
      </w:r>
      <w:r w:rsidRPr="00B86994">
        <w:rPr>
          <w:rFonts w:ascii="Times New Roman" w:hAnsi="Times New Roman" w:cs="Times New Roman"/>
          <w:b/>
          <w:bCs/>
          <w:sz w:val="24"/>
        </w:rPr>
        <w:t>C</w:t>
      </w:r>
      <w:r w:rsidRPr="001F65B1">
        <w:rPr>
          <w:rFonts w:ascii="Times New Roman" w:hAnsi="Times New Roman" w:cs="Times New Roman"/>
          <w:sz w:val="24"/>
        </w:rPr>
        <w:t xml:space="preserve"> Total glutathione (GSH) and GSH/GSSG (glutathione disulfide) ratio were quantified in </w:t>
      </w:r>
      <w:r>
        <w:rPr>
          <w:rFonts w:ascii="Times New Roman" w:hAnsi="Times New Roman" w:cs="Times New Roman" w:hint="eastAsia"/>
          <w:sz w:val="24"/>
        </w:rPr>
        <w:t>non</w:t>
      </w:r>
      <w:r w:rsidRPr="001F65B1">
        <w:rPr>
          <w:rFonts w:ascii="Times New Roman" w:hAnsi="Times New Roman" w:cs="Times New Roman"/>
          <w:sz w:val="24"/>
        </w:rPr>
        <w:t>-treated cells (</w:t>
      </w:r>
      <w:r w:rsidRPr="00B86994">
        <w:rPr>
          <w:rFonts w:ascii="Times New Roman" w:hAnsi="Times New Roman" w:cs="Times New Roman"/>
          <w:b/>
          <w:bCs/>
          <w:sz w:val="24"/>
        </w:rPr>
        <w:t>B</w:t>
      </w:r>
      <w:r w:rsidRPr="001F65B1">
        <w:rPr>
          <w:rFonts w:ascii="Times New Roman" w:hAnsi="Times New Roman" w:cs="Times New Roman"/>
          <w:sz w:val="24"/>
        </w:rPr>
        <w:t xml:space="preserve">) or cells treated with 0.5 </w:t>
      </w:r>
      <w:r w:rsidRPr="00D77E60">
        <w:rPr>
          <w:rFonts w:ascii="Symbol" w:hAnsi="Symbol" w:cs="Times New Roman"/>
          <w:sz w:val="24"/>
        </w:rPr>
        <w:t>m</w:t>
      </w:r>
      <w:r w:rsidRPr="001F65B1">
        <w:rPr>
          <w:rFonts w:ascii="Times New Roman" w:hAnsi="Times New Roman" w:cs="Times New Roman"/>
          <w:sz w:val="24"/>
        </w:rPr>
        <w:t>M AMA for 15 h (</w:t>
      </w:r>
      <w:r w:rsidRPr="00B86994">
        <w:rPr>
          <w:rFonts w:ascii="Times New Roman" w:hAnsi="Times New Roman" w:cs="Times New Roman"/>
          <w:b/>
          <w:bCs/>
          <w:sz w:val="24"/>
        </w:rPr>
        <w:t>C</w:t>
      </w:r>
      <w:r w:rsidRPr="001F65B1">
        <w:rPr>
          <w:rFonts w:ascii="Times New Roman" w:hAnsi="Times New Roman" w:cs="Times New Roman"/>
          <w:sz w:val="24"/>
        </w:rPr>
        <w:t>) using the GSH/GSSG-Glo</w:t>
      </w:r>
      <w:r w:rsidRPr="001F65B1">
        <w:rPr>
          <w:rFonts w:ascii="Times New Roman" w:hAnsi="Times New Roman" w:cs="Times New Roman"/>
          <w:sz w:val="24"/>
          <w:vertAlign w:val="superscript"/>
        </w:rPr>
        <w:t>TM</w:t>
      </w:r>
      <w:r w:rsidRPr="001F65B1">
        <w:rPr>
          <w:rFonts w:ascii="Times New Roman" w:hAnsi="Times New Roman" w:cs="Times New Roman"/>
          <w:sz w:val="24"/>
        </w:rPr>
        <w:t xml:space="preserve"> Assay kit (Promega Corporation, Madison, WI, USA). Briefly, the cells were seeded at a density of 2</w:t>
      </w:r>
      <w:r>
        <w:rPr>
          <w:rFonts w:ascii="Times New Roman" w:hAnsi="Times New Roman" w:cs="Times New Roman" w:hint="eastAsia"/>
          <w:sz w:val="24"/>
        </w:rPr>
        <w:t xml:space="preserve"> </w:t>
      </w:r>
      <w:r w:rsidRPr="001F65B1">
        <w:rPr>
          <w:rFonts w:ascii="Times New Roman" w:eastAsia="Yu Mincho" w:hAnsi="Times New Roman" w:cs="Times New Roman"/>
          <w:sz w:val="24"/>
        </w:rPr>
        <w:t>×</w:t>
      </w:r>
      <w:r>
        <w:rPr>
          <w:rFonts w:ascii="Times New Roman" w:eastAsia="Yu Mincho" w:hAnsi="Times New Roman" w:cs="Times New Roman"/>
          <w:sz w:val="24"/>
        </w:rPr>
        <w:t xml:space="preserve"> </w:t>
      </w:r>
      <w:r w:rsidRPr="001F65B1">
        <w:rPr>
          <w:rFonts w:ascii="Times New Roman" w:hAnsi="Times New Roman" w:cs="Times New Roman"/>
          <w:sz w:val="24"/>
        </w:rPr>
        <w:t>10</w:t>
      </w:r>
      <w:r w:rsidRPr="001F65B1">
        <w:rPr>
          <w:rFonts w:ascii="Times New Roman" w:hAnsi="Times New Roman" w:cs="Times New Roman"/>
          <w:sz w:val="24"/>
          <w:vertAlign w:val="superscript"/>
        </w:rPr>
        <w:t>3</w:t>
      </w:r>
      <w:r w:rsidRPr="001F65B1">
        <w:rPr>
          <w:rFonts w:ascii="Times New Roman" w:hAnsi="Times New Roman" w:cs="Times New Roman"/>
          <w:sz w:val="24"/>
        </w:rPr>
        <w:t xml:space="preserve"> or 5</w:t>
      </w:r>
      <w:r>
        <w:rPr>
          <w:rFonts w:ascii="Times New Roman" w:hAnsi="Times New Roman" w:cs="Times New Roman"/>
          <w:sz w:val="24"/>
        </w:rPr>
        <w:t xml:space="preserve"> </w:t>
      </w:r>
      <w:r w:rsidRPr="001F65B1">
        <w:rPr>
          <w:rFonts w:ascii="Times New Roman" w:eastAsia="Yu Mincho" w:hAnsi="Times New Roman" w:cs="Times New Roman"/>
          <w:sz w:val="24"/>
        </w:rPr>
        <w:t>×</w:t>
      </w:r>
      <w:r>
        <w:rPr>
          <w:rFonts w:ascii="Times New Roman" w:eastAsia="Yu Mincho" w:hAnsi="Times New Roman" w:cs="Times New Roman"/>
          <w:sz w:val="24"/>
        </w:rPr>
        <w:t xml:space="preserve"> </w:t>
      </w:r>
      <w:r w:rsidRPr="001F65B1">
        <w:rPr>
          <w:rFonts w:ascii="Times New Roman" w:hAnsi="Times New Roman" w:cs="Times New Roman"/>
          <w:sz w:val="24"/>
        </w:rPr>
        <w:t>10</w:t>
      </w:r>
      <w:r w:rsidRPr="001F65B1">
        <w:rPr>
          <w:rFonts w:ascii="Times New Roman" w:hAnsi="Times New Roman" w:cs="Times New Roman"/>
          <w:sz w:val="24"/>
          <w:vertAlign w:val="superscript"/>
        </w:rPr>
        <w:t>3</w:t>
      </w:r>
      <w:r w:rsidRPr="001F65B1">
        <w:rPr>
          <w:rFonts w:ascii="Times New Roman" w:hAnsi="Times New Roman" w:cs="Times New Roman"/>
          <w:sz w:val="24"/>
        </w:rPr>
        <w:t xml:space="preserve"> cells in a single well of a 96-well plate. Two days later, the cells treated with or without reagents for 12</w:t>
      </w:r>
      <w:r>
        <w:rPr>
          <w:rFonts w:ascii="Times New Roman" w:hAnsi="Times New Roman" w:cs="Times New Roman"/>
          <w:sz w:val="24"/>
        </w:rPr>
        <w:t>–</w:t>
      </w:r>
      <w:r w:rsidRPr="001F65B1">
        <w:rPr>
          <w:rFonts w:ascii="Times New Roman" w:hAnsi="Times New Roman" w:cs="Times New Roman"/>
          <w:sz w:val="24"/>
        </w:rPr>
        <w:t xml:space="preserve">18 h were subjected to the assay based on the manufacturer’s instructions. Bars represent the means ± standard deviation from three independent experiments with triplicate measurements for each experiment. </w:t>
      </w:r>
      <w:r w:rsidRPr="00B86994">
        <w:rPr>
          <w:rFonts w:ascii="Times New Roman" w:hAnsi="Times New Roman" w:cs="Times New Roman"/>
          <w:b/>
          <w:bCs/>
          <w:sz w:val="24"/>
        </w:rPr>
        <w:t>D</w:t>
      </w:r>
      <w:r w:rsidRPr="001F65B1">
        <w:rPr>
          <w:rFonts w:ascii="Times New Roman" w:hAnsi="Times New Roman" w:cs="Times New Roman"/>
          <w:sz w:val="24"/>
        </w:rPr>
        <w:t xml:space="preserve"> Cells were </w:t>
      </w:r>
      <w:r w:rsidRPr="001F65B1">
        <w:rPr>
          <w:rFonts w:ascii="Times New Roman" w:hAnsi="Times New Roman" w:cs="Times New Roman"/>
          <w:sz w:val="24"/>
        </w:rPr>
        <w:lastRenderedPageBreak/>
        <w:t>lysed and subjected to western blot analysis using the indicated antibodies. Glyceraldehyde-3-phosphate dehydrogenase (GD) was used as a loading control. Cells marked with a downward arrow represent mt-Low cells.</w:t>
      </w:r>
    </w:p>
    <w:p w14:paraId="1F2AB366" w14:textId="77777777" w:rsidR="00A40839" w:rsidRPr="001F65B1" w:rsidRDefault="00A40839" w:rsidP="00A40839">
      <w:pPr>
        <w:spacing w:line="360" w:lineRule="auto"/>
        <w:jc w:val="both"/>
        <w:rPr>
          <w:rFonts w:ascii="Times New Roman" w:hAnsi="Times New Roman" w:cs="Times New Roman"/>
          <w:sz w:val="24"/>
        </w:rPr>
      </w:pPr>
    </w:p>
    <w:p w14:paraId="44311A9C" w14:textId="77777777" w:rsidR="00A40839" w:rsidRPr="00E43DA9" w:rsidRDefault="00A40839" w:rsidP="00A40839">
      <w:pPr>
        <w:spacing w:line="360" w:lineRule="auto"/>
        <w:jc w:val="both"/>
        <w:rPr>
          <w:rFonts w:ascii="Times New Roman" w:hAnsi="Times New Roman" w:cs="Times New Roman"/>
          <w:sz w:val="24"/>
        </w:rPr>
      </w:pPr>
      <w:r w:rsidRPr="001F65B1">
        <w:rPr>
          <w:rFonts w:ascii="Times New Roman" w:hAnsi="Times New Roman" w:cs="Times New Roman"/>
          <w:b/>
          <w:bCs/>
          <w:sz w:val="24"/>
        </w:rPr>
        <w:t xml:space="preserve">Fig. S3 </w:t>
      </w:r>
      <w:r w:rsidRPr="00B86994">
        <w:rPr>
          <w:rFonts w:ascii="Times New Roman" w:hAnsi="Times New Roman" w:cs="Times New Roman"/>
          <w:sz w:val="24"/>
        </w:rPr>
        <w:t>Validation of knockdown of the siRNA target by real-time RT-PCR.</w:t>
      </w:r>
      <w:r w:rsidRPr="001F65B1">
        <w:rPr>
          <w:rFonts w:ascii="Times New Roman" w:hAnsi="Times New Roman" w:cs="Times New Roman"/>
          <w:sz w:val="24"/>
        </w:rPr>
        <w:t xml:space="preserve"> RNA was extracted from JHH-1 cells incubated with siRNAs (12.5 nM) </w:t>
      </w:r>
      <w:r>
        <w:rPr>
          <w:rFonts w:ascii="Times New Roman" w:hAnsi="Times New Roman" w:cs="Times New Roman" w:hint="eastAsia"/>
          <w:sz w:val="24"/>
        </w:rPr>
        <w:t xml:space="preserve">for the </w:t>
      </w:r>
      <w:r w:rsidRPr="001F65B1">
        <w:rPr>
          <w:rFonts w:ascii="Times New Roman" w:hAnsi="Times New Roman" w:cs="Times New Roman"/>
          <w:sz w:val="24"/>
        </w:rPr>
        <w:t xml:space="preserve">core subunits of respiratory complex I </w:t>
      </w:r>
      <w:r>
        <w:rPr>
          <w:rFonts w:ascii="Times New Roman" w:hAnsi="Times New Roman" w:cs="Times New Roman" w:hint="eastAsia"/>
          <w:sz w:val="24"/>
        </w:rPr>
        <w:t>(</w:t>
      </w:r>
      <w:r w:rsidRPr="001F65B1">
        <w:rPr>
          <w:rFonts w:ascii="Times New Roman" w:hAnsi="Times New Roman" w:cs="Times New Roman"/>
          <w:i/>
          <w:iCs/>
          <w:sz w:val="24"/>
        </w:rPr>
        <w:t>NDUFV1</w:t>
      </w:r>
      <w:r w:rsidRPr="00097199">
        <w:rPr>
          <w:rFonts w:ascii="Times New Roman" w:hAnsi="Times New Roman" w:cs="Times New Roman" w:hint="eastAsia"/>
          <w:sz w:val="24"/>
        </w:rPr>
        <w:t xml:space="preserve"> and </w:t>
      </w:r>
      <w:r w:rsidRPr="001F65B1">
        <w:rPr>
          <w:rFonts w:ascii="Times New Roman" w:hAnsi="Times New Roman" w:cs="Times New Roman"/>
          <w:i/>
          <w:iCs/>
          <w:sz w:val="24"/>
        </w:rPr>
        <w:t>NDUF</w:t>
      </w:r>
      <w:r w:rsidRPr="00097199">
        <w:rPr>
          <w:rFonts w:ascii="Times New Roman" w:hAnsi="Times New Roman" w:cs="Times New Roman"/>
          <w:i/>
          <w:iCs/>
          <w:sz w:val="24"/>
        </w:rPr>
        <w:t>S1</w:t>
      </w:r>
      <w:r>
        <w:rPr>
          <w:rFonts w:ascii="Times New Roman" w:hAnsi="Times New Roman" w:cs="Times New Roman" w:hint="eastAsia"/>
          <w:sz w:val="24"/>
        </w:rPr>
        <w:t xml:space="preserve">) </w:t>
      </w:r>
      <w:r w:rsidRPr="001F65B1">
        <w:rPr>
          <w:rFonts w:ascii="Times New Roman" w:hAnsi="Times New Roman" w:cs="Times New Roman"/>
          <w:sz w:val="24"/>
        </w:rPr>
        <w:t xml:space="preserve">and III </w:t>
      </w:r>
      <w:r>
        <w:rPr>
          <w:rFonts w:ascii="Times New Roman" w:hAnsi="Times New Roman" w:cs="Times New Roman" w:hint="eastAsia"/>
          <w:sz w:val="24"/>
        </w:rPr>
        <w:t>(</w:t>
      </w:r>
      <w:r w:rsidRPr="001F65B1">
        <w:rPr>
          <w:rFonts w:ascii="Times New Roman" w:hAnsi="Times New Roman" w:cs="Times New Roman"/>
          <w:i/>
          <w:iCs/>
          <w:sz w:val="24"/>
        </w:rPr>
        <w:t>URCRFS1</w:t>
      </w:r>
      <w:r>
        <w:rPr>
          <w:rFonts w:ascii="Times New Roman" w:hAnsi="Times New Roman" w:cs="Times New Roman" w:hint="eastAsia"/>
          <w:sz w:val="24"/>
        </w:rPr>
        <w:t>)</w:t>
      </w:r>
      <w:r>
        <w:rPr>
          <w:rFonts w:ascii="Times New Roman" w:hAnsi="Times New Roman" w:cs="Times New Roman" w:hint="eastAsia"/>
          <w:i/>
          <w:iCs/>
          <w:sz w:val="24"/>
        </w:rPr>
        <w:t xml:space="preserve"> </w:t>
      </w:r>
      <w:r w:rsidRPr="004B3474">
        <w:rPr>
          <w:rFonts w:ascii="Times New Roman" w:hAnsi="Times New Roman" w:cs="Times New Roman" w:hint="eastAsia"/>
          <w:sz w:val="24"/>
        </w:rPr>
        <w:t>or</w:t>
      </w:r>
      <w:r w:rsidRPr="001F65B1">
        <w:rPr>
          <w:rFonts w:ascii="Times New Roman" w:hAnsi="Times New Roman" w:cs="Times New Roman"/>
          <w:i/>
          <w:iCs/>
          <w:sz w:val="24"/>
        </w:rPr>
        <w:t xml:space="preserve"> </w:t>
      </w:r>
      <w:r>
        <w:rPr>
          <w:rFonts w:ascii="Times New Roman" w:hAnsi="Times New Roman" w:cs="Times New Roman" w:hint="eastAsia"/>
          <w:sz w:val="24"/>
        </w:rPr>
        <w:t xml:space="preserve">negative control siRNA (Ctr) </w:t>
      </w:r>
      <w:r w:rsidRPr="001F65B1">
        <w:rPr>
          <w:rFonts w:ascii="Times New Roman" w:hAnsi="Times New Roman" w:cs="Times New Roman"/>
          <w:sz w:val="24"/>
        </w:rPr>
        <w:t>for 3 days and subjected to real-time RT-PCR. The cDNA samples were mixed with gene-specific primers (Table S2) and THUNDERBIRD</w:t>
      </w:r>
      <w:r w:rsidRPr="001F65B1">
        <w:rPr>
          <w:rFonts w:ascii="Times New Roman" w:hAnsi="Times New Roman" w:cs="Times New Roman"/>
          <w:sz w:val="24"/>
          <w:vertAlign w:val="superscript"/>
        </w:rPr>
        <w:t>®</w:t>
      </w:r>
      <w:r w:rsidRPr="001F65B1">
        <w:rPr>
          <w:rFonts w:ascii="Times New Roman" w:hAnsi="Times New Roman" w:cs="Times New Roman"/>
          <w:sz w:val="24"/>
        </w:rPr>
        <w:t>NextSYBR</w:t>
      </w:r>
      <w:r w:rsidRPr="001F65B1">
        <w:rPr>
          <w:rFonts w:ascii="Times New Roman" w:hAnsi="Times New Roman" w:cs="Times New Roman"/>
          <w:sz w:val="24"/>
          <w:vertAlign w:val="superscript"/>
        </w:rPr>
        <w:t>TM</w:t>
      </w:r>
      <w:r w:rsidRPr="001F65B1">
        <w:rPr>
          <w:rFonts w:ascii="Times New Roman" w:hAnsi="Times New Roman" w:cs="Times New Roman"/>
          <w:sz w:val="24"/>
        </w:rPr>
        <w:t xml:space="preserve"> qPCR Mix (TOYOBO CO., LTD., Osaka, Japan) and amplified using a QuantStudio 3 (Thermo Fisher Scientific, Inc.) based on the manufacturer’s instructions. Ct values for the target genes were normalized to the TATA-binding protein gene, and relative mRNA expression to the control is shown. Bars represent the means ± standard deviation from three independent experiments with triplicate measurements for each experiment.</w:t>
      </w:r>
      <w:r w:rsidRPr="001F65B1">
        <w:rPr>
          <w:rFonts w:ascii="Times New Roman" w:hAnsi="Times New Roman" w:cs="Times New Roman"/>
          <w:sz w:val="24"/>
        </w:rPr>
        <w:fldChar w:fldCharType="begin"/>
      </w:r>
      <w:r w:rsidRPr="001F65B1">
        <w:rPr>
          <w:rFonts w:ascii="Times New Roman" w:hAnsi="Times New Roman" w:cs="Times New Roman"/>
          <w:sz w:val="24"/>
        </w:rPr>
        <w:instrText xml:space="preserve"> ADDIN </w:instrText>
      </w:r>
      <w:r w:rsidRPr="001F65B1">
        <w:rPr>
          <w:rFonts w:ascii="Times New Roman" w:hAnsi="Times New Roman" w:cs="Times New Roman"/>
          <w:sz w:val="24"/>
        </w:rPr>
        <w:fldChar w:fldCharType="end"/>
      </w:r>
    </w:p>
    <w:p w14:paraId="1653CED1" w14:textId="77777777" w:rsidR="00E023F9" w:rsidRDefault="00E023F9"/>
    <w:sectPr w:rsidR="00E023F9" w:rsidSect="00A40839">
      <w:footerReference w:type="default" r:id="rId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3426402"/>
      <w:docPartObj>
        <w:docPartGallery w:val="Page Numbers (Bottom of Page)"/>
        <w:docPartUnique/>
      </w:docPartObj>
    </w:sdtPr>
    <w:sdtContent>
      <w:p w14:paraId="2AD6A23F" w14:textId="77777777" w:rsidR="00A40839" w:rsidRDefault="00A40839">
        <w:pPr>
          <w:pStyle w:val="Footer"/>
          <w:jc w:val="center"/>
        </w:pPr>
        <w:r>
          <w:fldChar w:fldCharType="begin"/>
        </w:r>
        <w:r>
          <w:instrText>PAGE   \* MERGEFORMAT</w:instrText>
        </w:r>
        <w:r>
          <w:fldChar w:fldCharType="separate"/>
        </w:r>
        <w:r>
          <w:rPr>
            <w:lang w:val="ja-JP"/>
          </w:rPr>
          <w:t>2</w:t>
        </w:r>
        <w:r>
          <w:fldChar w:fldCharType="end"/>
        </w:r>
      </w:p>
    </w:sdtContent>
  </w:sdt>
  <w:p w14:paraId="071B20FC" w14:textId="77777777" w:rsidR="00A40839" w:rsidRDefault="00A4083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839"/>
    <w:rsid w:val="000C4033"/>
    <w:rsid w:val="004B42CB"/>
    <w:rsid w:val="00A40839"/>
    <w:rsid w:val="00B85331"/>
    <w:rsid w:val="00CB4739"/>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40F3F"/>
  <w15:chartTrackingRefBased/>
  <w15:docId w15:val="{C22EC338-ECDF-4136-B5A1-FBBC69CD0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0839"/>
    <w:pPr>
      <w:widowControl w:val="0"/>
      <w:spacing w:line="259" w:lineRule="auto"/>
    </w:pPr>
    <w:rPr>
      <w:rFonts w:eastAsiaTheme="minorEastAsia"/>
      <w:sz w:val="22"/>
      <w:lang w:val="en-US" w:eastAsia="ja-JP"/>
    </w:rPr>
  </w:style>
  <w:style w:type="paragraph" w:styleId="Heading1">
    <w:name w:val="heading 1"/>
    <w:basedOn w:val="Normal"/>
    <w:next w:val="Normal"/>
    <w:link w:val="Heading1Char"/>
    <w:uiPriority w:val="9"/>
    <w:qFormat/>
    <w:rsid w:val="00A40839"/>
    <w:pPr>
      <w:keepNext/>
      <w:keepLines/>
      <w:widowControl/>
      <w:spacing w:before="360" w:after="80" w:line="278" w:lineRule="auto"/>
      <w:outlineLvl w:val="0"/>
    </w:pPr>
    <w:rPr>
      <w:rFonts w:asciiTheme="majorHAnsi" w:eastAsiaTheme="majorEastAsia" w:hAnsiTheme="majorHAnsi" w:cstheme="majorBidi"/>
      <w:color w:val="0F4761" w:themeColor="accent1" w:themeShade="BF"/>
      <w:sz w:val="40"/>
      <w:szCs w:val="40"/>
      <w:lang w:val="en-IN" w:eastAsia="en-US"/>
    </w:rPr>
  </w:style>
  <w:style w:type="paragraph" w:styleId="Heading2">
    <w:name w:val="heading 2"/>
    <w:basedOn w:val="Normal"/>
    <w:next w:val="Normal"/>
    <w:link w:val="Heading2Char"/>
    <w:uiPriority w:val="9"/>
    <w:semiHidden/>
    <w:unhideWhenUsed/>
    <w:qFormat/>
    <w:rsid w:val="00A40839"/>
    <w:pPr>
      <w:keepNext/>
      <w:keepLines/>
      <w:widowControl/>
      <w:spacing w:before="160" w:after="80" w:line="278" w:lineRule="auto"/>
      <w:outlineLvl w:val="1"/>
    </w:pPr>
    <w:rPr>
      <w:rFonts w:asciiTheme="majorHAnsi" w:eastAsiaTheme="majorEastAsia" w:hAnsiTheme="majorHAnsi" w:cstheme="majorBidi"/>
      <w:color w:val="0F4761" w:themeColor="accent1" w:themeShade="BF"/>
      <w:sz w:val="32"/>
      <w:szCs w:val="32"/>
      <w:lang w:val="en-IN" w:eastAsia="en-US"/>
    </w:rPr>
  </w:style>
  <w:style w:type="paragraph" w:styleId="Heading3">
    <w:name w:val="heading 3"/>
    <w:basedOn w:val="Normal"/>
    <w:next w:val="Normal"/>
    <w:link w:val="Heading3Char"/>
    <w:uiPriority w:val="9"/>
    <w:semiHidden/>
    <w:unhideWhenUsed/>
    <w:qFormat/>
    <w:rsid w:val="00A40839"/>
    <w:pPr>
      <w:keepNext/>
      <w:keepLines/>
      <w:widowControl/>
      <w:spacing w:before="160" w:after="80" w:line="278" w:lineRule="auto"/>
      <w:outlineLvl w:val="2"/>
    </w:pPr>
    <w:rPr>
      <w:rFonts w:eastAsiaTheme="majorEastAsia" w:cstheme="majorBidi"/>
      <w:color w:val="0F4761" w:themeColor="accent1" w:themeShade="BF"/>
      <w:sz w:val="28"/>
      <w:szCs w:val="28"/>
      <w:lang w:val="en-IN" w:eastAsia="en-US"/>
    </w:rPr>
  </w:style>
  <w:style w:type="paragraph" w:styleId="Heading4">
    <w:name w:val="heading 4"/>
    <w:basedOn w:val="Normal"/>
    <w:next w:val="Normal"/>
    <w:link w:val="Heading4Char"/>
    <w:uiPriority w:val="9"/>
    <w:semiHidden/>
    <w:unhideWhenUsed/>
    <w:qFormat/>
    <w:rsid w:val="00A40839"/>
    <w:pPr>
      <w:keepNext/>
      <w:keepLines/>
      <w:widowControl/>
      <w:spacing w:before="80" w:after="40" w:line="278" w:lineRule="auto"/>
      <w:outlineLvl w:val="3"/>
    </w:pPr>
    <w:rPr>
      <w:rFonts w:eastAsiaTheme="majorEastAsia" w:cstheme="majorBidi"/>
      <w:i/>
      <w:iCs/>
      <w:color w:val="0F4761" w:themeColor="accent1" w:themeShade="BF"/>
      <w:sz w:val="24"/>
      <w:lang w:val="en-IN" w:eastAsia="en-US"/>
    </w:rPr>
  </w:style>
  <w:style w:type="paragraph" w:styleId="Heading5">
    <w:name w:val="heading 5"/>
    <w:basedOn w:val="Normal"/>
    <w:next w:val="Normal"/>
    <w:link w:val="Heading5Char"/>
    <w:uiPriority w:val="9"/>
    <w:semiHidden/>
    <w:unhideWhenUsed/>
    <w:qFormat/>
    <w:rsid w:val="00A40839"/>
    <w:pPr>
      <w:keepNext/>
      <w:keepLines/>
      <w:widowControl/>
      <w:spacing w:before="80" w:after="40" w:line="278" w:lineRule="auto"/>
      <w:outlineLvl w:val="4"/>
    </w:pPr>
    <w:rPr>
      <w:rFonts w:eastAsiaTheme="majorEastAsia" w:cstheme="majorBidi"/>
      <w:color w:val="0F4761" w:themeColor="accent1" w:themeShade="BF"/>
      <w:sz w:val="24"/>
      <w:lang w:val="en-IN" w:eastAsia="en-US"/>
    </w:rPr>
  </w:style>
  <w:style w:type="paragraph" w:styleId="Heading6">
    <w:name w:val="heading 6"/>
    <w:basedOn w:val="Normal"/>
    <w:next w:val="Normal"/>
    <w:link w:val="Heading6Char"/>
    <w:uiPriority w:val="9"/>
    <w:semiHidden/>
    <w:unhideWhenUsed/>
    <w:qFormat/>
    <w:rsid w:val="00A40839"/>
    <w:pPr>
      <w:keepNext/>
      <w:keepLines/>
      <w:widowControl/>
      <w:spacing w:before="40" w:after="0" w:line="278" w:lineRule="auto"/>
      <w:outlineLvl w:val="5"/>
    </w:pPr>
    <w:rPr>
      <w:rFonts w:eastAsiaTheme="majorEastAsia" w:cstheme="majorBidi"/>
      <w:i/>
      <w:iCs/>
      <w:color w:val="595959" w:themeColor="text1" w:themeTint="A6"/>
      <w:sz w:val="24"/>
      <w:lang w:val="en-IN" w:eastAsia="en-US"/>
    </w:rPr>
  </w:style>
  <w:style w:type="paragraph" w:styleId="Heading7">
    <w:name w:val="heading 7"/>
    <w:basedOn w:val="Normal"/>
    <w:next w:val="Normal"/>
    <w:link w:val="Heading7Char"/>
    <w:uiPriority w:val="9"/>
    <w:semiHidden/>
    <w:unhideWhenUsed/>
    <w:qFormat/>
    <w:rsid w:val="00A40839"/>
    <w:pPr>
      <w:keepNext/>
      <w:keepLines/>
      <w:widowControl/>
      <w:spacing w:before="40" w:after="0" w:line="278" w:lineRule="auto"/>
      <w:outlineLvl w:val="6"/>
    </w:pPr>
    <w:rPr>
      <w:rFonts w:eastAsiaTheme="majorEastAsia" w:cstheme="majorBidi"/>
      <w:color w:val="595959" w:themeColor="text1" w:themeTint="A6"/>
      <w:sz w:val="24"/>
      <w:lang w:val="en-IN" w:eastAsia="en-US"/>
    </w:rPr>
  </w:style>
  <w:style w:type="paragraph" w:styleId="Heading8">
    <w:name w:val="heading 8"/>
    <w:basedOn w:val="Normal"/>
    <w:next w:val="Normal"/>
    <w:link w:val="Heading8Char"/>
    <w:uiPriority w:val="9"/>
    <w:semiHidden/>
    <w:unhideWhenUsed/>
    <w:qFormat/>
    <w:rsid w:val="00A40839"/>
    <w:pPr>
      <w:keepNext/>
      <w:keepLines/>
      <w:widowControl/>
      <w:spacing w:after="0" w:line="278" w:lineRule="auto"/>
      <w:outlineLvl w:val="7"/>
    </w:pPr>
    <w:rPr>
      <w:rFonts w:eastAsiaTheme="majorEastAsia" w:cstheme="majorBidi"/>
      <w:i/>
      <w:iCs/>
      <w:color w:val="272727" w:themeColor="text1" w:themeTint="D8"/>
      <w:sz w:val="24"/>
      <w:lang w:val="en-IN" w:eastAsia="en-US"/>
    </w:rPr>
  </w:style>
  <w:style w:type="paragraph" w:styleId="Heading9">
    <w:name w:val="heading 9"/>
    <w:basedOn w:val="Normal"/>
    <w:next w:val="Normal"/>
    <w:link w:val="Heading9Char"/>
    <w:uiPriority w:val="9"/>
    <w:semiHidden/>
    <w:unhideWhenUsed/>
    <w:qFormat/>
    <w:rsid w:val="00A40839"/>
    <w:pPr>
      <w:keepNext/>
      <w:keepLines/>
      <w:widowControl/>
      <w:spacing w:after="0" w:line="278" w:lineRule="auto"/>
      <w:outlineLvl w:val="8"/>
    </w:pPr>
    <w:rPr>
      <w:rFonts w:eastAsiaTheme="majorEastAsia" w:cstheme="majorBidi"/>
      <w:color w:val="272727" w:themeColor="text1" w:themeTint="D8"/>
      <w:sz w:val="24"/>
      <w:lang w:val="en-IN"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08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08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08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08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08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08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08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08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0839"/>
    <w:rPr>
      <w:rFonts w:eastAsiaTheme="majorEastAsia" w:cstheme="majorBidi"/>
      <w:color w:val="272727" w:themeColor="text1" w:themeTint="D8"/>
    </w:rPr>
  </w:style>
  <w:style w:type="paragraph" w:styleId="Title">
    <w:name w:val="Title"/>
    <w:basedOn w:val="Normal"/>
    <w:next w:val="Normal"/>
    <w:link w:val="TitleChar"/>
    <w:uiPriority w:val="10"/>
    <w:qFormat/>
    <w:rsid w:val="00A40839"/>
    <w:pPr>
      <w:widowControl/>
      <w:spacing w:after="80" w:line="240" w:lineRule="auto"/>
      <w:contextualSpacing/>
    </w:pPr>
    <w:rPr>
      <w:rFonts w:asciiTheme="majorHAnsi" w:eastAsiaTheme="majorEastAsia" w:hAnsiTheme="majorHAnsi" w:cstheme="majorBidi"/>
      <w:spacing w:val="-10"/>
      <w:kern w:val="28"/>
      <w:sz w:val="56"/>
      <w:szCs w:val="56"/>
      <w:lang w:val="en-IN" w:eastAsia="en-US"/>
    </w:rPr>
  </w:style>
  <w:style w:type="character" w:customStyle="1" w:styleId="TitleChar">
    <w:name w:val="Title Char"/>
    <w:basedOn w:val="DefaultParagraphFont"/>
    <w:link w:val="Title"/>
    <w:uiPriority w:val="10"/>
    <w:rsid w:val="00A408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0839"/>
    <w:pPr>
      <w:widowControl/>
      <w:numPr>
        <w:ilvl w:val="1"/>
      </w:numPr>
      <w:spacing w:line="278" w:lineRule="auto"/>
    </w:pPr>
    <w:rPr>
      <w:rFonts w:eastAsiaTheme="majorEastAsia" w:cstheme="majorBidi"/>
      <w:color w:val="595959" w:themeColor="text1" w:themeTint="A6"/>
      <w:spacing w:val="15"/>
      <w:sz w:val="28"/>
      <w:szCs w:val="28"/>
      <w:lang w:val="en-IN" w:eastAsia="en-US"/>
    </w:rPr>
  </w:style>
  <w:style w:type="character" w:customStyle="1" w:styleId="SubtitleChar">
    <w:name w:val="Subtitle Char"/>
    <w:basedOn w:val="DefaultParagraphFont"/>
    <w:link w:val="Subtitle"/>
    <w:uiPriority w:val="11"/>
    <w:rsid w:val="00A408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0839"/>
    <w:pPr>
      <w:widowControl/>
      <w:spacing w:before="160" w:line="278" w:lineRule="auto"/>
      <w:jc w:val="center"/>
    </w:pPr>
    <w:rPr>
      <w:rFonts w:eastAsiaTheme="minorHAnsi"/>
      <w:i/>
      <w:iCs/>
      <w:color w:val="404040" w:themeColor="text1" w:themeTint="BF"/>
      <w:sz w:val="24"/>
      <w:lang w:val="en-IN" w:eastAsia="en-US"/>
    </w:rPr>
  </w:style>
  <w:style w:type="character" w:customStyle="1" w:styleId="QuoteChar">
    <w:name w:val="Quote Char"/>
    <w:basedOn w:val="DefaultParagraphFont"/>
    <w:link w:val="Quote"/>
    <w:uiPriority w:val="29"/>
    <w:rsid w:val="00A40839"/>
    <w:rPr>
      <w:i/>
      <w:iCs/>
      <w:color w:val="404040" w:themeColor="text1" w:themeTint="BF"/>
    </w:rPr>
  </w:style>
  <w:style w:type="paragraph" w:styleId="ListParagraph">
    <w:name w:val="List Paragraph"/>
    <w:basedOn w:val="Normal"/>
    <w:uiPriority w:val="34"/>
    <w:qFormat/>
    <w:rsid w:val="00A40839"/>
    <w:pPr>
      <w:widowControl/>
      <w:spacing w:line="278" w:lineRule="auto"/>
      <w:ind w:left="720"/>
      <w:contextualSpacing/>
    </w:pPr>
    <w:rPr>
      <w:rFonts w:eastAsiaTheme="minorHAnsi"/>
      <w:sz w:val="24"/>
      <w:lang w:val="en-IN" w:eastAsia="en-US"/>
    </w:rPr>
  </w:style>
  <w:style w:type="character" w:styleId="IntenseEmphasis">
    <w:name w:val="Intense Emphasis"/>
    <w:basedOn w:val="DefaultParagraphFont"/>
    <w:uiPriority w:val="21"/>
    <w:qFormat/>
    <w:rsid w:val="00A40839"/>
    <w:rPr>
      <w:i/>
      <w:iCs/>
      <w:color w:val="0F4761" w:themeColor="accent1" w:themeShade="BF"/>
    </w:rPr>
  </w:style>
  <w:style w:type="paragraph" w:styleId="IntenseQuote">
    <w:name w:val="Intense Quote"/>
    <w:basedOn w:val="Normal"/>
    <w:next w:val="Normal"/>
    <w:link w:val="IntenseQuoteChar"/>
    <w:uiPriority w:val="30"/>
    <w:qFormat/>
    <w:rsid w:val="00A40839"/>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val="en-IN" w:eastAsia="en-US"/>
    </w:rPr>
  </w:style>
  <w:style w:type="character" w:customStyle="1" w:styleId="IntenseQuoteChar">
    <w:name w:val="Intense Quote Char"/>
    <w:basedOn w:val="DefaultParagraphFont"/>
    <w:link w:val="IntenseQuote"/>
    <w:uiPriority w:val="30"/>
    <w:rsid w:val="00A40839"/>
    <w:rPr>
      <w:i/>
      <w:iCs/>
      <w:color w:val="0F4761" w:themeColor="accent1" w:themeShade="BF"/>
    </w:rPr>
  </w:style>
  <w:style w:type="character" w:styleId="IntenseReference">
    <w:name w:val="Intense Reference"/>
    <w:basedOn w:val="DefaultParagraphFont"/>
    <w:uiPriority w:val="32"/>
    <w:qFormat/>
    <w:rsid w:val="00A40839"/>
    <w:rPr>
      <w:b/>
      <w:bCs/>
      <w:smallCaps/>
      <w:color w:val="0F4761" w:themeColor="accent1" w:themeShade="BF"/>
      <w:spacing w:val="5"/>
    </w:rPr>
  </w:style>
  <w:style w:type="paragraph" w:styleId="Footer">
    <w:name w:val="footer"/>
    <w:basedOn w:val="Normal"/>
    <w:link w:val="FooterChar"/>
    <w:uiPriority w:val="99"/>
    <w:unhideWhenUsed/>
    <w:rsid w:val="00A40839"/>
    <w:pPr>
      <w:tabs>
        <w:tab w:val="center" w:pos="4252"/>
        <w:tab w:val="right" w:pos="8504"/>
      </w:tabs>
      <w:snapToGrid w:val="0"/>
    </w:pPr>
  </w:style>
  <w:style w:type="character" w:customStyle="1" w:styleId="FooterChar">
    <w:name w:val="Footer Char"/>
    <w:basedOn w:val="DefaultParagraphFont"/>
    <w:link w:val="Footer"/>
    <w:uiPriority w:val="99"/>
    <w:rsid w:val="00A40839"/>
    <w:rPr>
      <w:rFonts w:eastAsiaTheme="minorEastAsia"/>
      <w:sz w:val="22"/>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427</Words>
  <Characters>2486</Characters>
  <Application>Microsoft Office Word</Application>
  <DocSecurity>0</DocSecurity>
  <Lines>40</Lines>
  <Paragraphs>9</Paragraphs>
  <ScaleCrop>false</ScaleCrop>
  <Company/>
  <LinksUpToDate>false</LinksUpToDate>
  <CharactersWithSpaces>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2026-01-12T08:51:00Z</dcterms:created>
  <dcterms:modified xsi:type="dcterms:W3CDTF">2026-01-12T08:52:00Z</dcterms:modified>
</cp:coreProperties>
</file>