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D721B" w14:textId="77777777" w:rsidR="0007560F" w:rsidRPr="00E5288F" w:rsidRDefault="0007560F" w:rsidP="0007560F">
      <w:pPr>
        <w:pStyle w:val="NoSpacing"/>
        <w:jc w:val="both"/>
        <w:rPr>
          <w:rFonts w:ascii="Times New Roman" w:eastAsia="Times New Roman" w:hAnsi="Times New Roman" w:cs="Times New Roman"/>
          <w:kern w:val="0"/>
          <w:sz w:val="18"/>
          <w:szCs w:val="18"/>
          <w14:ligatures w14:val="none"/>
        </w:rPr>
      </w:pPr>
      <w:r w:rsidRPr="00E5288F">
        <w:rPr>
          <w:rFonts w:ascii="Times New Roman" w:hAnsi="Times New Roman" w:cs="Times New Roman"/>
          <w:b/>
          <w:bCs/>
          <w:sz w:val="18"/>
          <w:szCs w:val="18"/>
        </w:rPr>
        <w:t xml:space="preserve">Appendix A: </w:t>
      </w:r>
      <w:r w:rsidRPr="00E5288F">
        <w:rPr>
          <w:rFonts w:ascii="Times New Roman" w:eastAsia="Times New Roman" w:hAnsi="Times New Roman" w:cs="Times New Roman"/>
          <w:b/>
          <w:bCs/>
          <w:kern w:val="0"/>
          <w:sz w:val="18"/>
          <w:szCs w:val="18"/>
          <w14:ligatures w14:val="none"/>
        </w:rPr>
        <w:t xml:space="preserve">Table 2. </w:t>
      </w:r>
      <w:r w:rsidRPr="00E5288F">
        <w:rPr>
          <w:rFonts w:ascii="Times New Roman" w:eastAsia="Times New Roman" w:hAnsi="Times New Roman" w:cs="Times New Roman"/>
          <w:kern w:val="0"/>
          <w:sz w:val="18"/>
          <w:szCs w:val="18"/>
          <w14:ligatures w14:val="none"/>
        </w:rPr>
        <w:t>Characteristics of the 28 Included Studies on University–School Partnerships in Teacher Preparation Practicum</w:t>
      </w:r>
    </w:p>
    <w:p w14:paraId="672F50EB" w14:textId="77777777" w:rsidR="0007560F" w:rsidRPr="00E5288F" w:rsidRDefault="0007560F" w:rsidP="0007560F">
      <w:pPr>
        <w:pStyle w:val="NoSpacing"/>
        <w:jc w:val="both"/>
        <w:rPr>
          <w:rFonts w:ascii="Times New Roman" w:hAnsi="Times New Roman" w:cs="Times New Roman"/>
          <w:b/>
          <w:bCs/>
          <w:sz w:val="18"/>
          <w:szCs w:val="18"/>
        </w:rPr>
      </w:pPr>
    </w:p>
    <w:tbl>
      <w:tblPr>
        <w:tblStyle w:val="PlainTable2"/>
        <w:tblW w:w="0" w:type="auto"/>
        <w:tblLayout w:type="fixed"/>
        <w:tblLook w:val="04A0" w:firstRow="1" w:lastRow="0" w:firstColumn="1" w:lastColumn="0" w:noHBand="0" w:noVBand="1"/>
      </w:tblPr>
      <w:tblGrid>
        <w:gridCol w:w="535"/>
        <w:gridCol w:w="900"/>
        <w:gridCol w:w="2160"/>
        <w:gridCol w:w="2911"/>
        <w:gridCol w:w="2844"/>
      </w:tblGrid>
      <w:tr w:rsidR="0007560F" w:rsidRPr="00E5288F" w14:paraId="05C77216" w14:textId="77777777" w:rsidTr="003929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hideMark/>
          </w:tcPr>
          <w:p w14:paraId="1D4042C8" w14:textId="77777777" w:rsidR="0007560F" w:rsidRPr="00280D90" w:rsidRDefault="0007560F" w:rsidP="003929BC">
            <w:pPr>
              <w:jc w:val="center"/>
              <w:rPr>
                <w:rFonts w:ascii="Times New Roman" w:eastAsia="Times New Roman" w:hAnsi="Times New Roman" w:cs="Times New Roman"/>
                <w:kern w:val="0"/>
                <w:sz w:val="16"/>
                <w:szCs w:val="16"/>
                <w14:ligatures w14:val="none"/>
              </w:rPr>
            </w:pPr>
            <w:r>
              <w:rPr>
                <w:rFonts w:ascii="Times New Roman" w:eastAsia="Times New Roman" w:hAnsi="Times New Roman" w:cs="Times New Roman"/>
                <w:kern w:val="0"/>
                <w:sz w:val="16"/>
                <w:szCs w:val="16"/>
                <w14:ligatures w14:val="none"/>
              </w:rPr>
              <w:t>No.</w:t>
            </w:r>
          </w:p>
        </w:tc>
        <w:tc>
          <w:tcPr>
            <w:tcW w:w="900" w:type="dxa"/>
          </w:tcPr>
          <w:p w14:paraId="454EAC5A" w14:textId="77777777" w:rsidR="0007560F" w:rsidRPr="00280D90" w:rsidRDefault="0007560F" w:rsidP="003929B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80D90">
              <w:rPr>
                <w:rFonts w:ascii="Times New Roman" w:eastAsia="Times New Roman" w:hAnsi="Times New Roman" w:cs="Times New Roman"/>
                <w:kern w:val="0"/>
                <w:sz w:val="16"/>
                <w:szCs w:val="16"/>
                <w14:ligatures w14:val="none"/>
              </w:rPr>
              <w:t>Authors, Year</w:t>
            </w:r>
          </w:p>
        </w:tc>
        <w:tc>
          <w:tcPr>
            <w:tcW w:w="2160" w:type="dxa"/>
            <w:hideMark/>
          </w:tcPr>
          <w:p w14:paraId="7636CD49" w14:textId="77777777" w:rsidR="0007560F" w:rsidRPr="00280D90" w:rsidRDefault="0007560F" w:rsidP="003929BC">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80D90">
              <w:rPr>
                <w:rFonts w:ascii="Times New Roman" w:eastAsia="Times New Roman" w:hAnsi="Times New Roman" w:cs="Times New Roman"/>
                <w:kern w:val="0"/>
                <w:sz w:val="16"/>
                <w:szCs w:val="16"/>
                <w14:ligatures w14:val="none"/>
              </w:rPr>
              <w:t>Country/Context &amp; Design/Methodology</w:t>
            </w:r>
          </w:p>
        </w:tc>
        <w:tc>
          <w:tcPr>
            <w:tcW w:w="2911" w:type="dxa"/>
            <w:hideMark/>
          </w:tcPr>
          <w:p w14:paraId="2F6E6C7F" w14:textId="77777777" w:rsidR="0007560F" w:rsidRPr="00280D90" w:rsidRDefault="0007560F" w:rsidP="003929BC">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80D90">
              <w:rPr>
                <w:rFonts w:ascii="Times New Roman" w:eastAsia="Times New Roman" w:hAnsi="Times New Roman" w:cs="Times New Roman"/>
                <w:kern w:val="0"/>
                <w:sz w:val="16"/>
                <w:szCs w:val="16"/>
                <w14:ligatures w14:val="none"/>
              </w:rPr>
              <w:t>Partnership Model/Features</w:t>
            </w:r>
          </w:p>
        </w:tc>
        <w:tc>
          <w:tcPr>
            <w:tcW w:w="2844" w:type="dxa"/>
            <w:hideMark/>
          </w:tcPr>
          <w:p w14:paraId="3A450B18" w14:textId="77777777" w:rsidR="0007560F" w:rsidRPr="00280D90" w:rsidRDefault="0007560F" w:rsidP="003929BC">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80D90">
              <w:rPr>
                <w:rFonts w:ascii="Times New Roman" w:eastAsia="Times New Roman" w:hAnsi="Times New Roman" w:cs="Times New Roman"/>
                <w:kern w:val="0"/>
                <w:sz w:val="16"/>
                <w:szCs w:val="16"/>
                <w14:ligatures w14:val="none"/>
              </w:rPr>
              <w:t xml:space="preserve">Key Findings </w:t>
            </w:r>
          </w:p>
        </w:tc>
      </w:tr>
      <w:tr w:rsidR="0007560F" w:rsidRPr="00E5288F" w14:paraId="196D904B"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hideMark/>
          </w:tcPr>
          <w:p w14:paraId="4F706BB7"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1</w:t>
            </w:r>
          </w:p>
        </w:tc>
        <w:tc>
          <w:tcPr>
            <w:tcW w:w="900" w:type="dxa"/>
          </w:tcPr>
          <w:p w14:paraId="26E12E63" w14:textId="77777777" w:rsidR="0007560F" w:rsidRPr="00280D90" w:rsidRDefault="0007560F" w:rsidP="003929BC">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fldChar w:fldCharType="begin"/>
            </w:r>
            <w:r w:rsidRPr="00280D90">
              <w:rPr>
                <w:rFonts w:ascii="Times New Roman" w:hAnsi="Times New Roman" w:cs="Times New Roman"/>
                <w:sz w:val="16"/>
                <w:szCs w:val="16"/>
              </w:rPr>
              <w:instrText xml:space="preserve"> REF _Ref212706071 \r \h </w:instrText>
            </w:r>
            <w:r>
              <w:rPr>
                <w:rFonts w:ascii="Times New Roman" w:hAnsi="Times New Roman" w:cs="Times New Roman"/>
                <w:sz w:val="16"/>
                <w:szCs w:val="16"/>
              </w:rPr>
              <w:instrText xml:space="preserve"> \* MERGEFORMAT </w:instrText>
            </w:r>
            <w:r w:rsidRPr="00280D90">
              <w:rPr>
                <w:rFonts w:ascii="Times New Roman" w:hAnsi="Times New Roman" w:cs="Times New Roman"/>
                <w:sz w:val="16"/>
                <w:szCs w:val="16"/>
              </w:rPr>
            </w:r>
            <w:r w:rsidRPr="00280D90">
              <w:rPr>
                <w:rFonts w:ascii="Times New Roman" w:hAnsi="Times New Roman" w:cs="Times New Roman"/>
                <w:sz w:val="16"/>
                <w:szCs w:val="16"/>
              </w:rPr>
              <w:fldChar w:fldCharType="separate"/>
            </w:r>
            <w:r w:rsidRPr="00280D90">
              <w:rPr>
                <w:rFonts w:ascii="Times New Roman" w:hAnsi="Times New Roman" w:cs="Times New Roman"/>
                <w:sz w:val="16"/>
                <w:szCs w:val="16"/>
              </w:rPr>
              <w:t>[1]</w:t>
            </w:r>
            <w:r w:rsidRPr="00280D90">
              <w:rPr>
                <w:rFonts w:ascii="Times New Roman" w:hAnsi="Times New Roman" w:cs="Times New Roman"/>
                <w:sz w:val="16"/>
                <w:szCs w:val="16"/>
              </w:rPr>
              <w:fldChar w:fldCharType="end"/>
            </w:r>
          </w:p>
        </w:tc>
        <w:tc>
          <w:tcPr>
            <w:tcW w:w="2160" w:type="dxa"/>
            <w:hideMark/>
          </w:tcPr>
          <w:p w14:paraId="27BD5CD0"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 xml:space="preserve">Australia: Qualitative, Evaluative case study of the </w:t>
            </w:r>
            <w:r w:rsidRPr="00280D90">
              <w:rPr>
                <w:rStyle w:val="Emphasis"/>
                <w:rFonts w:ascii="Times New Roman" w:hAnsi="Times New Roman" w:cs="Times New Roman"/>
                <w:i w:val="0"/>
                <w:iCs w:val="0"/>
                <w:sz w:val="16"/>
                <w:szCs w:val="16"/>
              </w:rPr>
              <w:t>Partnership in Teaching Excellence (PiTE)</w:t>
            </w:r>
            <w:r w:rsidRPr="00280D90">
              <w:rPr>
                <w:rFonts w:ascii="Times New Roman" w:hAnsi="Times New Roman" w:cs="Times New Roman"/>
                <w:i/>
                <w:iCs/>
                <w:sz w:val="16"/>
                <w:szCs w:val="16"/>
              </w:rPr>
              <w:t xml:space="preserve"> </w:t>
            </w:r>
            <w:r w:rsidRPr="00280D90">
              <w:rPr>
                <w:rFonts w:ascii="Times New Roman" w:hAnsi="Times New Roman" w:cs="Times New Roman"/>
                <w:sz w:val="16"/>
                <w:szCs w:val="16"/>
              </w:rPr>
              <w:t>program. (Interviews with scholarship recipients, mentor teachers, principals, Department of Education staff, and university coordinators)</w:t>
            </w:r>
          </w:p>
        </w:tc>
        <w:tc>
          <w:tcPr>
            <w:tcW w:w="2911" w:type="dxa"/>
            <w:hideMark/>
          </w:tcPr>
          <w:p w14:paraId="269E7107" w14:textId="77777777" w:rsidR="0007560F" w:rsidRPr="00280D90" w:rsidRDefault="0007560F" w:rsidP="003929BC">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University–school–government partnership: PiTE was a scholarship-based initiative embedding pre-service teachers in “Centers of Excellence” schools in low-SES areas, with extended in-school time, mentoring, professional development, and inquiry-based learning. Included financial and employment incentives.</w:t>
            </w:r>
          </w:p>
        </w:tc>
        <w:tc>
          <w:tcPr>
            <w:tcW w:w="2844" w:type="dxa"/>
            <w:hideMark/>
          </w:tcPr>
          <w:p w14:paraId="2762EEBD" w14:textId="77777777" w:rsidR="0007560F" w:rsidRPr="00280D90"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80D90">
              <w:rPr>
                <w:rFonts w:ascii="Times New Roman" w:eastAsia="Times New Roman" w:hAnsi="Times New Roman" w:cs="Times New Roman"/>
                <w:kern w:val="0"/>
                <w:sz w:val="16"/>
                <w:szCs w:val="16"/>
                <w14:ligatures w14:val="none"/>
              </w:rPr>
              <w:t>Extended school immersion enhanced professional readiness, inquiry orientation, and integration into school communities. Challenges arose around aligning theory and practice, workload inequities between PiTE and non-PiTE peers, limited communication across stakeholders, and structural constraints in funding and timetabling. Sustaining the model required stronger university–school coordination, shared curriculum design, equitable workload management, and systemic support to address resource imbalances.</w:t>
            </w:r>
          </w:p>
        </w:tc>
      </w:tr>
      <w:tr w:rsidR="0007560F" w:rsidRPr="00E5288F" w14:paraId="535D8136" w14:textId="77777777" w:rsidTr="003929BC">
        <w:tc>
          <w:tcPr>
            <w:cnfStyle w:val="001000000000" w:firstRow="0" w:lastRow="0" w:firstColumn="1" w:lastColumn="0" w:oddVBand="0" w:evenVBand="0" w:oddHBand="0" w:evenHBand="0" w:firstRowFirstColumn="0" w:firstRowLastColumn="0" w:lastRowFirstColumn="0" w:lastRowLastColumn="0"/>
            <w:tcW w:w="535" w:type="dxa"/>
            <w:hideMark/>
          </w:tcPr>
          <w:p w14:paraId="1B45599A"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2</w:t>
            </w:r>
          </w:p>
        </w:tc>
        <w:tc>
          <w:tcPr>
            <w:tcW w:w="900" w:type="dxa"/>
          </w:tcPr>
          <w:p w14:paraId="4E8B1FF1" w14:textId="77777777" w:rsidR="0007560F" w:rsidRPr="00280D90" w:rsidRDefault="0007560F" w:rsidP="003929BC">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fldChar w:fldCharType="begin"/>
            </w:r>
            <w:r w:rsidRPr="00280D90">
              <w:rPr>
                <w:rFonts w:ascii="Times New Roman" w:hAnsi="Times New Roman" w:cs="Times New Roman"/>
                <w:sz w:val="16"/>
                <w:szCs w:val="16"/>
              </w:rPr>
              <w:instrText xml:space="preserve"> REF _Ref212706092 \r \h </w:instrText>
            </w:r>
            <w:r>
              <w:rPr>
                <w:rFonts w:ascii="Times New Roman" w:hAnsi="Times New Roman" w:cs="Times New Roman"/>
                <w:sz w:val="16"/>
                <w:szCs w:val="16"/>
              </w:rPr>
              <w:instrText xml:space="preserve"> \* MERGEFORMAT </w:instrText>
            </w:r>
            <w:r w:rsidRPr="00280D90">
              <w:rPr>
                <w:rFonts w:ascii="Times New Roman" w:hAnsi="Times New Roman" w:cs="Times New Roman"/>
                <w:sz w:val="16"/>
                <w:szCs w:val="16"/>
              </w:rPr>
            </w:r>
            <w:r w:rsidRPr="00280D90">
              <w:rPr>
                <w:rFonts w:ascii="Times New Roman" w:hAnsi="Times New Roman" w:cs="Times New Roman"/>
                <w:sz w:val="16"/>
                <w:szCs w:val="16"/>
              </w:rPr>
              <w:fldChar w:fldCharType="separate"/>
            </w:r>
            <w:r w:rsidRPr="00280D90">
              <w:rPr>
                <w:rFonts w:ascii="Times New Roman" w:hAnsi="Times New Roman" w:cs="Times New Roman"/>
                <w:sz w:val="16"/>
                <w:szCs w:val="16"/>
              </w:rPr>
              <w:t>[2]</w:t>
            </w:r>
            <w:r w:rsidRPr="00280D90">
              <w:rPr>
                <w:rFonts w:ascii="Times New Roman" w:hAnsi="Times New Roman" w:cs="Times New Roman"/>
                <w:sz w:val="16"/>
                <w:szCs w:val="16"/>
              </w:rPr>
              <w:fldChar w:fldCharType="end"/>
            </w:r>
          </w:p>
        </w:tc>
        <w:tc>
          <w:tcPr>
            <w:tcW w:w="2160" w:type="dxa"/>
            <w:hideMark/>
          </w:tcPr>
          <w:p w14:paraId="4A5546D4"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kern w:val="0"/>
                <w:sz w:val="16"/>
                <w:szCs w:val="16"/>
              </w:rPr>
              <w:t>Norway</w:t>
            </w:r>
            <w:r w:rsidRPr="00280D90">
              <w:rPr>
                <w:rFonts w:ascii="Times New Roman" w:hAnsi="Times New Roman" w:cs="Times New Roman"/>
                <w:sz w:val="16"/>
                <w:szCs w:val="16"/>
              </w:rPr>
              <w:t>; Qualitative case study (interviews with mentor teachers)</w:t>
            </w:r>
          </w:p>
        </w:tc>
        <w:tc>
          <w:tcPr>
            <w:tcW w:w="2911" w:type="dxa"/>
            <w:hideMark/>
          </w:tcPr>
          <w:p w14:paraId="448B0A88"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Style w:val="Strong"/>
                <w:rFonts w:ascii="Times New Roman" w:hAnsi="Times New Roman" w:cs="Times New Roman"/>
                <w:b w:val="0"/>
                <w:bCs w:val="0"/>
                <w:sz w:val="16"/>
                <w:szCs w:val="16"/>
              </w:rPr>
              <w:t>Co-employment / joint-faculty model</w:t>
            </w:r>
            <w:r w:rsidRPr="00280D90">
              <w:rPr>
                <w:rFonts w:ascii="Times New Roman" w:hAnsi="Times New Roman" w:cs="Times New Roman"/>
                <w:sz w:val="16"/>
                <w:szCs w:val="16"/>
              </w:rPr>
              <w:t>: Formal partnership where school-based mentors act as “boundary-crossers” between university and classroom.</w:t>
            </w:r>
          </w:p>
        </w:tc>
        <w:tc>
          <w:tcPr>
            <w:tcW w:w="2844" w:type="dxa"/>
            <w:hideMark/>
          </w:tcPr>
          <w:p w14:paraId="251FE33E"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Joint faculty brought fresh classroom credibility, tightened theory–practice connections, fostered critical reflection, and mentored identity growth. Challenges: power/status language, bureaucracy, calendars; success needed clear shared goals, common language, trust, and leadership support in schools and universities to sustain the model.</w:t>
            </w:r>
          </w:p>
        </w:tc>
      </w:tr>
      <w:tr w:rsidR="0007560F" w:rsidRPr="00E5288F" w14:paraId="5623592B"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hideMark/>
          </w:tcPr>
          <w:p w14:paraId="4532DD97"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3</w:t>
            </w:r>
          </w:p>
        </w:tc>
        <w:tc>
          <w:tcPr>
            <w:tcW w:w="900" w:type="dxa"/>
          </w:tcPr>
          <w:p w14:paraId="4B6BD60D" w14:textId="77777777" w:rsidR="0007560F" w:rsidRPr="00280D90" w:rsidRDefault="0007560F" w:rsidP="003929BC">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fldChar w:fldCharType="begin"/>
            </w:r>
            <w:r w:rsidRPr="00280D90">
              <w:rPr>
                <w:rFonts w:ascii="Times New Roman" w:hAnsi="Times New Roman" w:cs="Times New Roman"/>
                <w:sz w:val="16"/>
                <w:szCs w:val="16"/>
              </w:rPr>
              <w:instrText xml:space="preserve"> REF _Ref212706111 \r \h </w:instrText>
            </w:r>
            <w:r>
              <w:rPr>
                <w:rFonts w:ascii="Times New Roman" w:hAnsi="Times New Roman" w:cs="Times New Roman"/>
                <w:sz w:val="16"/>
                <w:szCs w:val="16"/>
              </w:rPr>
              <w:instrText xml:space="preserve"> \* MERGEFORMAT </w:instrText>
            </w:r>
            <w:r w:rsidRPr="00280D90">
              <w:rPr>
                <w:rFonts w:ascii="Times New Roman" w:hAnsi="Times New Roman" w:cs="Times New Roman"/>
                <w:sz w:val="16"/>
                <w:szCs w:val="16"/>
              </w:rPr>
            </w:r>
            <w:r w:rsidRPr="00280D90">
              <w:rPr>
                <w:rFonts w:ascii="Times New Roman" w:hAnsi="Times New Roman" w:cs="Times New Roman"/>
                <w:sz w:val="16"/>
                <w:szCs w:val="16"/>
              </w:rPr>
              <w:fldChar w:fldCharType="separate"/>
            </w:r>
            <w:r w:rsidRPr="00280D90">
              <w:rPr>
                <w:rFonts w:ascii="Times New Roman" w:hAnsi="Times New Roman" w:cs="Times New Roman"/>
                <w:sz w:val="16"/>
                <w:szCs w:val="16"/>
              </w:rPr>
              <w:t>[3]</w:t>
            </w:r>
            <w:r w:rsidRPr="00280D90">
              <w:rPr>
                <w:rFonts w:ascii="Times New Roman" w:hAnsi="Times New Roman" w:cs="Times New Roman"/>
                <w:sz w:val="16"/>
                <w:szCs w:val="16"/>
              </w:rPr>
              <w:fldChar w:fldCharType="end"/>
            </w:r>
          </w:p>
        </w:tc>
        <w:tc>
          <w:tcPr>
            <w:tcW w:w="2160" w:type="dxa"/>
            <w:hideMark/>
          </w:tcPr>
          <w:p w14:paraId="02FF95A8"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 xml:space="preserve">Turkey: </w:t>
            </w:r>
            <w:r w:rsidRPr="00280D90">
              <w:rPr>
                <w:rStyle w:val="Strong"/>
                <w:rFonts w:ascii="Times New Roman" w:hAnsi="Times New Roman" w:cs="Times New Roman"/>
                <w:b w:val="0"/>
                <w:bCs w:val="0"/>
                <w:sz w:val="16"/>
                <w:szCs w:val="16"/>
              </w:rPr>
              <w:t>Qualitative research</w:t>
            </w:r>
            <w:r w:rsidRPr="00280D90">
              <w:rPr>
                <w:rFonts w:ascii="Times New Roman" w:hAnsi="Times New Roman" w:cs="Times New Roman"/>
                <w:sz w:val="16"/>
                <w:szCs w:val="16"/>
              </w:rPr>
              <w:t xml:space="preserve"> (semi-structured interviews with school administrators, mentor teachers, preservice teachers, and faculty members). </w:t>
            </w:r>
          </w:p>
          <w:p w14:paraId="221CF4D9"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2911" w:type="dxa"/>
            <w:hideMark/>
          </w:tcPr>
          <w:p w14:paraId="4BE9DFC2"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Collaborative school–university model centered on mentoring and supervision, with shared responsibilities, professional learning culture, and sustained through clear roles, communication, and coordination.</w:t>
            </w:r>
          </w:p>
        </w:tc>
        <w:tc>
          <w:tcPr>
            <w:tcW w:w="2844" w:type="dxa"/>
            <w:hideMark/>
          </w:tcPr>
          <w:p w14:paraId="6639E56C"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 xml:space="preserve">Partnerships enhanced preservice teachers’ learning, provided professional growth opportunities for school mentors, and enriched faculty perspectives. Lack of communication, unclear roles, workload pressures, and limited institutional support hindered collaboration. Stakeholders emphasized the need for </w:t>
            </w:r>
            <w:r w:rsidRPr="00280D90">
              <w:rPr>
                <w:rStyle w:val="Strong"/>
                <w:rFonts w:ascii="Times New Roman" w:hAnsi="Times New Roman" w:cs="Times New Roman"/>
                <w:b w:val="0"/>
                <w:bCs w:val="0"/>
                <w:sz w:val="16"/>
                <w:szCs w:val="16"/>
              </w:rPr>
              <w:t xml:space="preserve">trust, reciprocity, shared decision-making, and systemic </w:t>
            </w:r>
            <w:r w:rsidRPr="00280D90">
              <w:rPr>
                <w:rStyle w:val="Strong"/>
                <w:rFonts w:ascii="Times New Roman" w:eastAsiaTheme="majorEastAsia" w:hAnsi="Times New Roman" w:cs="Times New Roman"/>
                <w:b w:val="0"/>
                <w:bCs w:val="0"/>
                <w:sz w:val="16"/>
                <w:szCs w:val="16"/>
              </w:rPr>
              <w:t>support</w:t>
            </w:r>
            <w:r w:rsidRPr="00280D90">
              <w:rPr>
                <w:rFonts w:ascii="Times New Roman" w:hAnsi="Times New Roman" w:cs="Times New Roman"/>
                <w:b/>
                <w:bCs/>
                <w:sz w:val="16"/>
                <w:szCs w:val="16"/>
              </w:rPr>
              <w:t>.</w:t>
            </w:r>
            <w:r w:rsidRPr="00280D90">
              <w:rPr>
                <w:rFonts w:ascii="Times New Roman" w:hAnsi="Times New Roman" w:cs="Times New Roman"/>
                <w:sz w:val="16"/>
                <w:szCs w:val="16"/>
              </w:rPr>
              <w:t xml:space="preserve"> Highlighted that effective practicum experiences depend on </w:t>
            </w:r>
            <w:r w:rsidRPr="00280D90">
              <w:rPr>
                <w:rStyle w:val="Strong"/>
                <w:rFonts w:ascii="Times New Roman" w:hAnsi="Times New Roman" w:cs="Times New Roman"/>
                <w:b w:val="0"/>
                <w:bCs w:val="0"/>
                <w:sz w:val="16"/>
                <w:szCs w:val="16"/>
              </w:rPr>
              <w:t>structured mentoring, regular dialogue, and balanced responsibility</w:t>
            </w:r>
            <w:r w:rsidRPr="00280D90">
              <w:rPr>
                <w:rFonts w:ascii="Times New Roman" w:hAnsi="Times New Roman" w:cs="Times New Roman"/>
                <w:sz w:val="16"/>
                <w:szCs w:val="16"/>
              </w:rPr>
              <w:t xml:space="preserve"> between schools and universities.</w:t>
            </w:r>
          </w:p>
        </w:tc>
      </w:tr>
      <w:tr w:rsidR="0007560F" w:rsidRPr="00E5288F" w14:paraId="0FFB3100" w14:textId="77777777" w:rsidTr="003929BC">
        <w:tc>
          <w:tcPr>
            <w:cnfStyle w:val="001000000000" w:firstRow="0" w:lastRow="0" w:firstColumn="1" w:lastColumn="0" w:oddVBand="0" w:evenVBand="0" w:oddHBand="0" w:evenHBand="0" w:firstRowFirstColumn="0" w:firstRowLastColumn="0" w:lastRowFirstColumn="0" w:lastRowLastColumn="0"/>
            <w:tcW w:w="535" w:type="dxa"/>
            <w:hideMark/>
          </w:tcPr>
          <w:p w14:paraId="2520A6E8"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4</w:t>
            </w:r>
          </w:p>
        </w:tc>
        <w:tc>
          <w:tcPr>
            <w:tcW w:w="900" w:type="dxa"/>
          </w:tcPr>
          <w:p w14:paraId="70AFD56A" w14:textId="77777777" w:rsidR="0007560F" w:rsidRPr="00152DA6" w:rsidRDefault="0007560F" w:rsidP="003929BC">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_Ref212706151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[4]</w:t>
            </w:r>
            <w:r w:rsidRPr="00152DA6">
              <w:rPr>
                <w:rFonts w:ascii="Times New Roman" w:hAnsi="Times New Roman" w:cs="Times New Roman"/>
                <w:sz w:val="16"/>
                <w:szCs w:val="16"/>
              </w:rPr>
              <w:fldChar w:fldCharType="end"/>
            </w:r>
          </w:p>
        </w:tc>
        <w:tc>
          <w:tcPr>
            <w:tcW w:w="2160" w:type="dxa"/>
            <w:hideMark/>
          </w:tcPr>
          <w:p w14:paraId="249B3A1F" w14:textId="77777777" w:rsidR="0007560F" w:rsidRPr="00152DA6"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New Zealand: Qualitative study (questionnaires, interviews, and focus groups with principals, adjunct lecturers, teachers, and university staff across partnership schools in Auckland)</w:t>
            </w:r>
          </w:p>
        </w:tc>
        <w:tc>
          <w:tcPr>
            <w:tcW w:w="2911" w:type="dxa"/>
            <w:hideMark/>
          </w:tcPr>
          <w:p w14:paraId="72117F6A" w14:textId="77777777" w:rsidR="0007560F" w:rsidRPr="00280D90" w:rsidRDefault="0007560F" w:rsidP="003929BC">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80D90">
              <w:rPr>
                <w:rFonts w:ascii="Times New Roman" w:eastAsia="Times New Roman" w:hAnsi="Times New Roman" w:cs="Times New Roman"/>
                <w:kern w:val="0"/>
                <w:sz w:val="16"/>
                <w:szCs w:val="16"/>
                <w14:ligatures w14:val="none"/>
              </w:rPr>
              <w:t>Master of Teaching and Learning program, developing and trialing three models of school–university partnerships.</w:t>
            </w:r>
          </w:p>
          <w:p w14:paraId="245202A4"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2844" w:type="dxa"/>
            <w:hideMark/>
          </w:tcPr>
          <w:p w14:paraId="793C0E3D"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Partnerships fostered trust, collaboration, and professional learning, giving student teachers stronger preparation and elevating schools as co-designers through shared curriculum, assessment, and mentoring. Challenges included unclear definitions of partnership, balancing expectations, time pressures, staff changes, and tensions between technical and transformative approaches. Success relied on trust, shared decision-making, boundary-crossing roles, open dialogue, adaptable models, and equal status among partners.</w:t>
            </w:r>
          </w:p>
        </w:tc>
      </w:tr>
      <w:tr w:rsidR="0007560F" w:rsidRPr="00E5288F" w14:paraId="40C2FDD5"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hideMark/>
          </w:tcPr>
          <w:p w14:paraId="329383C6"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5</w:t>
            </w:r>
          </w:p>
        </w:tc>
        <w:tc>
          <w:tcPr>
            <w:tcW w:w="900" w:type="dxa"/>
          </w:tcPr>
          <w:p w14:paraId="6033144D" w14:textId="77777777" w:rsidR="0007560F" w:rsidRPr="00152DA6" w:rsidRDefault="0007560F" w:rsidP="003929BC">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_Ref212707020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[6]</w:t>
            </w:r>
            <w:r w:rsidRPr="00152DA6">
              <w:rPr>
                <w:rFonts w:ascii="Times New Roman" w:hAnsi="Times New Roman" w:cs="Times New Roman"/>
                <w:sz w:val="16"/>
                <w:szCs w:val="16"/>
              </w:rPr>
              <w:fldChar w:fldCharType="end"/>
            </w:r>
          </w:p>
        </w:tc>
        <w:tc>
          <w:tcPr>
            <w:tcW w:w="2160" w:type="dxa"/>
            <w:hideMark/>
          </w:tcPr>
          <w:p w14:paraId="229EB1DB" w14:textId="77777777" w:rsidR="0007560F" w:rsidRPr="00152DA6"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 xml:space="preserve">United States; Conceptual paper describing two </w:t>
            </w:r>
            <w:r w:rsidRPr="00152DA6">
              <w:rPr>
                <w:rStyle w:val="Strong"/>
                <w:rFonts w:ascii="Times New Roman" w:hAnsi="Times New Roman" w:cs="Times New Roman"/>
                <w:b w:val="0"/>
                <w:bCs w:val="0"/>
                <w:sz w:val="16"/>
                <w:szCs w:val="16"/>
              </w:rPr>
              <w:t>iterations of a hybrid school–university partnership</w:t>
            </w:r>
            <w:r w:rsidRPr="00152DA6">
              <w:rPr>
                <w:rFonts w:ascii="Times New Roman" w:hAnsi="Times New Roman" w:cs="Times New Roman"/>
                <w:sz w:val="16"/>
                <w:szCs w:val="16"/>
              </w:rPr>
              <w:t xml:space="preserve"> in an elementary preservice teacher preparation program.</w:t>
            </w:r>
          </w:p>
        </w:tc>
        <w:tc>
          <w:tcPr>
            <w:tcW w:w="2911" w:type="dxa"/>
            <w:hideMark/>
          </w:tcPr>
          <w:p w14:paraId="3D19D6E8"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 xml:space="preserve">A hybrid model connecting </w:t>
            </w:r>
            <w:r w:rsidRPr="00280D90">
              <w:rPr>
                <w:rStyle w:val="Strong"/>
                <w:rFonts w:ascii="Times New Roman" w:hAnsi="Times New Roman" w:cs="Times New Roman"/>
                <w:b w:val="0"/>
                <w:bCs w:val="0"/>
                <w:sz w:val="16"/>
                <w:szCs w:val="16"/>
              </w:rPr>
              <w:t>preservice teachers</w:t>
            </w:r>
            <w:r w:rsidRPr="00280D90">
              <w:rPr>
                <w:rStyle w:val="Strong"/>
                <w:rFonts w:ascii="Times New Roman" w:hAnsi="Times New Roman" w:cs="Times New Roman"/>
                <w:sz w:val="16"/>
                <w:szCs w:val="16"/>
              </w:rPr>
              <w:t xml:space="preserve"> </w:t>
            </w:r>
            <w:r w:rsidRPr="00280D90">
              <w:rPr>
                <w:rFonts w:ascii="Times New Roman" w:hAnsi="Times New Roman" w:cs="Times New Roman"/>
                <w:sz w:val="16"/>
                <w:szCs w:val="16"/>
              </w:rPr>
              <w:t xml:space="preserve">with both classroom mentor teachers and </w:t>
            </w:r>
            <w:r w:rsidRPr="00280D90">
              <w:rPr>
                <w:rStyle w:val="Strong"/>
                <w:rFonts w:ascii="Times New Roman" w:hAnsi="Times New Roman" w:cs="Times New Roman"/>
                <w:b w:val="0"/>
                <w:bCs w:val="0"/>
                <w:sz w:val="16"/>
                <w:szCs w:val="16"/>
              </w:rPr>
              <w:t>State Teacher Fellows</w:t>
            </w:r>
            <w:r w:rsidRPr="00280D90">
              <w:rPr>
                <w:rFonts w:ascii="Times New Roman" w:hAnsi="Times New Roman" w:cs="Times New Roman"/>
                <w:b/>
                <w:bCs/>
                <w:sz w:val="16"/>
                <w:szCs w:val="16"/>
              </w:rPr>
              <w:t>.</w:t>
            </w:r>
          </w:p>
        </w:tc>
        <w:tc>
          <w:tcPr>
            <w:tcW w:w="2844" w:type="dxa"/>
            <w:hideMark/>
          </w:tcPr>
          <w:p w14:paraId="23564C8A" w14:textId="77777777" w:rsidR="0007560F" w:rsidRPr="00280D90" w:rsidRDefault="0007560F" w:rsidP="003929BC">
            <w:pPr>
              <w:pStyle w:val="NormalWeb"/>
              <w:cnfStyle w:val="000000100000" w:firstRow="0" w:lastRow="0" w:firstColumn="0" w:lastColumn="0" w:oddVBand="0" w:evenVBand="0" w:oddHBand="1" w:evenHBand="0" w:firstRowFirstColumn="0" w:firstRowLastColumn="0" w:lastRowFirstColumn="0" w:lastRowLastColumn="0"/>
              <w:rPr>
                <w:sz w:val="16"/>
                <w:szCs w:val="16"/>
              </w:rPr>
            </w:pPr>
            <w:r w:rsidRPr="00280D90">
              <w:rPr>
                <w:sz w:val="16"/>
                <w:szCs w:val="16"/>
              </w:rPr>
              <w:t xml:space="preserve">Partnerships supported PSTs in developing confidence, agency, and professional identity. Expanded professional networks and fostered belonging in teacher leadership communities. Positioned PSTs as co-constructors of knowledge, not passive </w:t>
            </w:r>
            <w:r w:rsidRPr="00280D90">
              <w:rPr>
                <w:sz w:val="16"/>
                <w:szCs w:val="16"/>
              </w:rPr>
              <w:lastRenderedPageBreak/>
              <w:t>learners. Highlighted challenges in sustaining equal participation and providing closure in projects. Demonstrated how hybrid partnerships can complement traditional mentoring by embedding PSTs into broader teacher leadership communities and offering cross-boundary learning opportunities.</w:t>
            </w:r>
          </w:p>
        </w:tc>
      </w:tr>
      <w:tr w:rsidR="0007560F" w:rsidRPr="00E5288F" w14:paraId="7036CCF1" w14:textId="77777777" w:rsidTr="003929BC">
        <w:tc>
          <w:tcPr>
            <w:cnfStyle w:val="001000000000" w:firstRow="0" w:lastRow="0" w:firstColumn="1" w:lastColumn="0" w:oddVBand="0" w:evenVBand="0" w:oddHBand="0" w:evenHBand="0" w:firstRowFirstColumn="0" w:firstRowLastColumn="0" w:lastRowFirstColumn="0" w:lastRowLastColumn="0"/>
            <w:tcW w:w="535" w:type="dxa"/>
            <w:hideMark/>
          </w:tcPr>
          <w:p w14:paraId="1390BAF5"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lastRenderedPageBreak/>
              <w:t>6</w:t>
            </w:r>
          </w:p>
        </w:tc>
        <w:tc>
          <w:tcPr>
            <w:tcW w:w="900" w:type="dxa"/>
          </w:tcPr>
          <w:p w14:paraId="32611608" w14:textId="77777777" w:rsidR="0007560F" w:rsidRPr="00152DA6" w:rsidRDefault="0007560F" w:rsidP="003929BC">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_Ref212706970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[8]</w:t>
            </w:r>
            <w:r w:rsidRPr="00152DA6">
              <w:rPr>
                <w:rFonts w:ascii="Times New Roman" w:hAnsi="Times New Roman" w:cs="Times New Roman"/>
                <w:sz w:val="16"/>
                <w:szCs w:val="16"/>
              </w:rPr>
              <w:fldChar w:fldCharType="end"/>
            </w:r>
          </w:p>
        </w:tc>
        <w:tc>
          <w:tcPr>
            <w:tcW w:w="2160" w:type="dxa"/>
            <w:hideMark/>
          </w:tcPr>
          <w:p w14:paraId="51970041" w14:textId="77777777" w:rsidR="0007560F" w:rsidRPr="00152DA6"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Norway; Qualitative Collaborative action research (classroom observations, participant logs, group interviews, and reflective meetings with teachers, pre-service teachers, a musician, and university educators.)</w:t>
            </w:r>
          </w:p>
        </w:tc>
        <w:tc>
          <w:tcPr>
            <w:tcW w:w="2911" w:type="dxa"/>
            <w:hideMark/>
          </w:tcPr>
          <w:p w14:paraId="28F1A52A"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Deliberate “third space” partnership co-designing practicum activities and reflecting together.</w:t>
            </w:r>
          </w:p>
        </w:tc>
        <w:tc>
          <w:tcPr>
            <w:tcW w:w="2844" w:type="dxa"/>
            <w:hideMark/>
          </w:tcPr>
          <w:p w14:paraId="595A1725"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Created transformative “third space moments” where academic and practical knowledge merged (e.g., joint problem-solving sessions). Preservice teachers experienced significant learning and identity growth during these moments. Sustaining the third space was difficult due to rigid school/university schedules, pointing to a need for more flexible structures.</w:t>
            </w:r>
          </w:p>
        </w:tc>
      </w:tr>
      <w:tr w:rsidR="0007560F" w:rsidRPr="00E5288F" w14:paraId="495BEEE7"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hideMark/>
          </w:tcPr>
          <w:p w14:paraId="016125FA"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7</w:t>
            </w:r>
          </w:p>
        </w:tc>
        <w:tc>
          <w:tcPr>
            <w:tcW w:w="900" w:type="dxa"/>
          </w:tcPr>
          <w:p w14:paraId="06FA9502" w14:textId="77777777" w:rsidR="0007560F" w:rsidRPr="00152DA6" w:rsidRDefault="0007560F" w:rsidP="003929BC">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_Ref212703839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[11]</w:t>
            </w:r>
            <w:r w:rsidRPr="00152DA6">
              <w:rPr>
                <w:rFonts w:ascii="Times New Roman" w:hAnsi="Times New Roman" w:cs="Times New Roman"/>
                <w:sz w:val="16"/>
                <w:szCs w:val="16"/>
              </w:rPr>
              <w:fldChar w:fldCharType="end"/>
            </w:r>
          </w:p>
        </w:tc>
        <w:tc>
          <w:tcPr>
            <w:tcW w:w="2160" w:type="dxa"/>
            <w:hideMark/>
          </w:tcPr>
          <w:p w14:paraId="56330F25" w14:textId="77777777" w:rsidR="0007560F" w:rsidRPr="00152DA6"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Ireland: Qualitative study using semi-structured interviews with school leaders, student teachers, co-operating teachers, and university tutors</w:t>
            </w:r>
          </w:p>
        </w:tc>
        <w:tc>
          <w:tcPr>
            <w:tcW w:w="2911" w:type="dxa"/>
            <w:hideMark/>
          </w:tcPr>
          <w:p w14:paraId="7FD8E43A"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Partnership framed as a theory–practice nexus/third space, with emphasis on close-to-practice research, co-operating teachers’ central role, and structured dialogue.</w:t>
            </w:r>
          </w:p>
        </w:tc>
        <w:tc>
          <w:tcPr>
            <w:tcW w:w="2844" w:type="dxa"/>
            <w:hideMark/>
          </w:tcPr>
          <w:p w14:paraId="3EB88F3D"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Most partnerships operated at a “practice school”/ “connective” level, with limited integration between university tutors and co-operating teachers. Time pressures, workload, and resourcing gaps constrained collaboration. Where structured dialogue and action research were supported, partnerships fostered stronger alignment, professional language, and PST development. Sustained progress requires systemic resourcing, recognition of CTs, and collective agency to bridge theory and practice.</w:t>
            </w:r>
          </w:p>
        </w:tc>
      </w:tr>
      <w:tr w:rsidR="0007560F" w:rsidRPr="00E5288F" w14:paraId="48588CEC" w14:textId="77777777" w:rsidTr="003929BC">
        <w:tc>
          <w:tcPr>
            <w:cnfStyle w:val="001000000000" w:firstRow="0" w:lastRow="0" w:firstColumn="1" w:lastColumn="0" w:oddVBand="0" w:evenVBand="0" w:oddHBand="0" w:evenHBand="0" w:firstRowFirstColumn="0" w:firstRowLastColumn="0" w:lastRowFirstColumn="0" w:lastRowLastColumn="0"/>
            <w:tcW w:w="535" w:type="dxa"/>
            <w:hideMark/>
          </w:tcPr>
          <w:p w14:paraId="66E8E24A"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8</w:t>
            </w:r>
          </w:p>
        </w:tc>
        <w:tc>
          <w:tcPr>
            <w:tcW w:w="900" w:type="dxa"/>
          </w:tcPr>
          <w:p w14:paraId="0F3E30F0" w14:textId="77777777" w:rsidR="0007560F" w:rsidRPr="00152DA6" w:rsidRDefault="0007560F" w:rsidP="003929BC">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_Ref212706947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[12]</w:t>
            </w:r>
            <w:r w:rsidRPr="00152DA6">
              <w:rPr>
                <w:rFonts w:ascii="Times New Roman" w:hAnsi="Times New Roman" w:cs="Times New Roman"/>
                <w:sz w:val="16"/>
                <w:szCs w:val="16"/>
              </w:rPr>
              <w:fldChar w:fldCharType="end"/>
            </w:r>
          </w:p>
        </w:tc>
        <w:tc>
          <w:tcPr>
            <w:tcW w:w="2160" w:type="dxa"/>
            <w:hideMark/>
          </w:tcPr>
          <w:p w14:paraId="5FE82AEC" w14:textId="77777777" w:rsidR="0007560F" w:rsidRPr="00152DA6"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Brazil; Qualitative study (Focus group interviews with preservice teachers)</w:t>
            </w:r>
          </w:p>
        </w:tc>
        <w:tc>
          <w:tcPr>
            <w:tcW w:w="2911" w:type="dxa"/>
            <w:hideMark/>
          </w:tcPr>
          <w:p w14:paraId="68C3815D"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Intensive partnership in a Physical Education Teacher Education (PETE) program. Practicum linked to university lectures, with repeated teaching cycles, planning, immediate and post-lesson reflection, and supervision by a university professor.</w:t>
            </w:r>
          </w:p>
        </w:tc>
        <w:tc>
          <w:tcPr>
            <w:tcW w:w="2844" w:type="dxa"/>
            <w:hideMark/>
          </w:tcPr>
          <w:p w14:paraId="2F46C0A0"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Practicum strengthened the connection between theory and practice, helping PSTs develop pedagogical content knowledge, classroom management, and reflective skills. Experiences revealed gaps in subject-matter knowledge and highlighted challenges of teaching young children. Structured, iterative practicum with guided reflection was seen as central to professional learning and preparation for the teaching role.</w:t>
            </w:r>
          </w:p>
        </w:tc>
      </w:tr>
      <w:tr w:rsidR="0007560F" w:rsidRPr="00E5288F" w14:paraId="36669CD9"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hideMark/>
          </w:tcPr>
          <w:p w14:paraId="08230890"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9</w:t>
            </w:r>
          </w:p>
        </w:tc>
        <w:tc>
          <w:tcPr>
            <w:tcW w:w="900" w:type="dxa"/>
          </w:tcPr>
          <w:p w14:paraId="430C3316" w14:textId="77777777" w:rsidR="0007560F" w:rsidRPr="00152DA6" w:rsidRDefault="0007560F" w:rsidP="003929BC">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_Ref212705089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[14]</w:t>
            </w:r>
            <w:r w:rsidRPr="00152DA6">
              <w:rPr>
                <w:rFonts w:ascii="Times New Roman" w:hAnsi="Times New Roman" w:cs="Times New Roman"/>
                <w:sz w:val="16"/>
                <w:szCs w:val="16"/>
              </w:rPr>
              <w:fldChar w:fldCharType="end"/>
            </w:r>
          </w:p>
        </w:tc>
        <w:tc>
          <w:tcPr>
            <w:tcW w:w="2160" w:type="dxa"/>
            <w:hideMark/>
          </w:tcPr>
          <w:p w14:paraId="4610A45D" w14:textId="77777777" w:rsidR="0007560F" w:rsidRPr="00152DA6" w:rsidRDefault="0007560F" w:rsidP="003929BC">
            <w:pPr>
              <w:pStyle w:val="NormalWeb"/>
              <w:cnfStyle w:val="000000100000" w:firstRow="0" w:lastRow="0" w:firstColumn="0" w:lastColumn="0" w:oddVBand="0" w:evenVBand="0" w:oddHBand="1" w:evenHBand="0" w:firstRowFirstColumn="0" w:firstRowLastColumn="0" w:lastRowFirstColumn="0" w:lastRowLastColumn="0"/>
              <w:rPr>
                <w:sz w:val="16"/>
                <w:szCs w:val="16"/>
              </w:rPr>
            </w:pPr>
            <w:r w:rsidRPr="00152DA6">
              <w:rPr>
                <w:sz w:val="16"/>
                <w:szCs w:val="16"/>
              </w:rPr>
              <w:t>New Zealand; Qualitative study (interview with school principals, academic liaisons, mentor teachers, student teachers, university lead lecturers)</w:t>
            </w:r>
          </w:p>
        </w:tc>
        <w:tc>
          <w:tcPr>
            <w:tcW w:w="2911" w:type="dxa"/>
            <w:hideMark/>
          </w:tcPr>
          <w:p w14:paraId="077E67AB"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Collaborative “third space” practicum model where schools and university co-designed practicum roles, structures, and assessments.</w:t>
            </w:r>
          </w:p>
        </w:tc>
        <w:tc>
          <w:tcPr>
            <w:tcW w:w="2844" w:type="dxa"/>
            <w:hideMark/>
          </w:tcPr>
          <w:p w14:paraId="175BC378"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The partnership deepened school–university collaboration, empowered mentors, and gave student teachers more relevant, supportive placements with better theory–practice alignment. Challenges included resource demands, uneven engagement, and sustainability, while success depended on shared decision-making and equal valuing of academic and practitioner expertise.</w:t>
            </w:r>
          </w:p>
        </w:tc>
      </w:tr>
      <w:tr w:rsidR="0007560F" w:rsidRPr="00E5288F" w14:paraId="70C2EEF5" w14:textId="77777777" w:rsidTr="003929BC">
        <w:tc>
          <w:tcPr>
            <w:cnfStyle w:val="001000000000" w:firstRow="0" w:lastRow="0" w:firstColumn="1" w:lastColumn="0" w:oddVBand="0" w:evenVBand="0" w:oddHBand="0" w:evenHBand="0" w:firstRowFirstColumn="0" w:firstRowLastColumn="0" w:lastRowFirstColumn="0" w:lastRowLastColumn="0"/>
            <w:tcW w:w="535" w:type="dxa"/>
          </w:tcPr>
          <w:p w14:paraId="199C0AE6"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10</w:t>
            </w:r>
          </w:p>
        </w:tc>
        <w:tc>
          <w:tcPr>
            <w:tcW w:w="900" w:type="dxa"/>
          </w:tcPr>
          <w:p w14:paraId="125AD9C5" w14:textId="77777777" w:rsidR="0007560F" w:rsidRPr="00152DA6" w:rsidRDefault="0007560F" w:rsidP="003929BC">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_Ref212708726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[49]</w:t>
            </w:r>
            <w:r w:rsidRPr="00152DA6">
              <w:rPr>
                <w:rFonts w:ascii="Times New Roman" w:hAnsi="Times New Roman" w:cs="Times New Roman"/>
                <w:sz w:val="16"/>
                <w:szCs w:val="16"/>
              </w:rPr>
              <w:fldChar w:fldCharType="end"/>
            </w:r>
          </w:p>
        </w:tc>
        <w:tc>
          <w:tcPr>
            <w:tcW w:w="2160" w:type="dxa"/>
          </w:tcPr>
          <w:p w14:paraId="42612798" w14:textId="77777777" w:rsidR="0007560F" w:rsidRPr="00152DA6" w:rsidRDefault="0007560F" w:rsidP="003929BC">
            <w:pPr>
              <w:pStyle w:val="NormalWeb"/>
              <w:cnfStyle w:val="000000000000" w:firstRow="0" w:lastRow="0" w:firstColumn="0" w:lastColumn="0" w:oddVBand="0" w:evenVBand="0" w:oddHBand="0" w:evenHBand="0" w:firstRowFirstColumn="0" w:firstRowLastColumn="0" w:lastRowFirstColumn="0" w:lastRowLastColumn="0"/>
              <w:rPr>
                <w:sz w:val="16"/>
                <w:szCs w:val="16"/>
              </w:rPr>
            </w:pPr>
            <w:r w:rsidRPr="00152DA6">
              <w:rPr>
                <w:sz w:val="16"/>
                <w:szCs w:val="16"/>
              </w:rPr>
              <w:t>Chile: Qualitative, exploratory study (pre- and post-interviews, with pre-service teachers, cooperating teachers, and teacher educators, photo language-supported group interviews, and video recordings of collaborative meetings.</w:t>
            </w:r>
          </w:p>
        </w:tc>
        <w:tc>
          <w:tcPr>
            <w:tcW w:w="2911" w:type="dxa"/>
          </w:tcPr>
          <w:p w14:paraId="2438C192"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University–school partnership organized around a professional development project focused on inclusive practices.</w:t>
            </w:r>
          </w:p>
        </w:tc>
        <w:tc>
          <w:tcPr>
            <w:tcW w:w="2844" w:type="dxa"/>
          </w:tcPr>
          <w:p w14:paraId="3066BF3A"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PSTs’ identities evolved from “students” to “teachers” through collaborative practice with educators, which reduced isolation, built confidence, and promoted reflective and inclusive teaching. Despite challenges of time, expectations, hierarchy, and staff fatigue, effective partnerships relied on trust, dialogue, equity, and reflection, ultimately bridging theory and practice while strengthening professional identity.</w:t>
            </w:r>
          </w:p>
        </w:tc>
      </w:tr>
      <w:tr w:rsidR="0007560F" w:rsidRPr="00E5288F" w14:paraId="796E5F6E"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01561383"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11</w:t>
            </w:r>
          </w:p>
        </w:tc>
        <w:tc>
          <w:tcPr>
            <w:tcW w:w="900" w:type="dxa"/>
          </w:tcPr>
          <w:p w14:paraId="5E372848" w14:textId="77777777" w:rsidR="0007560F" w:rsidRPr="00152DA6" w:rsidRDefault="0007560F" w:rsidP="003929BC">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eastAsia="Times New Roman" w:hAnsi="Times New Roman" w:cs="Times New Roman"/>
                <w:kern w:val="0"/>
                <w:sz w:val="16"/>
                <w:szCs w:val="16"/>
                <w14:ligatures w14:val="none"/>
              </w:rPr>
              <w:fldChar w:fldCharType="begin"/>
            </w:r>
            <w:r w:rsidRPr="00152DA6">
              <w:rPr>
                <w:rFonts w:ascii="Times New Roman" w:hAnsi="Times New Roman" w:cs="Times New Roman"/>
                <w:sz w:val="16"/>
                <w:szCs w:val="16"/>
              </w:rPr>
              <w:instrText xml:space="preserve"> REF _Ref212706494 \r \h </w:instrText>
            </w:r>
            <w:r w:rsidRPr="00152DA6">
              <w:rPr>
                <w:rFonts w:ascii="Times New Roman" w:eastAsia="Times New Roman" w:hAnsi="Times New Roman" w:cs="Times New Roman"/>
                <w:kern w:val="0"/>
                <w:sz w:val="16"/>
                <w:szCs w:val="16"/>
                <w14:ligatures w14:val="none"/>
              </w:rPr>
              <w:instrText xml:space="preserve"> \* MERGEFORMAT </w:instrText>
            </w:r>
            <w:r w:rsidRPr="00152DA6">
              <w:rPr>
                <w:rFonts w:ascii="Times New Roman" w:eastAsia="Times New Roman" w:hAnsi="Times New Roman" w:cs="Times New Roman"/>
                <w:kern w:val="0"/>
                <w:sz w:val="16"/>
                <w:szCs w:val="16"/>
                <w14:ligatures w14:val="none"/>
              </w:rPr>
            </w:r>
            <w:r w:rsidRPr="00152DA6">
              <w:rPr>
                <w:rFonts w:ascii="Times New Roman" w:eastAsia="Times New Roman" w:hAnsi="Times New Roman" w:cs="Times New Roman"/>
                <w:kern w:val="0"/>
                <w:sz w:val="16"/>
                <w:szCs w:val="16"/>
                <w14:ligatures w14:val="none"/>
              </w:rPr>
              <w:fldChar w:fldCharType="separate"/>
            </w:r>
            <w:r w:rsidRPr="00152DA6">
              <w:rPr>
                <w:rFonts w:ascii="Times New Roman" w:hAnsi="Times New Roman" w:cs="Times New Roman"/>
                <w:sz w:val="16"/>
                <w:szCs w:val="16"/>
              </w:rPr>
              <w:t>[15]</w:t>
            </w:r>
            <w:r w:rsidRPr="00152DA6">
              <w:rPr>
                <w:rFonts w:ascii="Times New Roman" w:eastAsia="Times New Roman" w:hAnsi="Times New Roman" w:cs="Times New Roman"/>
                <w:kern w:val="0"/>
                <w:sz w:val="16"/>
                <w:szCs w:val="16"/>
                <w14:ligatures w14:val="none"/>
              </w:rPr>
              <w:fldChar w:fldCharType="end"/>
            </w:r>
          </w:p>
        </w:tc>
        <w:tc>
          <w:tcPr>
            <w:tcW w:w="2160" w:type="dxa"/>
          </w:tcPr>
          <w:p w14:paraId="05114BFF" w14:textId="77777777" w:rsidR="0007560F" w:rsidRPr="00152DA6"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eastAsia="Times New Roman" w:hAnsi="Times New Roman" w:cs="Times New Roman"/>
                <w:kern w:val="0"/>
                <w:sz w:val="16"/>
                <w:szCs w:val="16"/>
                <w14:ligatures w14:val="none"/>
              </w:rPr>
              <w:t xml:space="preserve">Myanmar; </w:t>
            </w:r>
            <w:r w:rsidRPr="00152DA6">
              <w:rPr>
                <w:rFonts w:ascii="Times New Roman" w:hAnsi="Times New Roman" w:cs="Times New Roman"/>
                <w:sz w:val="16"/>
                <w:szCs w:val="16"/>
              </w:rPr>
              <w:t>Mixed-methods study (policy analysis, survey of teachers and student teachers, semi-structured interviews)</w:t>
            </w:r>
          </w:p>
        </w:tc>
        <w:tc>
          <w:tcPr>
            <w:tcW w:w="2911" w:type="dxa"/>
          </w:tcPr>
          <w:p w14:paraId="039D1B8E"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School–university partnerships as a multi-functional development tool: applied to teacher education reform and curriculum reform in a low-income, centralized system.</w:t>
            </w:r>
          </w:p>
        </w:tc>
        <w:tc>
          <w:tcPr>
            <w:tcW w:w="2844" w:type="dxa"/>
          </w:tcPr>
          <w:p w14:paraId="3D36C69E"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 xml:space="preserve">SUPs supported teacher learning, curriculum design, and professional development through curriculum development teams (CDTs), mentoring, and workshops. Stakeholders valued </w:t>
            </w:r>
            <w:r w:rsidRPr="00280D90">
              <w:rPr>
                <w:rFonts w:ascii="Times New Roman" w:hAnsi="Times New Roman" w:cs="Times New Roman"/>
                <w:sz w:val="16"/>
                <w:szCs w:val="16"/>
              </w:rPr>
              <w:lastRenderedPageBreak/>
              <w:t>SUPs most for pre-service education, continuous professional development, and curriculum reform, though less for school/university quality improvement. Benefits included mutual learning, practice-based knowledge building, and stronger reform implementation. Challenges included weak institutional traditions, lack of autonomy, dependence on international aid, and political disruption after the 2021 coup. Authors recommend SUPs as cost-effective, catalytic interventions for educational development in low-income contexts</w:t>
            </w:r>
            <w:r w:rsidRPr="00280D90">
              <w:rPr>
                <w:rFonts w:ascii="Times New Roman" w:eastAsia="Times New Roman" w:hAnsi="Times New Roman" w:cs="Times New Roman"/>
                <w:kern w:val="0"/>
                <w:sz w:val="16"/>
                <w:szCs w:val="16"/>
                <w14:ligatures w14:val="none"/>
              </w:rPr>
              <w:t>.</w:t>
            </w:r>
          </w:p>
        </w:tc>
      </w:tr>
      <w:tr w:rsidR="0007560F" w:rsidRPr="00E5288F" w14:paraId="3F4250B2" w14:textId="77777777" w:rsidTr="003929BC">
        <w:tc>
          <w:tcPr>
            <w:cnfStyle w:val="001000000000" w:firstRow="0" w:lastRow="0" w:firstColumn="1" w:lastColumn="0" w:oddVBand="0" w:evenVBand="0" w:oddHBand="0" w:evenHBand="0" w:firstRowFirstColumn="0" w:firstRowLastColumn="0" w:lastRowFirstColumn="0" w:lastRowLastColumn="0"/>
            <w:tcW w:w="535" w:type="dxa"/>
            <w:hideMark/>
          </w:tcPr>
          <w:p w14:paraId="1A4FFC78"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lastRenderedPageBreak/>
              <w:t>12</w:t>
            </w:r>
          </w:p>
        </w:tc>
        <w:tc>
          <w:tcPr>
            <w:tcW w:w="900" w:type="dxa"/>
          </w:tcPr>
          <w:p w14:paraId="099544AA" w14:textId="77777777" w:rsidR="0007560F" w:rsidRPr="00152DA6" w:rsidRDefault="0007560F" w:rsidP="003929BC">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_Ref212707483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[20]</w:t>
            </w:r>
            <w:r w:rsidRPr="00152DA6">
              <w:rPr>
                <w:rFonts w:ascii="Times New Roman" w:hAnsi="Times New Roman" w:cs="Times New Roman"/>
                <w:sz w:val="16"/>
                <w:szCs w:val="16"/>
              </w:rPr>
              <w:fldChar w:fldCharType="end"/>
            </w:r>
          </w:p>
        </w:tc>
        <w:tc>
          <w:tcPr>
            <w:tcW w:w="2160" w:type="dxa"/>
            <w:hideMark/>
          </w:tcPr>
          <w:p w14:paraId="3E77E2A8" w14:textId="77777777" w:rsidR="0007560F" w:rsidRPr="00152DA6"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United States; Conceptual, Descriptive study (middle-level teacher education program)</w:t>
            </w:r>
          </w:p>
        </w:tc>
        <w:tc>
          <w:tcPr>
            <w:tcW w:w="2911" w:type="dxa"/>
            <w:hideMark/>
          </w:tcPr>
          <w:p w14:paraId="183F2A04"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 xml:space="preserve">Clinically based middle grades teacher preparation through </w:t>
            </w:r>
            <w:r w:rsidRPr="00280D90">
              <w:rPr>
                <w:rStyle w:val="Strong"/>
                <w:rFonts w:ascii="Times New Roman" w:hAnsi="Times New Roman" w:cs="Times New Roman"/>
                <w:b w:val="0"/>
                <w:bCs w:val="0"/>
                <w:sz w:val="16"/>
                <w:szCs w:val="16"/>
              </w:rPr>
              <w:t>school–university partnerships</w:t>
            </w:r>
            <w:r w:rsidRPr="00280D90">
              <w:rPr>
                <w:rFonts w:ascii="Times New Roman" w:hAnsi="Times New Roman" w:cs="Times New Roman"/>
                <w:sz w:val="16"/>
                <w:szCs w:val="16"/>
              </w:rPr>
              <w:t>. Each site represented a different stage of partnership development (integrated, developing, beginning). Programs embedded coursework in schools, used professional development school networks, and experimented with school-embedded courses and community of practice models.</w:t>
            </w:r>
          </w:p>
        </w:tc>
        <w:tc>
          <w:tcPr>
            <w:tcW w:w="2844" w:type="dxa"/>
            <w:hideMark/>
          </w:tcPr>
          <w:p w14:paraId="4A3B8CE8" w14:textId="77777777" w:rsidR="0007560F" w:rsidRPr="00280D90" w:rsidRDefault="0007560F" w:rsidP="003929BC">
            <w:pPr>
              <w:pStyle w:val="NormalWeb"/>
              <w:cnfStyle w:val="000000000000" w:firstRow="0" w:lastRow="0" w:firstColumn="0" w:lastColumn="0" w:oddVBand="0" w:evenVBand="0" w:oddHBand="0" w:evenHBand="0" w:firstRowFirstColumn="0" w:firstRowLastColumn="0" w:lastRowFirstColumn="0" w:lastRowLastColumn="0"/>
              <w:rPr>
                <w:sz w:val="16"/>
                <w:szCs w:val="16"/>
              </w:rPr>
            </w:pPr>
            <w:r w:rsidRPr="00280D90">
              <w:rPr>
                <w:sz w:val="16"/>
                <w:szCs w:val="16"/>
              </w:rPr>
              <w:t>Partnerships offered rich, practice-based learning, stronger theory–practice links, and professional communities, benefiting both candidates and schools. Key challenges were high resource demands, school “saturation,” uneven trust, logistical limits, and inconsistent expectations. Success depended on clear agreements, shared vision, supportive leadership, reciprocity, structured supervision, and long-term relational commitment.</w:t>
            </w:r>
          </w:p>
          <w:p w14:paraId="6999759F"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r>
      <w:tr w:rsidR="0007560F" w:rsidRPr="00E5288F" w14:paraId="4F0A3B90"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hideMark/>
          </w:tcPr>
          <w:p w14:paraId="6E1E80C5"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13</w:t>
            </w:r>
          </w:p>
        </w:tc>
        <w:tc>
          <w:tcPr>
            <w:tcW w:w="900" w:type="dxa"/>
          </w:tcPr>
          <w:p w14:paraId="233F0A0B" w14:textId="77777777" w:rsidR="0007560F" w:rsidRPr="00152DA6" w:rsidRDefault="0007560F" w:rsidP="003929BC">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_Ref212706475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[21]</w:t>
            </w:r>
            <w:r w:rsidRPr="00152DA6">
              <w:rPr>
                <w:rFonts w:ascii="Times New Roman" w:hAnsi="Times New Roman" w:cs="Times New Roman"/>
                <w:sz w:val="16"/>
                <w:szCs w:val="16"/>
              </w:rPr>
              <w:fldChar w:fldCharType="end"/>
            </w:r>
          </w:p>
        </w:tc>
        <w:tc>
          <w:tcPr>
            <w:tcW w:w="2160" w:type="dxa"/>
            <w:hideMark/>
          </w:tcPr>
          <w:p w14:paraId="447100DE" w14:textId="77777777" w:rsidR="0007560F" w:rsidRPr="00152DA6"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 xml:space="preserve">Vietnam; Mixed-methods study: (questionnaires and semi-structured interviews with student teachers, teachers, lecturers)  </w:t>
            </w:r>
          </w:p>
        </w:tc>
        <w:tc>
          <w:tcPr>
            <w:tcW w:w="2911" w:type="dxa"/>
            <w:hideMark/>
          </w:tcPr>
          <w:p w14:paraId="3E3B1951"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s="Times New Roman"/>
                <w:kern w:val="0"/>
                <w:sz w:val="16"/>
                <w:szCs w:val="16"/>
                <w:lang w:eastAsia="en-US"/>
                <w14:ligatures w14:val="none"/>
              </w:rPr>
            </w:pPr>
            <w:r w:rsidRPr="00280D90">
              <w:rPr>
                <w:rFonts w:ascii="Times New Roman" w:eastAsia="MS Mincho" w:hAnsi="Times New Roman" w:cs="Times New Roman"/>
                <w:kern w:val="0"/>
                <w:sz w:val="16"/>
                <w:szCs w:val="16"/>
                <w:lang w:eastAsia="en-US"/>
                <w14:ligatures w14:val="none"/>
              </w:rPr>
              <w:t xml:space="preserve">Cooperation model between universities &amp; schools. Practice schools, partner schools, university schools. Collaborative vs. directed partnerships; “separatist” (gov’t-led) model. </w:t>
            </w:r>
            <w:r w:rsidRPr="00280D90">
              <w:rPr>
                <w:rFonts w:ascii="Times New Roman" w:eastAsia="MS Mincho" w:hAnsi="Times New Roman" w:cs="Times New Roman"/>
                <w:kern w:val="0"/>
                <w:sz w:val="16"/>
                <w:szCs w:val="16"/>
                <w:lang w:eastAsia="en-US"/>
                <w14:ligatures w14:val="none"/>
              </w:rPr>
              <w:br/>
              <w:t>Joint planning of practicum schedules, agreements on student numbers, shared evaluation, mentoring roles for teachers, and feedback loops for improvement.</w:t>
            </w:r>
          </w:p>
        </w:tc>
        <w:tc>
          <w:tcPr>
            <w:tcW w:w="2844" w:type="dxa"/>
            <w:hideMark/>
          </w:tcPr>
          <w:p w14:paraId="7C471C01"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Practicum is seen as essential for linking theory with classroom practice. The partnership between universities and schools is considered important by all participant groups. Cooperation works best in areas like scheduling and allocating students. However, challenges remain, including weak communication, limited lecturer involvement in schools, inconsistent quality of teacher mentoring, and assessment being driven mainly by schools. The study recommends clearer role definitions, stronger collaboration, formal agreements, long-term partnerships, greater school involvement, and more support for teacher professional development.</w:t>
            </w:r>
          </w:p>
        </w:tc>
      </w:tr>
      <w:tr w:rsidR="0007560F" w:rsidRPr="00E5288F" w14:paraId="02F752E9" w14:textId="77777777" w:rsidTr="003929BC">
        <w:tc>
          <w:tcPr>
            <w:cnfStyle w:val="001000000000" w:firstRow="0" w:lastRow="0" w:firstColumn="1" w:lastColumn="0" w:oddVBand="0" w:evenVBand="0" w:oddHBand="0" w:evenHBand="0" w:firstRowFirstColumn="0" w:firstRowLastColumn="0" w:lastRowFirstColumn="0" w:lastRowLastColumn="0"/>
            <w:tcW w:w="535" w:type="dxa"/>
            <w:hideMark/>
          </w:tcPr>
          <w:p w14:paraId="569BDE0D"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14</w:t>
            </w:r>
          </w:p>
        </w:tc>
        <w:tc>
          <w:tcPr>
            <w:tcW w:w="900" w:type="dxa"/>
          </w:tcPr>
          <w:p w14:paraId="34A2714A" w14:textId="77777777" w:rsidR="0007560F" w:rsidRPr="00152DA6" w:rsidRDefault="0007560F" w:rsidP="003929BC">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_Ref212709709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[22]</w:t>
            </w:r>
            <w:r w:rsidRPr="00152DA6">
              <w:rPr>
                <w:rFonts w:ascii="Times New Roman" w:hAnsi="Times New Roman" w:cs="Times New Roman"/>
                <w:sz w:val="16"/>
                <w:szCs w:val="16"/>
              </w:rPr>
              <w:fldChar w:fldCharType="end"/>
            </w:r>
          </w:p>
        </w:tc>
        <w:tc>
          <w:tcPr>
            <w:tcW w:w="2160" w:type="dxa"/>
            <w:hideMark/>
          </w:tcPr>
          <w:p w14:paraId="56E0F22F" w14:textId="77777777" w:rsidR="0007560F" w:rsidRPr="00152DA6"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Norway; Qualitative study (focus group with university-based teacher educators, school-based teacher educators, and preservice teachers.</w:t>
            </w:r>
          </w:p>
          <w:p w14:paraId="0EB7C7CC" w14:textId="77777777" w:rsidR="0007560F" w:rsidRPr="00152DA6"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2911" w:type="dxa"/>
            <w:hideMark/>
          </w:tcPr>
          <w:p w14:paraId="3B78A4F7"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Collaborative school–university model with mentoring, shared responsibility, and a professional learning culture sustained by clear roles, communication, and coordination.</w:t>
            </w:r>
          </w:p>
        </w:tc>
        <w:tc>
          <w:tcPr>
            <w:tcW w:w="2844" w:type="dxa"/>
            <w:hideMark/>
          </w:tcPr>
          <w:p w14:paraId="1E5D78FD"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Participants felt heard and connected through CHAT and community building, which fostered collaboration, knowledge co-construction, and growth; dissemination challenges remained. Sustained collaboration across boundaries strengthens shared learning and professional development.</w:t>
            </w:r>
          </w:p>
        </w:tc>
      </w:tr>
      <w:tr w:rsidR="0007560F" w:rsidRPr="00E5288F" w14:paraId="543A9A05"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hideMark/>
          </w:tcPr>
          <w:p w14:paraId="653475AE"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15</w:t>
            </w:r>
          </w:p>
        </w:tc>
        <w:tc>
          <w:tcPr>
            <w:tcW w:w="900" w:type="dxa"/>
          </w:tcPr>
          <w:p w14:paraId="28938788" w14:textId="77777777" w:rsidR="0007560F" w:rsidRPr="00152DA6" w:rsidRDefault="0007560F" w:rsidP="003929BC">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_Ref212706173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[23]</w:t>
            </w:r>
            <w:r w:rsidRPr="00152DA6">
              <w:rPr>
                <w:rFonts w:ascii="Times New Roman" w:hAnsi="Times New Roman" w:cs="Times New Roman"/>
                <w:sz w:val="16"/>
                <w:szCs w:val="16"/>
              </w:rPr>
              <w:fldChar w:fldCharType="end"/>
            </w:r>
          </w:p>
        </w:tc>
        <w:tc>
          <w:tcPr>
            <w:tcW w:w="2160" w:type="dxa"/>
            <w:hideMark/>
          </w:tcPr>
          <w:p w14:paraId="3EC3256D" w14:textId="77777777" w:rsidR="0007560F" w:rsidRPr="00152DA6"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Norway; Qualitative (focus-group interview with teacher-education students)</w:t>
            </w:r>
          </w:p>
        </w:tc>
        <w:tc>
          <w:tcPr>
            <w:tcW w:w="2911" w:type="dxa"/>
            <w:hideMark/>
          </w:tcPr>
          <w:p w14:paraId="5F7FA934"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Partnership-school model (school–university collaboration): practicum at designated partnership schools where mentors are often formally prepared; equal-based collaboration with the university on practicum design, assessment criteria, work requirements; analysis framed by Biesta’s three purposes of education.</w:t>
            </w:r>
          </w:p>
        </w:tc>
        <w:tc>
          <w:tcPr>
            <w:tcW w:w="2844" w:type="dxa"/>
            <w:hideMark/>
          </w:tcPr>
          <w:p w14:paraId="3F8B0B3B"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 xml:space="preserve">Students defined high-quality practicum as inclusive, qualifying, and identity-forming; partnership schools were perceived as higher quality than non-partnership placements. Drivers: being welcomed and included with access/resources; high-quality, reflective mentoring that fosters autonomy; mentors who connect campus concepts to school practice, reducing the theory–practice gap. Challenges: large variability (“luck”) in mentor quality and mentoring approaches; misaligned university “work requirements” that can </w:t>
            </w:r>
            <w:r w:rsidRPr="00280D90">
              <w:rPr>
                <w:rFonts w:ascii="Times New Roman" w:hAnsi="Times New Roman" w:cs="Times New Roman"/>
                <w:sz w:val="16"/>
                <w:szCs w:val="16"/>
              </w:rPr>
              <w:lastRenderedPageBreak/>
              <w:t>undermine learning; need for closer school–university coordination.</w:t>
            </w:r>
          </w:p>
        </w:tc>
      </w:tr>
      <w:tr w:rsidR="0007560F" w:rsidRPr="00E5288F" w14:paraId="26123136" w14:textId="77777777" w:rsidTr="003929BC">
        <w:tc>
          <w:tcPr>
            <w:cnfStyle w:val="001000000000" w:firstRow="0" w:lastRow="0" w:firstColumn="1" w:lastColumn="0" w:oddVBand="0" w:evenVBand="0" w:oddHBand="0" w:evenHBand="0" w:firstRowFirstColumn="0" w:firstRowLastColumn="0" w:lastRowFirstColumn="0" w:lastRowLastColumn="0"/>
            <w:tcW w:w="535" w:type="dxa"/>
            <w:hideMark/>
          </w:tcPr>
          <w:p w14:paraId="67338582"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lastRenderedPageBreak/>
              <w:t>16</w:t>
            </w:r>
          </w:p>
        </w:tc>
        <w:tc>
          <w:tcPr>
            <w:tcW w:w="900" w:type="dxa"/>
          </w:tcPr>
          <w:p w14:paraId="3E95C84F" w14:textId="77777777" w:rsidR="0007560F" w:rsidRPr="00152DA6" w:rsidRDefault="0007560F" w:rsidP="003929BC">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_Ref212709003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[24]</w:t>
            </w:r>
            <w:r w:rsidRPr="00152DA6">
              <w:rPr>
                <w:rFonts w:ascii="Times New Roman" w:hAnsi="Times New Roman" w:cs="Times New Roman"/>
                <w:sz w:val="16"/>
                <w:szCs w:val="16"/>
              </w:rPr>
              <w:fldChar w:fldCharType="end"/>
            </w:r>
          </w:p>
        </w:tc>
        <w:tc>
          <w:tcPr>
            <w:tcW w:w="2160" w:type="dxa"/>
            <w:hideMark/>
          </w:tcPr>
          <w:p w14:paraId="133250C0" w14:textId="77777777" w:rsidR="0007560F" w:rsidRPr="00152DA6"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Australia; Qualitative multi-case study (case study documentation, surveys (pre- and post-), semi-structured interviews with preservice teachers (PSTs), in-service teachers, principals, and teacher educators)</w:t>
            </w:r>
          </w:p>
        </w:tc>
        <w:tc>
          <w:tcPr>
            <w:tcW w:w="2911" w:type="dxa"/>
            <w:hideMark/>
          </w:tcPr>
          <w:p w14:paraId="0C508542"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STEPS Interpretive Framework with 4 components: (1) Guiding Pedagogical Principles (authentic, inquiry-based, reflective, theory–practice nexus), (2) Growing University-School Partnerships (initiation, implementation, evaluation phases), (3) Partnership typology, Connective, Generative, Transformative, (4) Growth Model (collaboration, coordination, communication).</w:t>
            </w:r>
          </w:p>
        </w:tc>
        <w:tc>
          <w:tcPr>
            <w:tcW w:w="2844" w:type="dxa"/>
            <w:hideMark/>
          </w:tcPr>
          <w:p w14:paraId="0814EE9A"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Embedded partnerships strengthened PST confidence, praxis, identity, and relationships; enhanced science teaching capacity in schools; fostered mutual professional learning; provided authentic experiences linking theory and practice; and sustainable partnerships required trust, reciprocity, and institutional support.</w:t>
            </w:r>
          </w:p>
        </w:tc>
      </w:tr>
      <w:tr w:rsidR="0007560F" w:rsidRPr="00E5288F" w14:paraId="50686E9E"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22F69EFD"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17</w:t>
            </w:r>
          </w:p>
        </w:tc>
        <w:tc>
          <w:tcPr>
            <w:tcW w:w="900" w:type="dxa"/>
          </w:tcPr>
          <w:p w14:paraId="6A3E167E" w14:textId="77777777" w:rsidR="0007560F" w:rsidRPr="00152DA6" w:rsidRDefault="0007560F" w:rsidP="003929BC">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_Ref212705215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[43]</w:t>
            </w:r>
            <w:r w:rsidRPr="00152DA6">
              <w:rPr>
                <w:rFonts w:ascii="Times New Roman" w:hAnsi="Times New Roman" w:cs="Times New Roman"/>
                <w:sz w:val="16"/>
                <w:szCs w:val="16"/>
              </w:rPr>
              <w:fldChar w:fldCharType="end"/>
            </w:r>
          </w:p>
        </w:tc>
        <w:tc>
          <w:tcPr>
            <w:tcW w:w="2160" w:type="dxa"/>
          </w:tcPr>
          <w:p w14:paraId="6AF1BDA8" w14:textId="77777777" w:rsidR="0007560F" w:rsidRPr="00152DA6"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Myanmar; Qualitative study; (semi-structured interviews with student teachers and mentor teachers)</w:t>
            </w:r>
          </w:p>
        </w:tc>
        <w:tc>
          <w:tcPr>
            <w:tcW w:w="2911" w:type="dxa"/>
          </w:tcPr>
          <w:p w14:paraId="5705C6B9"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Focused on school-university partnerships (SUPs) in initial teacher training. Collaboration is mainly limited to student teaching placements. Features include trust and respect between partners, managing differing teaching beliefs, and school integration. Highlights unequal power dynamics and short practicum duration as structural limitations.</w:t>
            </w:r>
          </w:p>
        </w:tc>
        <w:tc>
          <w:tcPr>
            <w:tcW w:w="2844" w:type="dxa"/>
          </w:tcPr>
          <w:p w14:paraId="13A5883E"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Identified tensions around trust (mentors doubting readiness), differing beliefs (curriculum coverage vs. innovative methods), and disconnection (limited collaboration). Some tensions were resolved through negotiation and informal collaboration. Concluded that short practicum hindered meaningful partnership; longer placements and stronger school–university ties are needed</w:t>
            </w:r>
          </w:p>
        </w:tc>
      </w:tr>
      <w:tr w:rsidR="0007560F" w:rsidRPr="00E5288F" w14:paraId="21375003" w14:textId="77777777" w:rsidTr="003929BC">
        <w:tc>
          <w:tcPr>
            <w:cnfStyle w:val="001000000000" w:firstRow="0" w:lastRow="0" w:firstColumn="1" w:lastColumn="0" w:oddVBand="0" w:evenVBand="0" w:oddHBand="0" w:evenHBand="0" w:firstRowFirstColumn="0" w:firstRowLastColumn="0" w:lastRowFirstColumn="0" w:lastRowLastColumn="0"/>
            <w:tcW w:w="535" w:type="dxa"/>
            <w:hideMark/>
          </w:tcPr>
          <w:p w14:paraId="516870CC"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18</w:t>
            </w:r>
          </w:p>
        </w:tc>
        <w:tc>
          <w:tcPr>
            <w:tcW w:w="900" w:type="dxa"/>
          </w:tcPr>
          <w:p w14:paraId="2EBC344D" w14:textId="77777777" w:rsidR="0007560F" w:rsidRPr="00152DA6" w:rsidRDefault="0007560F" w:rsidP="003929BC">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_Ref212706521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[26]</w:t>
            </w:r>
            <w:r w:rsidRPr="00152DA6">
              <w:rPr>
                <w:rFonts w:ascii="Times New Roman" w:hAnsi="Times New Roman" w:cs="Times New Roman"/>
                <w:sz w:val="16"/>
                <w:szCs w:val="16"/>
              </w:rPr>
              <w:fldChar w:fldCharType="end"/>
            </w:r>
          </w:p>
        </w:tc>
        <w:tc>
          <w:tcPr>
            <w:tcW w:w="2160" w:type="dxa"/>
            <w:hideMark/>
          </w:tcPr>
          <w:p w14:paraId="052F40EC" w14:textId="77777777" w:rsidR="0007560F" w:rsidRPr="00152DA6"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United States; a conceptual paper describing an urban teacher-preparation model with program data (placement/retention metrics) from the Chicago Teacher Education Pipeline (CTEP)</w:t>
            </w:r>
          </w:p>
        </w:tc>
        <w:tc>
          <w:tcPr>
            <w:tcW w:w="2911" w:type="dxa"/>
            <w:hideMark/>
          </w:tcPr>
          <w:p w14:paraId="00DA5423"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Community- and school-based preparation in a “third/hybrid space”: university–school–community partnerships with reciprocity; redesigned coursework with community ancillaries, a 4-week paid STEP-UP fellowship with host-family housing, and extended PICS/PDS internships plus co-curricular induction.</w:t>
            </w:r>
          </w:p>
        </w:tc>
        <w:tc>
          <w:tcPr>
            <w:tcW w:w="2844" w:type="dxa"/>
            <w:hideMark/>
          </w:tcPr>
          <w:p w14:paraId="52DA713F"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Reported impacts included stronger intentions to teach in urban schools and increased self-efficacy. The programs led to high placement in high-need schools and significantly better teacher retention compared to district averages. Extended internships also resulted in many graduates remaining in urban classrooms over time. Challenges involved the physical distance between campus and city, risks of one-sided or superficial engagement, and logistical issues such as housing. Key success factors were genuine reciprocity, community co-design, meaningful service-learning, sustained presence in communities, host family support, and structured mentoring and induction.</w:t>
            </w:r>
          </w:p>
        </w:tc>
      </w:tr>
      <w:tr w:rsidR="0007560F" w:rsidRPr="00E5288F" w14:paraId="313DAAB3"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hideMark/>
          </w:tcPr>
          <w:p w14:paraId="62054506"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19</w:t>
            </w:r>
          </w:p>
        </w:tc>
        <w:tc>
          <w:tcPr>
            <w:tcW w:w="900" w:type="dxa"/>
          </w:tcPr>
          <w:p w14:paraId="7F35F162" w14:textId="77777777" w:rsidR="0007560F" w:rsidRPr="00152DA6" w:rsidRDefault="0007560F" w:rsidP="003929BC">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_Ref212708672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[27]</w:t>
            </w:r>
            <w:r w:rsidRPr="00152DA6">
              <w:rPr>
                <w:rFonts w:ascii="Times New Roman" w:hAnsi="Times New Roman" w:cs="Times New Roman"/>
                <w:sz w:val="16"/>
                <w:szCs w:val="16"/>
              </w:rPr>
              <w:fldChar w:fldCharType="end"/>
            </w:r>
          </w:p>
        </w:tc>
        <w:tc>
          <w:tcPr>
            <w:tcW w:w="2160" w:type="dxa"/>
            <w:hideMark/>
          </w:tcPr>
          <w:p w14:paraId="537A469E" w14:textId="77777777" w:rsidR="0007560F" w:rsidRPr="00152DA6"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United States; Qualitative study</w:t>
            </w:r>
          </w:p>
          <w:p w14:paraId="14F40BB8" w14:textId="77777777" w:rsidR="0007560F" w:rsidRPr="00152DA6"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(interviews &amp; focus groups with early childhood preservice teacher educators and partners)</w:t>
            </w:r>
          </w:p>
        </w:tc>
        <w:tc>
          <w:tcPr>
            <w:tcW w:w="2911" w:type="dxa"/>
            <w:hideMark/>
          </w:tcPr>
          <w:p w14:paraId="71725008"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Style w:val="Strong"/>
                <w:rFonts w:ascii="Times New Roman" w:hAnsi="Times New Roman" w:cs="Times New Roman"/>
                <w:b w:val="0"/>
                <w:bCs w:val="0"/>
                <w:sz w:val="16"/>
                <w:szCs w:val="16"/>
              </w:rPr>
              <w:t>Community–university field-based collaboration model (TLLSC)</w:t>
            </w:r>
            <w:r w:rsidRPr="00280D90">
              <w:rPr>
                <w:rFonts w:ascii="Times New Roman" w:hAnsi="Times New Roman" w:cs="Times New Roman"/>
                <w:sz w:val="16"/>
                <w:szCs w:val="16"/>
              </w:rPr>
              <w:t>: University faculty, school, and community partners co-designed and implemented field-based sequences across 4 years. Partners acted as co–teacher educators. The program emphasized mutual benefit, reciprocity, extended fieldwork, culturally and linguistically responsive practice, and iterative redesign.</w:t>
            </w:r>
          </w:p>
        </w:tc>
        <w:tc>
          <w:tcPr>
            <w:tcW w:w="2844" w:type="dxa"/>
            <w:hideMark/>
          </w:tcPr>
          <w:p w14:paraId="497539F8" w14:textId="77777777" w:rsidR="0007560F" w:rsidRPr="00280D90"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 xml:space="preserve">Extended, immersive fieldwork supported authentic preparation beyond brief observations. </w:t>
            </w:r>
            <w:r w:rsidRPr="00280D90">
              <w:rPr>
                <w:rFonts w:ascii="Times New Roman" w:hAnsi="Times New Roman" w:cs="Times New Roman"/>
                <w:sz w:val="16"/>
                <w:szCs w:val="16"/>
              </w:rPr>
              <w:br/>
              <w:t xml:space="preserve">- Partners valued being recognized as co-educators; mentorship roles strengthened their own professional growth. </w:t>
            </w:r>
            <w:r w:rsidRPr="00280D90">
              <w:rPr>
                <w:rFonts w:ascii="Times New Roman" w:hAnsi="Times New Roman" w:cs="Times New Roman"/>
                <w:sz w:val="16"/>
                <w:szCs w:val="16"/>
              </w:rPr>
              <w:br/>
              <w:t xml:space="preserve">- Community partners (e.g., Indigenous orgs) stressed culturally sustaining pedagogy and longer-term engagement for real impact. </w:t>
            </w:r>
            <w:r w:rsidRPr="00280D90">
              <w:rPr>
                <w:rFonts w:ascii="Times New Roman" w:hAnsi="Times New Roman" w:cs="Times New Roman"/>
                <w:sz w:val="16"/>
                <w:szCs w:val="16"/>
              </w:rPr>
              <w:br/>
              <w:t xml:space="preserve">- Early Head Start and preschool partners reported that candidates gained confidence, applied developmentally appropriate practices, and contributed fresh ideas. </w:t>
            </w:r>
            <w:r w:rsidRPr="00280D90">
              <w:rPr>
                <w:rFonts w:ascii="Times New Roman" w:hAnsi="Times New Roman" w:cs="Times New Roman"/>
                <w:sz w:val="16"/>
                <w:szCs w:val="16"/>
              </w:rPr>
              <w:br/>
              <w:t xml:space="preserve">- Families and children benefited through improved instruction, structured activities, and resources. </w:t>
            </w:r>
            <w:r w:rsidRPr="00280D90">
              <w:rPr>
                <w:rFonts w:ascii="Times New Roman" w:hAnsi="Times New Roman" w:cs="Times New Roman"/>
                <w:sz w:val="16"/>
                <w:szCs w:val="16"/>
              </w:rPr>
              <w:br/>
              <w:t xml:space="preserve">- Challenges: extra time burden, lack of compensation, need for continual redesign, and alignment with partner needs. </w:t>
            </w:r>
            <w:r w:rsidRPr="00280D90">
              <w:rPr>
                <w:rFonts w:ascii="Times New Roman" w:hAnsi="Times New Roman" w:cs="Times New Roman"/>
                <w:sz w:val="16"/>
                <w:szCs w:val="16"/>
              </w:rPr>
              <w:br/>
              <w:t xml:space="preserve">- Success required trust, shared </w:t>
            </w:r>
            <w:r w:rsidRPr="00280D90">
              <w:rPr>
                <w:rFonts w:ascii="Times New Roman" w:hAnsi="Times New Roman" w:cs="Times New Roman"/>
                <w:sz w:val="16"/>
                <w:szCs w:val="16"/>
              </w:rPr>
              <w:lastRenderedPageBreak/>
              <w:t>expertise, mutual benefit, and faculty flexibility to adapt to diverse contexts.</w:t>
            </w:r>
          </w:p>
        </w:tc>
      </w:tr>
      <w:tr w:rsidR="0007560F" w:rsidRPr="00E5288F" w14:paraId="78EFC2B2" w14:textId="77777777" w:rsidTr="003929BC">
        <w:tc>
          <w:tcPr>
            <w:cnfStyle w:val="001000000000" w:firstRow="0" w:lastRow="0" w:firstColumn="1" w:lastColumn="0" w:oddVBand="0" w:evenVBand="0" w:oddHBand="0" w:evenHBand="0" w:firstRowFirstColumn="0" w:firstRowLastColumn="0" w:lastRowFirstColumn="0" w:lastRowLastColumn="0"/>
            <w:tcW w:w="535" w:type="dxa"/>
            <w:hideMark/>
          </w:tcPr>
          <w:p w14:paraId="25CA5312"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lastRenderedPageBreak/>
              <w:t>20</w:t>
            </w:r>
          </w:p>
        </w:tc>
        <w:tc>
          <w:tcPr>
            <w:tcW w:w="900" w:type="dxa"/>
          </w:tcPr>
          <w:p w14:paraId="5DE19C4C" w14:textId="77777777" w:rsidR="0007560F" w:rsidRPr="00152DA6" w:rsidRDefault="0007560F" w:rsidP="003929BC">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_Ref212706230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[29]</w:t>
            </w:r>
            <w:r w:rsidRPr="00152DA6">
              <w:rPr>
                <w:rFonts w:ascii="Times New Roman" w:hAnsi="Times New Roman" w:cs="Times New Roman"/>
                <w:sz w:val="16"/>
                <w:szCs w:val="16"/>
              </w:rPr>
              <w:fldChar w:fldCharType="end"/>
            </w:r>
          </w:p>
        </w:tc>
        <w:tc>
          <w:tcPr>
            <w:tcW w:w="2160" w:type="dxa"/>
            <w:hideMark/>
          </w:tcPr>
          <w:p w14:paraId="333609BE" w14:textId="77777777" w:rsidR="0007560F" w:rsidRPr="00152DA6"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United States Randomized block design comparing the Enhanced Partnership Model (EPM) vs. traditional internship.</w:t>
            </w:r>
          </w:p>
          <w:p w14:paraId="3B209AB6" w14:textId="77777777" w:rsidR="0007560F" w:rsidRPr="00152DA6"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2911" w:type="dxa"/>
            <w:hideMark/>
          </w:tcPr>
          <w:p w14:paraId="6CDC060A"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Style w:val="Strong"/>
                <w:rFonts w:ascii="Times New Roman" w:hAnsi="Times New Roman" w:cs="Times New Roman"/>
                <w:b w:val="0"/>
                <w:bCs w:val="0"/>
                <w:sz w:val="16"/>
                <w:szCs w:val="16"/>
              </w:rPr>
              <w:t>Enhanced Partnership Model (EPM):</w:t>
            </w:r>
            <w:r w:rsidRPr="00280D90">
              <w:rPr>
                <w:rFonts w:ascii="Times New Roman" w:hAnsi="Times New Roman" w:cs="Times New Roman"/>
                <w:sz w:val="16"/>
                <w:szCs w:val="16"/>
              </w:rPr>
              <w:t xml:space="preserve"> </w:t>
            </w:r>
            <w:r w:rsidRPr="00280D90">
              <w:rPr>
                <w:rFonts w:ascii="Times New Roman" w:hAnsi="Times New Roman" w:cs="Times New Roman"/>
                <w:sz w:val="16"/>
                <w:szCs w:val="16"/>
              </w:rPr>
              <w:br/>
              <w:t>- Professors-in-Residence (PIRs) embedded weekly in schools for job-embedded coaching &amp; mentoring. Weekly professional learning sessions (in-person, virtual, hybrid). Curriculum: culturally responsive pedagogy, disciplinary literacy, math UDL, teacher wellness, positive classroom culture. Co-construction with supervising teachers &amp; district leaders. Multi-pathway recruitment to increase diversity.</w:t>
            </w:r>
          </w:p>
        </w:tc>
        <w:tc>
          <w:tcPr>
            <w:tcW w:w="2844" w:type="dxa"/>
            <w:hideMark/>
          </w:tcPr>
          <w:p w14:paraId="4FE0AA3D" w14:textId="77777777" w:rsidR="0007560F" w:rsidRPr="00280D90" w:rsidRDefault="0007560F" w:rsidP="003929BC">
            <w:pPr>
              <w:pStyle w:val="NormalWeb"/>
              <w:cnfStyle w:val="000000000000" w:firstRow="0" w:lastRow="0" w:firstColumn="0" w:lastColumn="0" w:oddVBand="0" w:evenVBand="0" w:oddHBand="0" w:evenHBand="0" w:firstRowFirstColumn="0" w:firstRowLastColumn="0" w:lastRowFirstColumn="0" w:lastRowLastColumn="0"/>
              <w:rPr>
                <w:sz w:val="16"/>
                <w:szCs w:val="16"/>
              </w:rPr>
            </w:pPr>
            <w:r w:rsidRPr="00280D90">
              <w:rPr>
                <w:sz w:val="16"/>
                <w:szCs w:val="16"/>
              </w:rPr>
              <w:t>The Enhanced Partnership Model strengthened employment and retention in high-needs schools, broadened the diversity of teacher candidates, expanded placements, improved certification outcomes, and built a larger pool of qualified supervising teachers. Professors-in-Residence bridged theory and practice, nurtured culturally responsive teaching, and offered sustained mentoring. Difficulties included scheduling across different school levels and ensuring consistent implementation in complex school contexts.</w:t>
            </w:r>
          </w:p>
        </w:tc>
      </w:tr>
      <w:tr w:rsidR="0007560F" w:rsidRPr="00E5288F" w14:paraId="63697C8B"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hideMark/>
          </w:tcPr>
          <w:p w14:paraId="210D0D05"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21</w:t>
            </w:r>
          </w:p>
        </w:tc>
        <w:tc>
          <w:tcPr>
            <w:tcW w:w="900" w:type="dxa"/>
          </w:tcPr>
          <w:p w14:paraId="0CB93117" w14:textId="77777777" w:rsidR="0007560F" w:rsidRPr="00152DA6" w:rsidRDefault="0007560F" w:rsidP="003929BC">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_Ref212707083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[30]</w:t>
            </w:r>
            <w:r w:rsidRPr="00152DA6">
              <w:rPr>
                <w:rFonts w:ascii="Times New Roman" w:hAnsi="Times New Roman" w:cs="Times New Roman"/>
                <w:sz w:val="16"/>
                <w:szCs w:val="16"/>
              </w:rPr>
              <w:fldChar w:fldCharType="end"/>
            </w:r>
          </w:p>
        </w:tc>
        <w:tc>
          <w:tcPr>
            <w:tcW w:w="2160" w:type="dxa"/>
            <w:hideMark/>
          </w:tcPr>
          <w:p w14:paraId="379D02A4" w14:textId="77777777" w:rsidR="0007560F" w:rsidRPr="00152DA6"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Australia; Longitudinal Qualitative study (interviews over 3 years with in-service mentor teachers)</w:t>
            </w:r>
          </w:p>
        </w:tc>
        <w:tc>
          <w:tcPr>
            <w:tcW w:w="2911" w:type="dxa"/>
            <w:hideMark/>
          </w:tcPr>
          <w:p w14:paraId="1D7B2BC4"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Place-based school–university partnership: An Iteratively designed model where pre-service teachers (PSTs) delivered science lessons embedded into the school curriculum, with in-service teachers and teacher educators sharing feedback, mentoring, and cultural induction roles.</w:t>
            </w:r>
          </w:p>
        </w:tc>
        <w:tc>
          <w:tcPr>
            <w:tcW w:w="2844" w:type="dxa"/>
            <w:hideMark/>
          </w:tcPr>
          <w:p w14:paraId="194ABE0B"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Partnership shifted from a one-off science day to curriculum-integrated sequences, strengthening practicum authenticity. Benefits included enriched student engagement, PSTs’ growing confidence, and in-service teachers’ professional reflection. Challenges centered on teacher workload and feedback expectations, which were gradually resolved through shared responsibility and streamlined processes. Success depended on sustained negotiation, trust, reciprocity, and institutional support to embed the practicum as a meaningful, co-constructed experience.</w:t>
            </w:r>
          </w:p>
        </w:tc>
      </w:tr>
      <w:tr w:rsidR="0007560F" w:rsidRPr="00E5288F" w14:paraId="1002C6DE" w14:textId="77777777" w:rsidTr="003929BC">
        <w:tc>
          <w:tcPr>
            <w:cnfStyle w:val="001000000000" w:firstRow="0" w:lastRow="0" w:firstColumn="1" w:lastColumn="0" w:oddVBand="0" w:evenVBand="0" w:oddHBand="0" w:evenHBand="0" w:firstRowFirstColumn="0" w:firstRowLastColumn="0" w:lastRowFirstColumn="0" w:lastRowLastColumn="0"/>
            <w:tcW w:w="535" w:type="dxa"/>
            <w:hideMark/>
          </w:tcPr>
          <w:p w14:paraId="60DBC473"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22</w:t>
            </w:r>
          </w:p>
        </w:tc>
        <w:tc>
          <w:tcPr>
            <w:tcW w:w="900" w:type="dxa"/>
          </w:tcPr>
          <w:p w14:paraId="6A0C5574" w14:textId="77777777" w:rsidR="0007560F" w:rsidRPr="00152DA6" w:rsidRDefault="0007560F" w:rsidP="003929BC">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_Ref212706541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[33]</w:t>
            </w:r>
            <w:r w:rsidRPr="00152DA6">
              <w:rPr>
                <w:rFonts w:ascii="Times New Roman" w:hAnsi="Times New Roman" w:cs="Times New Roman"/>
                <w:sz w:val="16"/>
                <w:szCs w:val="16"/>
              </w:rPr>
              <w:fldChar w:fldCharType="end"/>
            </w:r>
          </w:p>
        </w:tc>
        <w:tc>
          <w:tcPr>
            <w:tcW w:w="2160" w:type="dxa"/>
            <w:hideMark/>
          </w:tcPr>
          <w:p w14:paraId="76372FA2" w14:textId="77777777" w:rsidR="0007560F" w:rsidRPr="00152DA6"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Canada: Conceptual analysis of preservice teacher practicum reform</w:t>
            </w:r>
          </w:p>
        </w:tc>
        <w:tc>
          <w:tcPr>
            <w:tcW w:w="2911" w:type="dxa"/>
            <w:hideMark/>
          </w:tcPr>
          <w:p w14:paraId="3E2B5AA7"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 xml:space="preserve">Focus on re-centering the practicum in Canadian teacher education, strengthening </w:t>
            </w:r>
            <w:r w:rsidRPr="00280D90">
              <w:rPr>
                <w:rStyle w:val="Strong"/>
                <w:rFonts w:ascii="Times New Roman" w:hAnsi="Times New Roman" w:cs="Times New Roman"/>
                <w:b w:val="0"/>
                <w:bCs w:val="0"/>
                <w:sz w:val="16"/>
                <w:szCs w:val="16"/>
              </w:rPr>
              <w:t>university–school collaboration</w:t>
            </w:r>
            <w:r w:rsidRPr="00280D90">
              <w:rPr>
                <w:rFonts w:ascii="Times New Roman" w:hAnsi="Times New Roman" w:cs="Times New Roman"/>
                <w:b/>
                <w:bCs/>
                <w:sz w:val="16"/>
                <w:szCs w:val="16"/>
              </w:rPr>
              <w:t>,</w:t>
            </w:r>
            <w:r w:rsidRPr="00280D90">
              <w:rPr>
                <w:rFonts w:ascii="Times New Roman" w:hAnsi="Times New Roman" w:cs="Times New Roman"/>
                <w:sz w:val="16"/>
                <w:szCs w:val="16"/>
              </w:rPr>
              <w:t xml:space="preserve"> and enhancing mentor teacher guidance. Explores innovations such as professional development school models, digital internships, case writing, and structured mentor training.</w:t>
            </w:r>
          </w:p>
        </w:tc>
        <w:tc>
          <w:tcPr>
            <w:tcW w:w="2844" w:type="dxa"/>
            <w:hideMark/>
          </w:tcPr>
          <w:p w14:paraId="20419BCD"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Placing the practicum at the center of teacher education fosters stronger school–university collaboration, with mentor training improving feedback, reflection, and theory–practice connections. Key challenges include the persistent theory–practice gap, uneven mentor preparation, reliance on outdated practices, resistance to innovation, and resource pressures. Success depends on authentic partnerships, structured supervision and mentor training, reflective and innovative practicum experiences, and institutional support for mentors.</w:t>
            </w:r>
          </w:p>
        </w:tc>
      </w:tr>
      <w:tr w:rsidR="0007560F" w:rsidRPr="00E5288F" w14:paraId="0516E71E"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tcPr>
          <w:p w14:paraId="5593D963"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23</w:t>
            </w:r>
          </w:p>
        </w:tc>
        <w:tc>
          <w:tcPr>
            <w:tcW w:w="900" w:type="dxa"/>
          </w:tcPr>
          <w:p w14:paraId="24078149" w14:textId="77777777" w:rsidR="0007560F" w:rsidRPr="00152DA6" w:rsidRDefault="0007560F" w:rsidP="003929BC">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_Ref212707672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[34]</w:t>
            </w:r>
            <w:r w:rsidRPr="00152DA6">
              <w:rPr>
                <w:rFonts w:ascii="Times New Roman" w:hAnsi="Times New Roman" w:cs="Times New Roman"/>
                <w:sz w:val="16"/>
                <w:szCs w:val="16"/>
              </w:rPr>
              <w:fldChar w:fldCharType="end"/>
            </w:r>
          </w:p>
        </w:tc>
        <w:tc>
          <w:tcPr>
            <w:tcW w:w="2160" w:type="dxa"/>
          </w:tcPr>
          <w:p w14:paraId="4EF78A96" w14:textId="77777777" w:rsidR="0007560F" w:rsidRPr="00152DA6"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South Africa; Qualitative case study (semi-structured interviews with teacher educators, mentor teachers, and pre-service teachers)</w:t>
            </w:r>
          </w:p>
        </w:tc>
        <w:tc>
          <w:tcPr>
            <w:tcW w:w="2911" w:type="dxa"/>
          </w:tcPr>
          <w:p w14:paraId="098C77C2"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Third-space school–university partnership: Teacher educators enacted multifaceted roles, evaluators of PST performance, communicators/mediators with schools, and reflective practitioners offering constructive feedback.</w:t>
            </w:r>
          </w:p>
        </w:tc>
        <w:tc>
          <w:tcPr>
            <w:tcW w:w="2844" w:type="dxa"/>
          </w:tcPr>
          <w:p w14:paraId="6CDB0A17" w14:textId="77777777" w:rsidR="0007560F" w:rsidRPr="00280D90"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80D90">
              <w:rPr>
                <w:rFonts w:ascii="Times New Roman" w:eastAsia="Times New Roman" w:hAnsi="Times New Roman" w:cs="Times New Roman"/>
                <w:kern w:val="0"/>
                <w:sz w:val="16"/>
                <w:szCs w:val="16"/>
                <w14:ligatures w14:val="none"/>
              </w:rPr>
              <w:t>Teacher educators helped bridge theory and practice, but their involvement was fragmented. Limited communication with mentor teachers and one-off school visits weakened collaboration. PSTs valued constructive critique, but a lack of clear role definitions between universities and schools left partnerships fragile. Sustainable improvement requires stronger guidelines, multiple visitations, transparent communication, and professional development schools to support shared responsibility and coherence between theory and practice.</w:t>
            </w:r>
          </w:p>
          <w:p w14:paraId="2A1F1289"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r w:rsidR="0007560F" w:rsidRPr="00E5288F" w14:paraId="29ADC137" w14:textId="77777777" w:rsidTr="003929BC">
        <w:tc>
          <w:tcPr>
            <w:cnfStyle w:val="001000000000" w:firstRow="0" w:lastRow="0" w:firstColumn="1" w:lastColumn="0" w:oddVBand="0" w:evenVBand="0" w:oddHBand="0" w:evenHBand="0" w:firstRowFirstColumn="0" w:firstRowLastColumn="0" w:lastRowFirstColumn="0" w:lastRowLastColumn="0"/>
            <w:tcW w:w="535" w:type="dxa"/>
            <w:hideMark/>
          </w:tcPr>
          <w:p w14:paraId="5AAD191A"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24</w:t>
            </w:r>
          </w:p>
        </w:tc>
        <w:tc>
          <w:tcPr>
            <w:tcW w:w="900" w:type="dxa"/>
          </w:tcPr>
          <w:p w14:paraId="3DA8E4EB" w14:textId="77777777" w:rsidR="0007560F" w:rsidRPr="00152DA6" w:rsidRDefault="0007560F" w:rsidP="003929BC">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_Ref212707105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[35]</w:t>
            </w:r>
            <w:r w:rsidRPr="00152DA6">
              <w:rPr>
                <w:rFonts w:ascii="Times New Roman" w:hAnsi="Times New Roman" w:cs="Times New Roman"/>
                <w:sz w:val="16"/>
                <w:szCs w:val="16"/>
              </w:rPr>
              <w:fldChar w:fldCharType="end"/>
            </w:r>
          </w:p>
        </w:tc>
        <w:tc>
          <w:tcPr>
            <w:tcW w:w="2160" w:type="dxa"/>
            <w:hideMark/>
          </w:tcPr>
          <w:p w14:paraId="1362E97C" w14:textId="77777777" w:rsidR="0007560F" w:rsidRPr="00152DA6"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 xml:space="preserve">Australia: Qualitative Case study methodology using </w:t>
            </w:r>
            <w:r w:rsidRPr="00152DA6">
              <w:rPr>
                <w:rStyle w:val="Strong"/>
                <w:rFonts w:ascii="Times New Roman" w:hAnsi="Times New Roman" w:cs="Times New Roman"/>
                <w:b w:val="0"/>
                <w:bCs w:val="0"/>
                <w:sz w:val="16"/>
                <w:szCs w:val="16"/>
              </w:rPr>
              <w:t xml:space="preserve">collaborative </w:t>
            </w:r>
            <w:r w:rsidRPr="00152DA6">
              <w:rPr>
                <w:rStyle w:val="Strong"/>
                <w:rFonts w:ascii="Times New Roman" w:hAnsi="Times New Roman" w:cs="Times New Roman"/>
                <w:b w:val="0"/>
                <w:bCs w:val="0"/>
                <w:sz w:val="16"/>
                <w:szCs w:val="16"/>
              </w:rPr>
              <w:lastRenderedPageBreak/>
              <w:t>autoethnography</w:t>
            </w:r>
            <w:r w:rsidRPr="00152DA6">
              <w:rPr>
                <w:rFonts w:ascii="Times New Roman" w:hAnsi="Times New Roman" w:cs="Times New Roman"/>
                <w:sz w:val="16"/>
                <w:szCs w:val="16"/>
              </w:rPr>
              <w:t>, involving both university staff and school-based stakeholders.</w:t>
            </w:r>
          </w:p>
        </w:tc>
        <w:tc>
          <w:tcPr>
            <w:tcW w:w="2911" w:type="dxa"/>
            <w:hideMark/>
          </w:tcPr>
          <w:p w14:paraId="54A3F2EB"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lastRenderedPageBreak/>
              <w:t xml:space="preserve">Long-term school–university partnership built on co-design and co-delivery of a professional experience course. Guided </w:t>
            </w:r>
            <w:r w:rsidRPr="00280D90">
              <w:rPr>
                <w:rFonts w:ascii="Times New Roman" w:hAnsi="Times New Roman" w:cs="Times New Roman"/>
                <w:sz w:val="16"/>
                <w:szCs w:val="16"/>
              </w:rPr>
              <w:lastRenderedPageBreak/>
              <w:t>by relational agency, it evolved into a community of practice characterized by collaboration, shared expertise, and the “5Cs” framework (commonalities, collaboration, coordination, communication, community).</w:t>
            </w:r>
          </w:p>
        </w:tc>
        <w:tc>
          <w:tcPr>
            <w:tcW w:w="2844" w:type="dxa"/>
            <w:hideMark/>
          </w:tcPr>
          <w:p w14:paraId="30AAF60B"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lastRenderedPageBreak/>
              <w:t xml:space="preserve">Partnership reduced the theory–practice divide by creating </w:t>
            </w:r>
            <w:r w:rsidRPr="00280D90">
              <w:rPr>
                <w:rStyle w:val="Strong"/>
                <w:rFonts w:ascii="Times New Roman" w:hAnsi="Times New Roman" w:cs="Times New Roman"/>
                <w:b w:val="0"/>
                <w:bCs w:val="0"/>
                <w:sz w:val="16"/>
                <w:szCs w:val="16"/>
              </w:rPr>
              <w:t>mutually beneficial and trusting relationships</w:t>
            </w:r>
            <w:r w:rsidRPr="00280D90">
              <w:rPr>
                <w:rFonts w:ascii="Times New Roman" w:hAnsi="Times New Roman" w:cs="Times New Roman"/>
                <w:sz w:val="16"/>
                <w:szCs w:val="16"/>
              </w:rPr>
              <w:t xml:space="preserve">. Influenced </w:t>
            </w:r>
            <w:r w:rsidRPr="00280D90">
              <w:rPr>
                <w:rStyle w:val="Strong"/>
                <w:rFonts w:ascii="Times New Roman" w:hAnsi="Times New Roman" w:cs="Times New Roman"/>
                <w:b w:val="0"/>
                <w:bCs w:val="0"/>
                <w:sz w:val="16"/>
                <w:szCs w:val="16"/>
              </w:rPr>
              <w:lastRenderedPageBreak/>
              <w:t>course design</w:t>
            </w:r>
            <w:r w:rsidRPr="00280D90">
              <w:rPr>
                <w:rFonts w:ascii="Times New Roman" w:hAnsi="Times New Roman" w:cs="Times New Roman"/>
                <w:b/>
                <w:bCs/>
                <w:sz w:val="16"/>
                <w:szCs w:val="16"/>
              </w:rPr>
              <w:t>,</w:t>
            </w:r>
            <w:r w:rsidRPr="00280D90">
              <w:rPr>
                <w:rFonts w:ascii="Times New Roman" w:hAnsi="Times New Roman" w:cs="Times New Roman"/>
                <w:sz w:val="16"/>
                <w:szCs w:val="16"/>
              </w:rPr>
              <w:t xml:space="preserve"> enhanced reflective opportunities, and increased coordination support. Brought unanticipated benefits, including expanded staff roles and institutional learning. Challenges included time constraints and balancing diverse expectations, but the collaborative framework sustained engagement. Demonstrated how </w:t>
            </w:r>
            <w:r w:rsidRPr="00280D90">
              <w:rPr>
                <w:rStyle w:val="Strong"/>
                <w:rFonts w:ascii="Times New Roman" w:hAnsi="Times New Roman" w:cs="Times New Roman"/>
                <w:b w:val="0"/>
                <w:bCs w:val="0"/>
                <w:sz w:val="16"/>
                <w:szCs w:val="16"/>
              </w:rPr>
              <w:t>shared relational agency</w:t>
            </w:r>
            <w:r w:rsidRPr="00280D90">
              <w:rPr>
                <w:rFonts w:ascii="Times New Roman" w:hAnsi="Times New Roman" w:cs="Times New Roman"/>
                <w:sz w:val="16"/>
                <w:szCs w:val="16"/>
              </w:rPr>
              <w:t xml:space="preserve"> can foster stronger professional identities for pre-service teachers and greater alignment between universities and schools</w:t>
            </w:r>
          </w:p>
        </w:tc>
      </w:tr>
      <w:tr w:rsidR="0007560F" w:rsidRPr="00E5288F" w14:paraId="2145B717"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hideMark/>
          </w:tcPr>
          <w:p w14:paraId="09DA1DD2"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lastRenderedPageBreak/>
              <w:t>25</w:t>
            </w:r>
          </w:p>
        </w:tc>
        <w:tc>
          <w:tcPr>
            <w:tcW w:w="900" w:type="dxa"/>
          </w:tcPr>
          <w:p w14:paraId="0FB6B5AB" w14:textId="77777777" w:rsidR="0007560F" w:rsidRPr="00152DA6" w:rsidRDefault="0007560F" w:rsidP="003929BC">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_Ref212707121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[36]</w:t>
            </w:r>
            <w:r w:rsidRPr="00152DA6">
              <w:rPr>
                <w:rFonts w:ascii="Times New Roman" w:hAnsi="Times New Roman" w:cs="Times New Roman"/>
                <w:sz w:val="16"/>
                <w:szCs w:val="16"/>
              </w:rPr>
              <w:fldChar w:fldCharType="end"/>
            </w:r>
          </w:p>
        </w:tc>
        <w:tc>
          <w:tcPr>
            <w:tcW w:w="2160" w:type="dxa"/>
            <w:hideMark/>
          </w:tcPr>
          <w:p w14:paraId="6F641352" w14:textId="77777777" w:rsidR="0007560F" w:rsidRPr="00152DA6"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Scotland; Qualitative case study (field notes, workshops, semi-structured interviews with secondary school teachers and university partners)</w:t>
            </w:r>
          </w:p>
        </w:tc>
        <w:tc>
          <w:tcPr>
            <w:tcW w:w="2911" w:type="dxa"/>
            <w:hideMark/>
          </w:tcPr>
          <w:p w14:paraId="6D462573"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Style w:val="Emphasis"/>
                <w:rFonts w:ascii="Times New Roman" w:hAnsi="Times New Roman" w:cs="Times New Roman"/>
                <w:i w:val="0"/>
                <w:iCs w:val="0"/>
                <w:sz w:val="16"/>
                <w:szCs w:val="16"/>
              </w:rPr>
              <w:t>School–university collaborative inquiry (Learning Rounds)</w:t>
            </w:r>
            <w:r w:rsidRPr="00280D90">
              <w:rPr>
                <w:rFonts w:ascii="Times New Roman" w:hAnsi="Times New Roman" w:cs="Times New Roman"/>
                <w:i/>
                <w:iCs/>
                <w:sz w:val="16"/>
                <w:szCs w:val="16"/>
              </w:rPr>
              <w:t>.</w:t>
            </w:r>
            <w:r w:rsidRPr="00280D90">
              <w:rPr>
                <w:rFonts w:ascii="Times New Roman" w:hAnsi="Times New Roman" w:cs="Times New Roman"/>
                <w:sz w:val="16"/>
                <w:szCs w:val="16"/>
              </w:rPr>
              <w:t xml:space="preserve"> University staff worked with teachers to co-facilitate cycles of peer observation, feedback, and professional learning, aligned with the school’s improvement agenda.</w:t>
            </w:r>
          </w:p>
        </w:tc>
        <w:tc>
          <w:tcPr>
            <w:tcW w:w="2844" w:type="dxa"/>
            <w:hideMark/>
          </w:tcPr>
          <w:p w14:paraId="3717A5F0"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The partnership supported teacher growth, fresh perspectives, and stronger inquiry practices, while enhancing dialogue and feedback. Challenges included asymmetric relationships, resource demands, and risks of reinforcing top-down expertise. Success depended on strong leadership, time for collaboration, structured facilitation, and fostering teacher agency and shared ownership.</w:t>
            </w:r>
          </w:p>
        </w:tc>
      </w:tr>
      <w:tr w:rsidR="0007560F" w:rsidRPr="00E5288F" w14:paraId="25A2E850" w14:textId="77777777" w:rsidTr="003929BC">
        <w:tc>
          <w:tcPr>
            <w:cnfStyle w:val="001000000000" w:firstRow="0" w:lastRow="0" w:firstColumn="1" w:lastColumn="0" w:oddVBand="0" w:evenVBand="0" w:oddHBand="0" w:evenHBand="0" w:firstRowFirstColumn="0" w:firstRowLastColumn="0" w:lastRowFirstColumn="0" w:lastRowLastColumn="0"/>
            <w:tcW w:w="535" w:type="dxa"/>
            <w:hideMark/>
          </w:tcPr>
          <w:p w14:paraId="0A8DAB1A"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26</w:t>
            </w:r>
          </w:p>
        </w:tc>
        <w:tc>
          <w:tcPr>
            <w:tcW w:w="900" w:type="dxa"/>
          </w:tcPr>
          <w:p w14:paraId="77E9AB54" w14:textId="77777777" w:rsidR="0007560F" w:rsidRPr="00152DA6" w:rsidRDefault="0007560F" w:rsidP="003929BC">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_Ref212706574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[39]</w:t>
            </w:r>
            <w:r w:rsidRPr="00152DA6">
              <w:rPr>
                <w:rFonts w:ascii="Times New Roman" w:hAnsi="Times New Roman" w:cs="Times New Roman"/>
                <w:sz w:val="16"/>
                <w:szCs w:val="16"/>
              </w:rPr>
              <w:fldChar w:fldCharType="end"/>
            </w:r>
            <w:r w:rsidRPr="00152DA6">
              <w:rPr>
                <w:rFonts w:ascii="Times New Roman" w:hAnsi="Times New Roman" w:cs="Times New Roman"/>
                <w:sz w:val="16"/>
                <w:szCs w:val="16"/>
              </w:rPr>
              <w:t>)</w:t>
            </w:r>
          </w:p>
        </w:tc>
        <w:tc>
          <w:tcPr>
            <w:tcW w:w="2160" w:type="dxa"/>
            <w:hideMark/>
          </w:tcPr>
          <w:p w14:paraId="5A5EC022" w14:textId="77777777" w:rsidR="0007560F" w:rsidRPr="00152DA6"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Austria; Conceptual mapping study (Partner School Program at University of Vienna, 36 cooperating schools, BA-level coursework</w:t>
            </w:r>
          </w:p>
        </w:tc>
        <w:tc>
          <w:tcPr>
            <w:tcW w:w="2911" w:type="dxa"/>
            <w:hideMark/>
          </w:tcPr>
          <w:p w14:paraId="7FFDB3B0" w14:textId="77777777" w:rsidR="0007560F" w:rsidRPr="00280D90" w:rsidRDefault="0007560F" w:rsidP="003929BC">
            <w:pPr>
              <w:pStyle w:val="NoSpacing"/>
              <w:ind w:firstLine="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Hybrid model integrating Community-Based Research, Project-Based Learning, and Service-Learning. Pre-service teachers engage in projects, research, or services co-designed with schools, embedded in curriculum, credit-bearing, and supported by guided reflection.</w:t>
            </w:r>
          </w:p>
        </w:tc>
        <w:tc>
          <w:tcPr>
            <w:tcW w:w="2844" w:type="dxa"/>
            <w:hideMark/>
          </w:tcPr>
          <w:p w14:paraId="42E350E3"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The program fostered reflective practice, research skills, autonomy, and civic engagement, while helping schools address practical challenges and strengthening mutual learning. Its main risks were short-term, fragmented projects and tensions over whether schools or students set priorities. Success depended on balanced, collaborative partnerships, structured reflection, adaptable methods, and strong guidance from teacher educators.</w:t>
            </w:r>
          </w:p>
        </w:tc>
      </w:tr>
      <w:tr w:rsidR="0007560F" w:rsidRPr="00E5288F" w14:paraId="3DB1F1B6"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 w:type="dxa"/>
            <w:hideMark/>
          </w:tcPr>
          <w:p w14:paraId="75B7025A"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27</w:t>
            </w:r>
          </w:p>
        </w:tc>
        <w:tc>
          <w:tcPr>
            <w:tcW w:w="900" w:type="dxa"/>
          </w:tcPr>
          <w:p w14:paraId="08E226DE" w14:textId="77777777" w:rsidR="0007560F" w:rsidRPr="00152DA6" w:rsidRDefault="0007560F" w:rsidP="003929BC">
            <w:pPr>
              <w:pStyle w:val="No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_Ref212706762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[40]</w:t>
            </w:r>
            <w:r w:rsidRPr="00152DA6">
              <w:rPr>
                <w:rFonts w:ascii="Times New Roman" w:hAnsi="Times New Roman" w:cs="Times New Roman"/>
                <w:sz w:val="16"/>
                <w:szCs w:val="16"/>
              </w:rPr>
              <w:fldChar w:fldCharType="end"/>
            </w:r>
          </w:p>
        </w:tc>
        <w:tc>
          <w:tcPr>
            <w:tcW w:w="2160" w:type="dxa"/>
            <w:hideMark/>
          </w:tcPr>
          <w:p w14:paraId="66F9C2FA" w14:textId="77777777" w:rsidR="0007560F" w:rsidRPr="00152DA6"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 xml:space="preserve">Canada; Qualitative Case study (interviews with mentor teachers and field notes)  </w:t>
            </w:r>
          </w:p>
        </w:tc>
        <w:tc>
          <w:tcPr>
            <w:tcW w:w="2911" w:type="dxa"/>
            <w:hideMark/>
          </w:tcPr>
          <w:p w14:paraId="16B9D0BB"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School–university hybrid partnership: Redesigned literacy course embedded in schools. Mentor teachers (MTs) and teacher candidates (TCs) worked in inquiry teams engaging in cycles of co-planning, co-teaching, and co-reflecting. Hybrid “third spaces” facilitated knowledge exchange, reciprocal mentorship, and collaborative inquiry.</w:t>
            </w:r>
          </w:p>
        </w:tc>
        <w:tc>
          <w:tcPr>
            <w:tcW w:w="2844" w:type="dxa"/>
            <w:hideMark/>
          </w:tcPr>
          <w:p w14:paraId="71895C97" w14:textId="77777777" w:rsidR="0007560F" w:rsidRPr="00280D90" w:rsidRDefault="0007560F" w:rsidP="003929BC">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Mentor teachers experienced reciprocal learning, reduced professional isolation, and safer conditions for risk-taking. They deepened theory–practice integration, developed stronger professional identities as mentors and learners, and enhanced confidence and agency. Witnessing teacher candidates’ innovative practices revitalized their pedagogy and opened equity-focused approaches. Tensions (time for planning/debriefing, role navigation, co-ownership of lessons) became productive learning opportunities. Sustainable success requires trust, collaboration, and institutional support.</w:t>
            </w:r>
          </w:p>
        </w:tc>
      </w:tr>
      <w:tr w:rsidR="0007560F" w:rsidRPr="00E5288F" w14:paraId="346CAC8E" w14:textId="77777777" w:rsidTr="003929BC">
        <w:tc>
          <w:tcPr>
            <w:cnfStyle w:val="001000000000" w:firstRow="0" w:lastRow="0" w:firstColumn="1" w:lastColumn="0" w:oddVBand="0" w:evenVBand="0" w:oddHBand="0" w:evenHBand="0" w:firstRowFirstColumn="0" w:firstRowLastColumn="0" w:lastRowFirstColumn="0" w:lastRowLastColumn="0"/>
            <w:tcW w:w="535" w:type="dxa"/>
            <w:hideMark/>
          </w:tcPr>
          <w:p w14:paraId="6E929979" w14:textId="77777777" w:rsidR="0007560F" w:rsidRPr="00152DA6" w:rsidRDefault="0007560F" w:rsidP="003929BC">
            <w:pPr>
              <w:pStyle w:val="NoSpacing"/>
              <w:jc w:val="center"/>
              <w:rPr>
                <w:rFonts w:ascii="Times New Roman" w:hAnsi="Times New Roman" w:cs="Times New Roman"/>
                <w:b w:val="0"/>
                <w:bCs w:val="0"/>
                <w:sz w:val="16"/>
                <w:szCs w:val="16"/>
              </w:rPr>
            </w:pPr>
            <w:r w:rsidRPr="00152DA6">
              <w:rPr>
                <w:rFonts w:ascii="Times New Roman" w:hAnsi="Times New Roman" w:cs="Times New Roman"/>
                <w:b w:val="0"/>
                <w:bCs w:val="0"/>
                <w:sz w:val="16"/>
                <w:szCs w:val="16"/>
              </w:rPr>
              <w:t>28</w:t>
            </w:r>
          </w:p>
        </w:tc>
        <w:tc>
          <w:tcPr>
            <w:tcW w:w="900" w:type="dxa"/>
          </w:tcPr>
          <w:p w14:paraId="0916A64E" w14:textId="77777777" w:rsidR="0007560F" w:rsidRPr="00152DA6" w:rsidRDefault="0007560F" w:rsidP="003929BC">
            <w:pPr>
              <w:pStyle w:val="No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fldChar w:fldCharType="begin"/>
            </w:r>
            <w:r w:rsidRPr="00152DA6">
              <w:rPr>
                <w:rFonts w:ascii="Times New Roman" w:hAnsi="Times New Roman" w:cs="Times New Roman"/>
                <w:sz w:val="16"/>
                <w:szCs w:val="16"/>
              </w:rPr>
              <w:instrText xml:space="preserve"> REF _Ref212706557 \r \h  \* MERGEFORMAT </w:instrText>
            </w:r>
            <w:r w:rsidRPr="00152DA6">
              <w:rPr>
                <w:rFonts w:ascii="Times New Roman" w:hAnsi="Times New Roman" w:cs="Times New Roman"/>
                <w:sz w:val="16"/>
                <w:szCs w:val="16"/>
              </w:rPr>
            </w:r>
            <w:r w:rsidRPr="00152DA6">
              <w:rPr>
                <w:rFonts w:ascii="Times New Roman" w:hAnsi="Times New Roman" w:cs="Times New Roman"/>
                <w:sz w:val="16"/>
                <w:szCs w:val="16"/>
              </w:rPr>
              <w:fldChar w:fldCharType="separate"/>
            </w:r>
            <w:r w:rsidRPr="00152DA6">
              <w:rPr>
                <w:rFonts w:ascii="Times New Roman" w:hAnsi="Times New Roman" w:cs="Times New Roman"/>
                <w:sz w:val="16"/>
                <w:szCs w:val="16"/>
              </w:rPr>
              <w:t>[46]</w:t>
            </w:r>
            <w:r w:rsidRPr="00152DA6">
              <w:rPr>
                <w:rFonts w:ascii="Times New Roman" w:hAnsi="Times New Roman" w:cs="Times New Roman"/>
                <w:sz w:val="16"/>
                <w:szCs w:val="16"/>
              </w:rPr>
              <w:fldChar w:fldCharType="end"/>
            </w:r>
          </w:p>
        </w:tc>
        <w:tc>
          <w:tcPr>
            <w:tcW w:w="2160" w:type="dxa"/>
            <w:hideMark/>
          </w:tcPr>
          <w:p w14:paraId="44F6AED1" w14:textId="77777777" w:rsidR="0007560F" w:rsidRPr="00152DA6"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152DA6">
              <w:rPr>
                <w:rFonts w:ascii="Times New Roman" w:hAnsi="Times New Roman" w:cs="Times New Roman"/>
                <w:sz w:val="16"/>
                <w:szCs w:val="16"/>
              </w:rPr>
              <w:t>Australia: conceptual/theoretical paper informed by literature analysis and empirical studies of mentoring (Australia and U.S. contexts). Draws on prior research into preservice teacher placements, teacher reluctance to mentor, and case examples of partnership models.</w:t>
            </w:r>
          </w:p>
        </w:tc>
        <w:tc>
          <w:tcPr>
            <w:tcW w:w="2911" w:type="dxa"/>
            <w:hideMark/>
          </w:tcPr>
          <w:p w14:paraId="469D4F68"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Redefines school–university partnerships as holistic, reciprocal professional learning communities. Goes beyond preservice practicum logistics to emphasize sustained, collaborative professional development for both school- and university-based educators.</w:t>
            </w:r>
          </w:p>
        </w:tc>
        <w:tc>
          <w:tcPr>
            <w:tcW w:w="2844" w:type="dxa"/>
            <w:hideMark/>
          </w:tcPr>
          <w:p w14:paraId="1BFC2D90" w14:textId="77777777" w:rsidR="0007560F" w:rsidRPr="00280D90" w:rsidRDefault="0007560F" w:rsidP="003929BC">
            <w:pPr>
              <w:pStyle w:val="No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280D90">
              <w:rPr>
                <w:rFonts w:ascii="Times New Roman" w:hAnsi="Times New Roman" w:cs="Times New Roman"/>
                <w:sz w:val="16"/>
                <w:szCs w:val="16"/>
              </w:rPr>
              <w:t>Teacher placement shortages stem from weak school–university partnerships. Many teachers avoid mentoring due to workload, lack of recognition, or confidence issues. Strong, reciprocal partnerships, built on trust, shared goals, and institutional support, can turn mentoring into a source of mutual growth, reflection, and collaboration. Sustainable models, like U.S. PDS and Australian initiatives, show that success requires time, resources, recognition, and roles that bridge school–university divides, though cultural and bureaucratic barriers remain.</w:t>
            </w:r>
          </w:p>
        </w:tc>
      </w:tr>
    </w:tbl>
    <w:p w14:paraId="482482C0" w14:textId="77777777" w:rsidR="0007560F" w:rsidRDefault="0007560F" w:rsidP="0007560F">
      <w:pPr>
        <w:rPr>
          <w:rFonts w:ascii="Times New Roman" w:hAnsi="Times New Roman" w:cs="Times New Roman"/>
          <w:sz w:val="18"/>
          <w:szCs w:val="18"/>
        </w:rPr>
      </w:pPr>
    </w:p>
    <w:p w14:paraId="3BB8DE4F" w14:textId="77777777" w:rsidR="0007560F" w:rsidRDefault="0007560F" w:rsidP="0007560F">
      <w:pPr>
        <w:rPr>
          <w:rFonts w:ascii="Times New Roman" w:hAnsi="Times New Roman" w:cs="Times New Roman"/>
          <w:sz w:val="18"/>
          <w:szCs w:val="18"/>
        </w:rPr>
      </w:pPr>
    </w:p>
    <w:p w14:paraId="3E355F61" w14:textId="77777777" w:rsidR="0007560F" w:rsidRDefault="0007560F" w:rsidP="0007560F">
      <w:pPr>
        <w:rPr>
          <w:rFonts w:ascii="Times New Roman" w:hAnsi="Times New Roman" w:cs="Times New Roman"/>
          <w:sz w:val="18"/>
          <w:szCs w:val="18"/>
        </w:rPr>
      </w:pPr>
    </w:p>
    <w:p w14:paraId="2098EE8C" w14:textId="77777777" w:rsidR="0007560F" w:rsidRDefault="0007560F" w:rsidP="0007560F">
      <w:pPr>
        <w:rPr>
          <w:rFonts w:ascii="Times New Roman" w:hAnsi="Times New Roman" w:cs="Times New Roman"/>
          <w:sz w:val="18"/>
          <w:szCs w:val="18"/>
        </w:rPr>
      </w:pPr>
    </w:p>
    <w:p w14:paraId="26043053" w14:textId="77777777" w:rsidR="0007560F" w:rsidRDefault="0007560F" w:rsidP="0007560F">
      <w:pPr>
        <w:rPr>
          <w:rFonts w:ascii="Times New Roman" w:hAnsi="Times New Roman" w:cs="Times New Roman"/>
          <w:sz w:val="18"/>
          <w:szCs w:val="18"/>
        </w:rPr>
      </w:pPr>
    </w:p>
    <w:p w14:paraId="09BEB43A" w14:textId="77777777" w:rsidR="0007560F" w:rsidRDefault="0007560F" w:rsidP="0007560F">
      <w:pPr>
        <w:rPr>
          <w:rFonts w:ascii="Times New Roman" w:hAnsi="Times New Roman" w:cs="Times New Roman"/>
          <w:sz w:val="18"/>
          <w:szCs w:val="18"/>
        </w:rPr>
      </w:pPr>
    </w:p>
    <w:p w14:paraId="7414C0E7" w14:textId="77777777" w:rsidR="0007560F" w:rsidRDefault="0007560F" w:rsidP="0007560F">
      <w:pPr>
        <w:rPr>
          <w:rFonts w:ascii="Times New Roman" w:hAnsi="Times New Roman" w:cs="Times New Roman"/>
          <w:sz w:val="18"/>
          <w:szCs w:val="18"/>
        </w:rPr>
      </w:pPr>
    </w:p>
    <w:p w14:paraId="5B3941B9" w14:textId="77777777" w:rsidR="0007560F" w:rsidRPr="002331EC" w:rsidRDefault="0007560F" w:rsidP="0007560F">
      <w:pPr>
        <w:rPr>
          <w:rFonts w:ascii="Times New Roman" w:hAnsi="Times New Roman" w:cs="Times New Roman"/>
          <w:sz w:val="16"/>
          <w:szCs w:val="16"/>
        </w:rPr>
      </w:pPr>
      <w:bookmarkStart w:id="0" w:name="_Hlk210655070"/>
      <w:r w:rsidRPr="002331EC">
        <w:rPr>
          <w:rFonts w:ascii="Times New Roman" w:hAnsi="Times New Roman" w:cs="Times New Roman"/>
          <w:b/>
          <w:bCs/>
          <w:sz w:val="16"/>
          <w:szCs w:val="16"/>
        </w:rPr>
        <w:t xml:space="preserve">Table 4. </w:t>
      </w:r>
      <w:r w:rsidRPr="002331EC">
        <w:rPr>
          <w:rFonts w:ascii="Times New Roman" w:hAnsi="Times New Roman" w:cs="Times New Roman"/>
          <w:sz w:val="16"/>
          <w:szCs w:val="16"/>
        </w:rPr>
        <w:t>Evidence Profile: Confidence in Review Findings (GRADE-CERQual)</w:t>
      </w:r>
    </w:p>
    <w:tbl>
      <w:tblPr>
        <w:tblStyle w:val="PlainTable2"/>
        <w:tblW w:w="0" w:type="auto"/>
        <w:tblLayout w:type="fixed"/>
        <w:tblLook w:val="04A0" w:firstRow="1" w:lastRow="0" w:firstColumn="1" w:lastColumn="0" w:noHBand="0" w:noVBand="1"/>
      </w:tblPr>
      <w:tblGrid>
        <w:gridCol w:w="1696"/>
        <w:gridCol w:w="1249"/>
        <w:gridCol w:w="1406"/>
        <w:gridCol w:w="1171"/>
        <w:gridCol w:w="1236"/>
        <w:gridCol w:w="1506"/>
        <w:gridCol w:w="1086"/>
      </w:tblGrid>
      <w:tr w:rsidR="0007560F" w:rsidRPr="002331EC" w14:paraId="1CC7E88C" w14:textId="77777777" w:rsidTr="003929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hideMark/>
          </w:tcPr>
          <w:p w14:paraId="3E9B2DF3" w14:textId="77777777" w:rsidR="0007560F" w:rsidRPr="002331EC" w:rsidRDefault="0007560F" w:rsidP="003929BC">
            <w:pPr>
              <w:jc w:val="center"/>
              <w:rPr>
                <w:rFonts w:ascii="Times New Roman" w:eastAsia="Times New Roman" w:hAnsi="Times New Roman" w:cs="Times New Roman"/>
                <w:b w:val="0"/>
                <w:bCs w:val="0"/>
                <w:kern w:val="0"/>
                <w:sz w:val="16"/>
                <w:szCs w:val="16"/>
                <w14:ligatures w14:val="none"/>
              </w:rPr>
            </w:pPr>
            <w:r w:rsidRPr="002331EC">
              <w:rPr>
                <w:rFonts w:ascii="Times New Roman" w:eastAsia="Times New Roman" w:hAnsi="Times New Roman" w:cs="Times New Roman"/>
                <w:b w:val="0"/>
                <w:bCs w:val="0"/>
                <w:kern w:val="0"/>
                <w:sz w:val="16"/>
                <w:szCs w:val="16"/>
                <w14:ligatures w14:val="none"/>
              </w:rPr>
              <w:t>Review Finding (Theme)</w:t>
            </w:r>
          </w:p>
        </w:tc>
        <w:tc>
          <w:tcPr>
            <w:tcW w:w="1249" w:type="dxa"/>
            <w:hideMark/>
          </w:tcPr>
          <w:p w14:paraId="623E91A7" w14:textId="77777777" w:rsidR="0007560F" w:rsidRPr="002331EC" w:rsidRDefault="0007560F" w:rsidP="003929B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6"/>
                <w:szCs w:val="16"/>
                <w14:ligatures w14:val="none"/>
              </w:rPr>
            </w:pPr>
            <w:r w:rsidRPr="002331EC">
              <w:rPr>
                <w:rFonts w:ascii="Times New Roman" w:eastAsia="Times New Roman" w:hAnsi="Times New Roman" w:cs="Times New Roman"/>
                <w:b w:val="0"/>
                <w:bCs w:val="0"/>
                <w:kern w:val="0"/>
                <w:sz w:val="16"/>
                <w:szCs w:val="16"/>
                <w14:ligatures w14:val="none"/>
              </w:rPr>
              <w:t>Contributing Studies (n)</w:t>
            </w:r>
          </w:p>
        </w:tc>
        <w:tc>
          <w:tcPr>
            <w:tcW w:w="1406" w:type="dxa"/>
            <w:hideMark/>
          </w:tcPr>
          <w:p w14:paraId="15668D5C" w14:textId="77777777" w:rsidR="0007560F" w:rsidRPr="002331EC" w:rsidRDefault="0007560F" w:rsidP="003929B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6"/>
                <w:szCs w:val="16"/>
                <w14:ligatures w14:val="none"/>
              </w:rPr>
            </w:pPr>
            <w:r w:rsidRPr="002331EC">
              <w:rPr>
                <w:rFonts w:ascii="Times New Roman" w:eastAsia="Times New Roman" w:hAnsi="Times New Roman" w:cs="Times New Roman"/>
                <w:b w:val="0"/>
                <w:bCs w:val="0"/>
                <w:kern w:val="0"/>
                <w:sz w:val="16"/>
                <w:szCs w:val="16"/>
                <w14:ligatures w14:val="none"/>
              </w:rPr>
              <w:t>Methodological Limitations</w:t>
            </w:r>
          </w:p>
        </w:tc>
        <w:tc>
          <w:tcPr>
            <w:tcW w:w="1171" w:type="dxa"/>
            <w:hideMark/>
          </w:tcPr>
          <w:p w14:paraId="1A49C629" w14:textId="77777777" w:rsidR="0007560F" w:rsidRPr="002331EC" w:rsidRDefault="0007560F" w:rsidP="003929B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6"/>
                <w:szCs w:val="16"/>
                <w14:ligatures w14:val="none"/>
              </w:rPr>
            </w:pPr>
            <w:r w:rsidRPr="002331EC">
              <w:rPr>
                <w:rFonts w:ascii="Times New Roman" w:eastAsia="Times New Roman" w:hAnsi="Times New Roman" w:cs="Times New Roman"/>
                <w:b w:val="0"/>
                <w:bCs w:val="0"/>
                <w:kern w:val="0"/>
                <w:sz w:val="16"/>
                <w:szCs w:val="16"/>
                <w14:ligatures w14:val="none"/>
              </w:rPr>
              <w:t>Coherence</w:t>
            </w:r>
          </w:p>
        </w:tc>
        <w:tc>
          <w:tcPr>
            <w:tcW w:w="1236" w:type="dxa"/>
            <w:hideMark/>
          </w:tcPr>
          <w:p w14:paraId="1B43CE2A" w14:textId="77777777" w:rsidR="0007560F" w:rsidRPr="002331EC" w:rsidRDefault="0007560F" w:rsidP="003929B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6"/>
                <w:szCs w:val="16"/>
                <w14:ligatures w14:val="none"/>
              </w:rPr>
            </w:pPr>
            <w:r w:rsidRPr="002331EC">
              <w:rPr>
                <w:rFonts w:ascii="Times New Roman" w:eastAsia="Times New Roman" w:hAnsi="Times New Roman" w:cs="Times New Roman"/>
                <w:b w:val="0"/>
                <w:bCs w:val="0"/>
                <w:kern w:val="0"/>
                <w:sz w:val="16"/>
                <w:szCs w:val="16"/>
                <w14:ligatures w14:val="none"/>
              </w:rPr>
              <w:t>Adequacy of Data</w:t>
            </w:r>
          </w:p>
        </w:tc>
        <w:tc>
          <w:tcPr>
            <w:tcW w:w="1506" w:type="dxa"/>
            <w:hideMark/>
          </w:tcPr>
          <w:p w14:paraId="1348EEBD" w14:textId="77777777" w:rsidR="0007560F" w:rsidRPr="002331EC" w:rsidRDefault="0007560F" w:rsidP="003929B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6"/>
                <w:szCs w:val="16"/>
                <w14:ligatures w14:val="none"/>
              </w:rPr>
            </w:pPr>
            <w:r w:rsidRPr="002331EC">
              <w:rPr>
                <w:rFonts w:ascii="Times New Roman" w:eastAsia="Times New Roman" w:hAnsi="Times New Roman" w:cs="Times New Roman"/>
                <w:b w:val="0"/>
                <w:bCs w:val="0"/>
                <w:kern w:val="0"/>
                <w:sz w:val="16"/>
                <w:szCs w:val="16"/>
                <w14:ligatures w14:val="none"/>
              </w:rPr>
              <w:t>Relevance</w:t>
            </w:r>
          </w:p>
        </w:tc>
        <w:tc>
          <w:tcPr>
            <w:tcW w:w="1086" w:type="dxa"/>
            <w:hideMark/>
          </w:tcPr>
          <w:p w14:paraId="6FFB7517" w14:textId="77777777" w:rsidR="0007560F" w:rsidRPr="002331EC" w:rsidRDefault="0007560F" w:rsidP="003929B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6"/>
                <w:szCs w:val="16"/>
                <w14:ligatures w14:val="none"/>
              </w:rPr>
            </w:pPr>
            <w:r w:rsidRPr="002331EC">
              <w:rPr>
                <w:rFonts w:ascii="Times New Roman" w:eastAsia="Times New Roman" w:hAnsi="Times New Roman" w:cs="Times New Roman"/>
                <w:b w:val="0"/>
                <w:bCs w:val="0"/>
                <w:kern w:val="0"/>
                <w:sz w:val="16"/>
                <w:szCs w:val="16"/>
                <w14:ligatures w14:val="none"/>
              </w:rPr>
              <w:t>Overall Confidence</w:t>
            </w:r>
          </w:p>
        </w:tc>
      </w:tr>
      <w:tr w:rsidR="0007560F" w:rsidRPr="002331EC" w14:paraId="3DAAA514"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hideMark/>
          </w:tcPr>
          <w:p w14:paraId="3C30F9A2" w14:textId="77777777" w:rsidR="0007560F" w:rsidRPr="002331EC" w:rsidRDefault="0007560F" w:rsidP="003929BC">
            <w:pPr>
              <w:rPr>
                <w:rFonts w:ascii="Times New Roman" w:eastAsia="Times New Roman" w:hAnsi="Times New Roman" w:cs="Times New Roman"/>
                <w:b w:val="0"/>
                <w:bCs w:val="0"/>
                <w:kern w:val="0"/>
                <w:sz w:val="16"/>
                <w:szCs w:val="16"/>
                <w14:ligatures w14:val="none"/>
              </w:rPr>
            </w:pPr>
            <w:r w:rsidRPr="002331EC">
              <w:rPr>
                <w:rFonts w:ascii="Times New Roman" w:eastAsia="Times New Roman" w:hAnsi="Times New Roman" w:cs="Times New Roman"/>
                <w:b w:val="0"/>
                <w:bCs w:val="0"/>
                <w:kern w:val="0"/>
                <w:sz w:val="16"/>
                <w:szCs w:val="16"/>
                <w14:ligatures w14:val="none"/>
              </w:rPr>
              <w:t>1. Mentorship, Reflection, and the Theory–Practice Nexus (mentors modeling practice, scaffolding reflection, easing transitions into teaching)</w:t>
            </w:r>
          </w:p>
        </w:tc>
        <w:tc>
          <w:tcPr>
            <w:tcW w:w="1249" w:type="dxa"/>
            <w:hideMark/>
          </w:tcPr>
          <w:p w14:paraId="3DE58D39"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12</w:t>
            </w:r>
          </w:p>
        </w:tc>
        <w:tc>
          <w:tcPr>
            <w:tcW w:w="1406" w:type="dxa"/>
            <w:hideMark/>
          </w:tcPr>
          <w:p w14:paraId="2A67A797"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Moderate: Several studies relied on self-reported data without triangulation.</w:t>
            </w:r>
          </w:p>
        </w:tc>
        <w:tc>
          <w:tcPr>
            <w:tcW w:w="1171" w:type="dxa"/>
            <w:hideMark/>
          </w:tcPr>
          <w:p w14:paraId="65950433"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High: consistent evidence across diverse contexts.</w:t>
            </w:r>
          </w:p>
        </w:tc>
        <w:tc>
          <w:tcPr>
            <w:tcW w:w="1236" w:type="dxa"/>
            <w:hideMark/>
          </w:tcPr>
          <w:p w14:paraId="20CF0926"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Substantial: a large body of qualitative cases; one small RCT supported findings.</w:t>
            </w:r>
          </w:p>
        </w:tc>
        <w:tc>
          <w:tcPr>
            <w:tcW w:w="1506" w:type="dxa"/>
            <w:hideMark/>
          </w:tcPr>
          <w:p w14:paraId="419EAA81"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High: directly tied to preservice practicum in partnerships.</w:t>
            </w:r>
          </w:p>
        </w:tc>
        <w:tc>
          <w:tcPr>
            <w:tcW w:w="1086" w:type="dxa"/>
            <w:hideMark/>
          </w:tcPr>
          <w:p w14:paraId="7EFFFD70"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High</w:t>
            </w:r>
            <w:r>
              <w:rPr>
                <w:rFonts w:ascii="Times New Roman" w:eastAsia="Times New Roman" w:hAnsi="Times New Roman" w:cs="Times New Roman"/>
                <w:kern w:val="0"/>
                <w:sz w:val="16"/>
                <w:szCs w:val="16"/>
                <w14:ligatures w14:val="none"/>
              </w:rPr>
              <w:t xml:space="preserve"> to Moderate </w:t>
            </w:r>
          </w:p>
        </w:tc>
      </w:tr>
      <w:tr w:rsidR="0007560F" w:rsidRPr="002331EC" w14:paraId="52C8CEA8" w14:textId="77777777" w:rsidTr="003929BC">
        <w:tc>
          <w:tcPr>
            <w:cnfStyle w:val="001000000000" w:firstRow="0" w:lastRow="0" w:firstColumn="1" w:lastColumn="0" w:oddVBand="0" w:evenVBand="0" w:oddHBand="0" w:evenHBand="0" w:firstRowFirstColumn="0" w:firstRowLastColumn="0" w:lastRowFirstColumn="0" w:lastRowLastColumn="0"/>
            <w:tcW w:w="1696" w:type="dxa"/>
            <w:hideMark/>
          </w:tcPr>
          <w:p w14:paraId="568BBF9D" w14:textId="77777777" w:rsidR="0007560F" w:rsidRPr="002331EC" w:rsidRDefault="0007560F" w:rsidP="003929BC">
            <w:pPr>
              <w:rPr>
                <w:rFonts w:ascii="Times New Roman" w:eastAsia="Times New Roman" w:hAnsi="Times New Roman" w:cs="Times New Roman"/>
                <w:b w:val="0"/>
                <w:bCs w:val="0"/>
                <w:kern w:val="0"/>
                <w:sz w:val="16"/>
                <w:szCs w:val="16"/>
                <w14:ligatures w14:val="none"/>
              </w:rPr>
            </w:pPr>
            <w:r w:rsidRPr="002331EC">
              <w:rPr>
                <w:rFonts w:ascii="Times New Roman" w:eastAsia="Times New Roman" w:hAnsi="Times New Roman" w:cs="Times New Roman"/>
                <w:b w:val="0"/>
                <w:bCs w:val="0"/>
                <w:kern w:val="0"/>
                <w:sz w:val="16"/>
                <w:szCs w:val="16"/>
                <w14:ligatures w14:val="none"/>
              </w:rPr>
              <w:t>2. Professional Identity Formation (developing teacher identity, confidence, and sense of belonging)</w:t>
            </w:r>
          </w:p>
        </w:tc>
        <w:tc>
          <w:tcPr>
            <w:tcW w:w="1249" w:type="dxa"/>
            <w:hideMark/>
          </w:tcPr>
          <w:p w14:paraId="4A42D196" w14:textId="77777777" w:rsidR="0007560F" w:rsidRPr="002331EC" w:rsidRDefault="0007560F" w:rsidP="003929B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12</w:t>
            </w:r>
          </w:p>
        </w:tc>
        <w:tc>
          <w:tcPr>
            <w:tcW w:w="1406" w:type="dxa"/>
            <w:hideMark/>
          </w:tcPr>
          <w:p w14:paraId="006F4262" w14:textId="77777777" w:rsidR="0007560F" w:rsidRPr="002331EC" w:rsidRDefault="0007560F" w:rsidP="003929B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Moderate: mostly qualitative, some limited by short duration.</w:t>
            </w:r>
          </w:p>
        </w:tc>
        <w:tc>
          <w:tcPr>
            <w:tcW w:w="1171" w:type="dxa"/>
            <w:hideMark/>
          </w:tcPr>
          <w:p w14:paraId="475269BD" w14:textId="77777777" w:rsidR="0007560F" w:rsidRPr="002331EC" w:rsidRDefault="0007560F" w:rsidP="003929B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Moderate to High: strong convergence but some divergent accounts (e.g., identity tensions).</w:t>
            </w:r>
          </w:p>
        </w:tc>
        <w:tc>
          <w:tcPr>
            <w:tcW w:w="1236" w:type="dxa"/>
            <w:hideMark/>
          </w:tcPr>
          <w:p w14:paraId="3FAF6415" w14:textId="77777777" w:rsidR="0007560F" w:rsidRPr="002331EC" w:rsidRDefault="0007560F" w:rsidP="003929B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Moderate: data spread across cases; no longitudinal evidence.</w:t>
            </w:r>
          </w:p>
        </w:tc>
        <w:tc>
          <w:tcPr>
            <w:tcW w:w="1506" w:type="dxa"/>
            <w:hideMark/>
          </w:tcPr>
          <w:p w14:paraId="469F5890" w14:textId="77777777" w:rsidR="0007560F" w:rsidRPr="002331EC" w:rsidRDefault="0007560F" w:rsidP="003929B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High: consistently linked to preservice practicum contexts.</w:t>
            </w:r>
          </w:p>
        </w:tc>
        <w:tc>
          <w:tcPr>
            <w:tcW w:w="1086" w:type="dxa"/>
            <w:hideMark/>
          </w:tcPr>
          <w:p w14:paraId="6A156B78" w14:textId="77777777" w:rsidR="0007560F" w:rsidRPr="002331EC" w:rsidRDefault="0007560F" w:rsidP="003929BC">
            <w:pPr>
              <w:cnfStyle w:val="000000000000" w:firstRow="0" w:lastRow="0" w:firstColumn="0" w:lastColumn="0" w:oddVBand="0" w:evenVBand="0" w:oddHBand="0" w:evenHBand="0" w:firstRowFirstColumn="0" w:firstRowLastColumn="0" w:lastRowFirstColumn="0" w:lastRowLastColumn="0"/>
            </w:pPr>
            <w:r w:rsidRPr="002331EC">
              <w:rPr>
                <w:rFonts w:ascii="Times New Roman" w:eastAsia="Times New Roman" w:hAnsi="Times New Roman" w:cs="Times New Roman"/>
                <w:kern w:val="0"/>
                <w:sz w:val="16"/>
                <w:szCs w:val="16"/>
                <w14:ligatures w14:val="none"/>
              </w:rPr>
              <w:t xml:space="preserve">High to </w:t>
            </w:r>
            <w:r>
              <w:rPr>
                <w:rFonts w:ascii="Times New Roman" w:eastAsia="Times New Roman" w:hAnsi="Times New Roman" w:cs="Times New Roman"/>
                <w:kern w:val="0"/>
                <w:sz w:val="16"/>
                <w:szCs w:val="16"/>
                <w14:ligatures w14:val="none"/>
              </w:rPr>
              <w:t xml:space="preserve">Moderate </w:t>
            </w:r>
          </w:p>
        </w:tc>
      </w:tr>
      <w:tr w:rsidR="0007560F" w:rsidRPr="002331EC" w14:paraId="19815662"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hideMark/>
          </w:tcPr>
          <w:p w14:paraId="7CACEABB" w14:textId="77777777" w:rsidR="0007560F" w:rsidRPr="002331EC" w:rsidRDefault="0007560F" w:rsidP="003929BC">
            <w:pPr>
              <w:rPr>
                <w:rFonts w:ascii="Times New Roman" w:eastAsia="Times New Roman" w:hAnsi="Times New Roman" w:cs="Times New Roman"/>
                <w:b w:val="0"/>
                <w:bCs w:val="0"/>
                <w:kern w:val="0"/>
                <w:sz w:val="16"/>
                <w:szCs w:val="16"/>
                <w14:ligatures w14:val="none"/>
              </w:rPr>
            </w:pPr>
            <w:r w:rsidRPr="002331EC">
              <w:rPr>
                <w:rFonts w:ascii="Times New Roman" w:eastAsia="Times New Roman" w:hAnsi="Times New Roman" w:cs="Times New Roman"/>
                <w:b w:val="0"/>
                <w:bCs w:val="0"/>
                <w:kern w:val="0"/>
                <w:sz w:val="16"/>
                <w:szCs w:val="16"/>
                <w14:ligatures w14:val="none"/>
              </w:rPr>
              <w:t>3. Innovation, Mutual Learning, and Systemic Impact (partnerships enabling innovation, co-learning, influencing schools/universities)</w:t>
            </w:r>
          </w:p>
        </w:tc>
        <w:tc>
          <w:tcPr>
            <w:tcW w:w="1249" w:type="dxa"/>
            <w:hideMark/>
          </w:tcPr>
          <w:p w14:paraId="10B5F0C3"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12</w:t>
            </w:r>
          </w:p>
        </w:tc>
        <w:tc>
          <w:tcPr>
            <w:tcW w:w="1406" w:type="dxa"/>
            <w:hideMark/>
          </w:tcPr>
          <w:p w14:paraId="2EE220D0"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Moderate to Serious: Several conceptual papers lacked empirical grounding.</w:t>
            </w:r>
          </w:p>
        </w:tc>
        <w:tc>
          <w:tcPr>
            <w:tcW w:w="1171" w:type="dxa"/>
            <w:hideMark/>
          </w:tcPr>
          <w:p w14:paraId="34119957"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Moderate: themes aligned, but strength varied by study type.</w:t>
            </w:r>
          </w:p>
        </w:tc>
        <w:tc>
          <w:tcPr>
            <w:tcW w:w="1236" w:type="dxa"/>
            <w:hideMark/>
          </w:tcPr>
          <w:p w14:paraId="223466EA"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Limited: relatively small empirical base; conceptual work broadened framing.</w:t>
            </w:r>
          </w:p>
        </w:tc>
        <w:tc>
          <w:tcPr>
            <w:tcW w:w="1506" w:type="dxa"/>
            <w:hideMark/>
          </w:tcPr>
          <w:p w14:paraId="4F5CDD59"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Moderate: more evidence from Western/OECD contexts than Global South.</w:t>
            </w:r>
          </w:p>
        </w:tc>
        <w:tc>
          <w:tcPr>
            <w:tcW w:w="1086" w:type="dxa"/>
            <w:hideMark/>
          </w:tcPr>
          <w:p w14:paraId="38A47DF8"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Moderate</w:t>
            </w:r>
          </w:p>
        </w:tc>
      </w:tr>
      <w:tr w:rsidR="0007560F" w:rsidRPr="002331EC" w14:paraId="5736BD96" w14:textId="77777777" w:rsidTr="003929BC">
        <w:tc>
          <w:tcPr>
            <w:cnfStyle w:val="001000000000" w:firstRow="0" w:lastRow="0" w:firstColumn="1" w:lastColumn="0" w:oddVBand="0" w:evenVBand="0" w:oddHBand="0" w:evenHBand="0" w:firstRowFirstColumn="0" w:firstRowLastColumn="0" w:lastRowFirstColumn="0" w:lastRowLastColumn="0"/>
            <w:tcW w:w="1696" w:type="dxa"/>
            <w:hideMark/>
          </w:tcPr>
          <w:p w14:paraId="11DBA56D" w14:textId="77777777" w:rsidR="0007560F" w:rsidRPr="002331EC" w:rsidRDefault="0007560F" w:rsidP="003929BC">
            <w:pPr>
              <w:rPr>
                <w:rFonts w:ascii="Times New Roman" w:eastAsia="Times New Roman" w:hAnsi="Times New Roman" w:cs="Times New Roman"/>
                <w:b w:val="0"/>
                <w:bCs w:val="0"/>
                <w:kern w:val="0"/>
                <w:sz w:val="16"/>
                <w:szCs w:val="16"/>
                <w14:ligatures w14:val="none"/>
              </w:rPr>
            </w:pPr>
            <w:r w:rsidRPr="002331EC">
              <w:rPr>
                <w:rFonts w:ascii="Times New Roman" w:eastAsia="Times New Roman" w:hAnsi="Times New Roman" w:cs="Times New Roman"/>
                <w:b w:val="0"/>
                <w:bCs w:val="0"/>
                <w:kern w:val="0"/>
                <w:sz w:val="16"/>
                <w:szCs w:val="16"/>
                <w14:ligatures w14:val="none"/>
              </w:rPr>
              <w:t>4. Global and Contextual Perspectives on Partnership Models (cultural, institutional, policy variations shaping partnerships)</w:t>
            </w:r>
          </w:p>
        </w:tc>
        <w:tc>
          <w:tcPr>
            <w:tcW w:w="1249" w:type="dxa"/>
            <w:hideMark/>
          </w:tcPr>
          <w:p w14:paraId="32660670" w14:textId="77777777" w:rsidR="0007560F" w:rsidRPr="002331EC" w:rsidRDefault="0007560F" w:rsidP="003929B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13</w:t>
            </w:r>
          </w:p>
        </w:tc>
        <w:tc>
          <w:tcPr>
            <w:tcW w:w="1406" w:type="dxa"/>
            <w:hideMark/>
          </w:tcPr>
          <w:p w14:paraId="0F11C73D" w14:textId="77777777" w:rsidR="0007560F" w:rsidRPr="002331EC" w:rsidRDefault="0007560F" w:rsidP="003929B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Moderate: contextually rich but varied rigor across cases.</w:t>
            </w:r>
          </w:p>
        </w:tc>
        <w:tc>
          <w:tcPr>
            <w:tcW w:w="1171" w:type="dxa"/>
            <w:hideMark/>
          </w:tcPr>
          <w:p w14:paraId="38152CC1" w14:textId="77777777" w:rsidR="0007560F" w:rsidRPr="002331EC" w:rsidRDefault="0007560F" w:rsidP="003929B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Moderate: some convergence, but models differ substantially by country.</w:t>
            </w:r>
          </w:p>
        </w:tc>
        <w:tc>
          <w:tcPr>
            <w:tcW w:w="1236" w:type="dxa"/>
            <w:hideMark/>
          </w:tcPr>
          <w:p w14:paraId="1F62A76E" w14:textId="77777777" w:rsidR="0007560F" w:rsidRPr="002331EC" w:rsidRDefault="0007560F" w:rsidP="003929B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Limited: uneven representation (few non-Western studies).</w:t>
            </w:r>
          </w:p>
        </w:tc>
        <w:tc>
          <w:tcPr>
            <w:tcW w:w="1506" w:type="dxa"/>
            <w:hideMark/>
          </w:tcPr>
          <w:p w14:paraId="26BDED18" w14:textId="77777777" w:rsidR="0007560F" w:rsidRPr="002331EC" w:rsidRDefault="0007560F" w:rsidP="003929B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Moderate: some regions are underrepresented; limits generalizability.</w:t>
            </w:r>
          </w:p>
        </w:tc>
        <w:tc>
          <w:tcPr>
            <w:tcW w:w="1086" w:type="dxa"/>
            <w:hideMark/>
          </w:tcPr>
          <w:p w14:paraId="5F3D8C28" w14:textId="77777777" w:rsidR="0007560F" w:rsidRPr="002331EC" w:rsidRDefault="0007560F" w:rsidP="003929B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Low to Moderate</w:t>
            </w:r>
          </w:p>
        </w:tc>
      </w:tr>
      <w:tr w:rsidR="0007560F" w:rsidRPr="002331EC" w14:paraId="60E465B5" w14:textId="77777777" w:rsidTr="003929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hideMark/>
          </w:tcPr>
          <w:p w14:paraId="6A140246" w14:textId="77777777" w:rsidR="0007560F" w:rsidRPr="002331EC" w:rsidRDefault="0007560F" w:rsidP="003929BC">
            <w:pPr>
              <w:rPr>
                <w:rFonts w:ascii="Times New Roman" w:eastAsia="Times New Roman" w:hAnsi="Times New Roman" w:cs="Times New Roman"/>
                <w:b w:val="0"/>
                <w:bCs w:val="0"/>
                <w:kern w:val="0"/>
                <w:sz w:val="16"/>
                <w:szCs w:val="16"/>
                <w14:ligatures w14:val="none"/>
              </w:rPr>
            </w:pPr>
            <w:r w:rsidRPr="002331EC">
              <w:rPr>
                <w:rFonts w:ascii="Times New Roman" w:eastAsia="Times New Roman" w:hAnsi="Times New Roman" w:cs="Times New Roman"/>
                <w:b w:val="0"/>
                <w:bCs w:val="0"/>
                <w:kern w:val="0"/>
                <w:sz w:val="16"/>
                <w:szCs w:val="16"/>
                <w14:ligatures w14:val="none"/>
              </w:rPr>
              <w:t>5. Challenges and Strategies for Effective Partnerships (power hierarchies, resource constraints, mentor preparation, sustainability strategies)</w:t>
            </w:r>
          </w:p>
        </w:tc>
        <w:tc>
          <w:tcPr>
            <w:tcW w:w="1249" w:type="dxa"/>
            <w:hideMark/>
          </w:tcPr>
          <w:p w14:paraId="1CA82F05"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16</w:t>
            </w:r>
          </w:p>
        </w:tc>
        <w:tc>
          <w:tcPr>
            <w:tcW w:w="1406" w:type="dxa"/>
            <w:hideMark/>
          </w:tcPr>
          <w:p w14:paraId="7B208265"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Moderate: Some studies are anecdotal or reflective.</w:t>
            </w:r>
          </w:p>
        </w:tc>
        <w:tc>
          <w:tcPr>
            <w:tcW w:w="1171" w:type="dxa"/>
            <w:hideMark/>
          </w:tcPr>
          <w:p w14:paraId="293743A5"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High: challenges were consistently reported across contexts.</w:t>
            </w:r>
          </w:p>
        </w:tc>
        <w:tc>
          <w:tcPr>
            <w:tcW w:w="1236" w:type="dxa"/>
            <w:hideMark/>
          </w:tcPr>
          <w:p w14:paraId="482ADA99"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Moderate: multiple data sources, though often small-scale.</w:t>
            </w:r>
          </w:p>
        </w:tc>
        <w:tc>
          <w:tcPr>
            <w:tcW w:w="1506" w:type="dxa"/>
            <w:hideMark/>
          </w:tcPr>
          <w:p w14:paraId="2F10E844"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High: findings directly relevant to practicum partnerships.</w:t>
            </w:r>
          </w:p>
        </w:tc>
        <w:tc>
          <w:tcPr>
            <w:tcW w:w="1086" w:type="dxa"/>
            <w:hideMark/>
          </w:tcPr>
          <w:p w14:paraId="36AB3386" w14:textId="77777777" w:rsidR="0007560F" w:rsidRPr="002331EC" w:rsidRDefault="0007560F" w:rsidP="003929B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6"/>
                <w:szCs w:val="16"/>
                <w14:ligatures w14:val="none"/>
              </w:rPr>
            </w:pPr>
            <w:r w:rsidRPr="002331EC">
              <w:rPr>
                <w:rFonts w:ascii="Times New Roman" w:eastAsia="Times New Roman" w:hAnsi="Times New Roman" w:cs="Times New Roman"/>
                <w:kern w:val="0"/>
                <w:sz w:val="16"/>
                <w:szCs w:val="16"/>
                <w14:ligatures w14:val="none"/>
              </w:rPr>
              <w:t>Moderate to High</w:t>
            </w:r>
          </w:p>
        </w:tc>
      </w:tr>
    </w:tbl>
    <w:p w14:paraId="351EBC47" w14:textId="77777777" w:rsidR="0007560F" w:rsidRPr="00E5288F" w:rsidRDefault="0007560F" w:rsidP="0007560F">
      <w:pPr>
        <w:pStyle w:val="NoSpacing"/>
        <w:spacing w:line="480" w:lineRule="auto"/>
        <w:rPr>
          <w:rStyle w:val="Strong"/>
          <w:rFonts w:ascii="Times New Roman" w:hAnsi="Times New Roman" w:cs="Times New Roman"/>
          <w:sz w:val="18"/>
          <w:szCs w:val="18"/>
        </w:rPr>
      </w:pPr>
    </w:p>
    <w:p w14:paraId="7729BC5E" w14:textId="77777777" w:rsidR="0007560F" w:rsidRPr="00E5288F" w:rsidRDefault="0007560F" w:rsidP="0007560F">
      <w:pPr>
        <w:pStyle w:val="NoSpacing"/>
        <w:spacing w:line="480" w:lineRule="auto"/>
        <w:rPr>
          <w:rFonts w:ascii="Times New Roman" w:hAnsi="Times New Roman" w:cs="Times New Roman"/>
          <w:i/>
          <w:iCs/>
          <w:sz w:val="18"/>
          <w:szCs w:val="18"/>
        </w:rPr>
      </w:pPr>
      <w:r w:rsidRPr="00E5288F">
        <w:rPr>
          <w:rStyle w:val="Strong"/>
          <w:rFonts w:ascii="Times New Roman" w:hAnsi="Times New Roman" w:cs="Times New Roman"/>
          <w:sz w:val="18"/>
          <w:szCs w:val="18"/>
        </w:rPr>
        <w:lastRenderedPageBreak/>
        <w:t>Note:</w:t>
      </w:r>
      <w:r w:rsidRPr="00E5288F">
        <w:rPr>
          <w:rFonts w:ascii="Times New Roman" w:hAnsi="Times New Roman" w:cs="Times New Roman"/>
          <w:sz w:val="18"/>
          <w:szCs w:val="18"/>
        </w:rPr>
        <w:t xml:space="preserve"> The </w:t>
      </w:r>
      <w:r w:rsidRPr="00E5288F">
        <w:rPr>
          <w:rFonts w:ascii="Times New Roman" w:hAnsi="Times New Roman" w:cs="Times New Roman"/>
          <w:i/>
          <w:iCs/>
          <w:sz w:val="18"/>
          <w:szCs w:val="18"/>
        </w:rPr>
        <w:t xml:space="preserve">Contributing Studies (n) column indicates the number of studies that informed each thematic finding. Because individual studies often address multiple dimensions of partnership (e.g., mentorship, identity, and systemic impact), they may appear under more than one theme. As a result, the total number of contributing studies across all themes exceeded 28. Counts, therefore, represent the </w:t>
      </w:r>
      <w:r w:rsidRPr="00E5288F">
        <w:rPr>
          <w:rStyle w:val="Emphasis"/>
          <w:rFonts w:ascii="Times New Roman" w:hAnsi="Times New Roman" w:cs="Times New Roman"/>
          <w:i w:val="0"/>
          <w:iCs w:val="0"/>
          <w:sz w:val="18"/>
          <w:szCs w:val="18"/>
        </w:rPr>
        <w:t>number of studies contributing evidence to each finding</w:t>
      </w:r>
      <w:r w:rsidRPr="00E5288F">
        <w:rPr>
          <w:rFonts w:ascii="Times New Roman" w:hAnsi="Times New Roman" w:cs="Times New Roman"/>
          <w:i/>
          <w:iCs/>
          <w:sz w:val="18"/>
          <w:szCs w:val="18"/>
        </w:rPr>
        <w:t>, not unique studies.</w:t>
      </w:r>
      <w:bookmarkEnd w:id="0"/>
    </w:p>
    <w:p w14:paraId="37644799" w14:textId="77777777" w:rsidR="00A91650" w:rsidRDefault="00A91650"/>
    <w:sectPr w:rsidR="00A91650" w:rsidSect="000756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60F"/>
    <w:rsid w:val="0007560F"/>
    <w:rsid w:val="000E2EDD"/>
    <w:rsid w:val="00A91650"/>
    <w:rsid w:val="00C8049C"/>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C1274"/>
  <w15:chartTrackingRefBased/>
  <w15:docId w15:val="{329E06C6-F5BE-4019-A04C-167AEEF4E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560F"/>
    <w:rPr>
      <w:rFonts w:eastAsiaTheme="minorEastAsia"/>
      <w:lang w:val="en-US" w:eastAsia="zh-CN"/>
    </w:rPr>
  </w:style>
  <w:style w:type="paragraph" w:styleId="Heading1">
    <w:name w:val="heading 1"/>
    <w:basedOn w:val="Normal"/>
    <w:next w:val="Normal"/>
    <w:link w:val="Heading1Char"/>
    <w:uiPriority w:val="9"/>
    <w:qFormat/>
    <w:rsid w:val="0007560F"/>
    <w:pPr>
      <w:keepNext/>
      <w:keepLines/>
      <w:spacing w:before="360" w:after="80"/>
      <w:outlineLvl w:val="0"/>
    </w:pPr>
    <w:rPr>
      <w:rFonts w:asciiTheme="majorHAnsi" w:eastAsiaTheme="majorEastAsia" w:hAnsiTheme="majorHAnsi" w:cstheme="majorBidi"/>
      <w:color w:val="0F4761" w:themeColor="accent1" w:themeShade="BF"/>
      <w:sz w:val="40"/>
      <w:szCs w:val="40"/>
      <w:lang w:val="en-IN" w:eastAsia="en-US"/>
    </w:rPr>
  </w:style>
  <w:style w:type="paragraph" w:styleId="Heading2">
    <w:name w:val="heading 2"/>
    <w:basedOn w:val="Normal"/>
    <w:next w:val="Normal"/>
    <w:link w:val="Heading2Char"/>
    <w:uiPriority w:val="9"/>
    <w:semiHidden/>
    <w:unhideWhenUsed/>
    <w:qFormat/>
    <w:rsid w:val="0007560F"/>
    <w:pPr>
      <w:keepNext/>
      <w:keepLines/>
      <w:spacing w:before="160" w:after="80"/>
      <w:outlineLvl w:val="1"/>
    </w:pPr>
    <w:rPr>
      <w:rFonts w:asciiTheme="majorHAnsi" w:eastAsiaTheme="majorEastAsia" w:hAnsiTheme="majorHAnsi" w:cstheme="majorBidi"/>
      <w:color w:val="0F4761" w:themeColor="accent1" w:themeShade="BF"/>
      <w:sz w:val="32"/>
      <w:szCs w:val="32"/>
      <w:lang w:val="en-IN" w:eastAsia="en-US"/>
    </w:rPr>
  </w:style>
  <w:style w:type="paragraph" w:styleId="Heading3">
    <w:name w:val="heading 3"/>
    <w:basedOn w:val="Normal"/>
    <w:next w:val="Normal"/>
    <w:link w:val="Heading3Char"/>
    <w:uiPriority w:val="9"/>
    <w:semiHidden/>
    <w:unhideWhenUsed/>
    <w:qFormat/>
    <w:rsid w:val="0007560F"/>
    <w:pPr>
      <w:keepNext/>
      <w:keepLines/>
      <w:spacing w:before="160" w:after="80"/>
      <w:outlineLvl w:val="2"/>
    </w:pPr>
    <w:rPr>
      <w:rFonts w:eastAsiaTheme="majorEastAsia" w:cstheme="majorBidi"/>
      <w:color w:val="0F4761" w:themeColor="accent1" w:themeShade="BF"/>
      <w:sz w:val="28"/>
      <w:szCs w:val="28"/>
      <w:lang w:val="en-IN" w:eastAsia="en-US"/>
    </w:rPr>
  </w:style>
  <w:style w:type="paragraph" w:styleId="Heading4">
    <w:name w:val="heading 4"/>
    <w:basedOn w:val="Normal"/>
    <w:next w:val="Normal"/>
    <w:link w:val="Heading4Char"/>
    <w:uiPriority w:val="9"/>
    <w:semiHidden/>
    <w:unhideWhenUsed/>
    <w:qFormat/>
    <w:rsid w:val="0007560F"/>
    <w:pPr>
      <w:keepNext/>
      <w:keepLines/>
      <w:spacing w:before="80" w:after="40"/>
      <w:outlineLvl w:val="3"/>
    </w:pPr>
    <w:rPr>
      <w:rFonts w:eastAsiaTheme="majorEastAsia" w:cstheme="majorBidi"/>
      <w:i/>
      <w:iCs/>
      <w:color w:val="0F4761" w:themeColor="accent1" w:themeShade="BF"/>
      <w:lang w:val="en-IN" w:eastAsia="en-US"/>
    </w:rPr>
  </w:style>
  <w:style w:type="paragraph" w:styleId="Heading5">
    <w:name w:val="heading 5"/>
    <w:basedOn w:val="Normal"/>
    <w:next w:val="Normal"/>
    <w:link w:val="Heading5Char"/>
    <w:uiPriority w:val="9"/>
    <w:semiHidden/>
    <w:unhideWhenUsed/>
    <w:qFormat/>
    <w:rsid w:val="0007560F"/>
    <w:pPr>
      <w:keepNext/>
      <w:keepLines/>
      <w:spacing w:before="80" w:after="40"/>
      <w:outlineLvl w:val="4"/>
    </w:pPr>
    <w:rPr>
      <w:rFonts w:eastAsiaTheme="majorEastAsia" w:cstheme="majorBidi"/>
      <w:color w:val="0F4761" w:themeColor="accent1" w:themeShade="BF"/>
      <w:lang w:val="en-IN" w:eastAsia="en-US"/>
    </w:rPr>
  </w:style>
  <w:style w:type="paragraph" w:styleId="Heading6">
    <w:name w:val="heading 6"/>
    <w:basedOn w:val="Normal"/>
    <w:next w:val="Normal"/>
    <w:link w:val="Heading6Char"/>
    <w:uiPriority w:val="9"/>
    <w:semiHidden/>
    <w:unhideWhenUsed/>
    <w:qFormat/>
    <w:rsid w:val="0007560F"/>
    <w:pPr>
      <w:keepNext/>
      <w:keepLines/>
      <w:spacing w:before="40" w:after="0"/>
      <w:outlineLvl w:val="5"/>
    </w:pPr>
    <w:rPr>
      <w:rFonts w:eastAsiaTheme="majorEastAsia" w:cstheme="majorBidi"/>
      <w:i/>
      <w:iCs/>
      <w:color w:val="595959" w:themeColor="text1" w:themeTint="A6"/>
      <w:lang w:val="en-IN" w:eastAsia="en-US"/>
    </w:rPr>
  </w:style>
  <w:style w:type="paragraph" w:styleId="Heading7">
    <w:name w:val="heading 7"/>
    <w:basedOn w:val="Normal"/>
    <w:next w:val="Normal"/>
    <w:link w:val="Heading7Char"/>
    <w:uiPriority w:val="9"/>
    <w:semiHidden/>
    <w:unhideWhenUsed/>
    <w:qFormat/>
    <w:rsid w:val="0007560F"/>
    <w:pPr>
      <w:keepNext/>
      <w:keepLines/>
      <w:spacing w:before="40" w:after="0"/>
      <w:outlineLvl w:val="6"/>
    </w:pPr>
    <w:rPr>
      <w:rFonts w:eastAsiaTheme="majorEastAsia" w:cstheme="majorBidi"/>
      <w:color w:val="595959" w:themeColor="text1" w:themeTint="A6"/>
      <w:lang w:val="en-IN" w:eastAsia="en-US"/>
    </w:rPr>
  </w:style>
  <w:style w:type="paragraph" w:styleId="Heading8">
    <w:name w:val="heading 8"/>
    <w:basedOn w:val="Normal"/>
    <w:next w:val="Normal"/>
    <w:link w:val="Heading8Char"/>
    <w:uiPriority w:val="9"/>
    <w:semiHidden/>
    <w:unhideWhenUsed/>
    <w:qFormat/>
    <w:rsid w:val="0007560F"/>
    <w:pPr>
      <w:keepNext/>
      <w:keepLines/>
      <w:spacing w:after="0"/>
      <w:outlineLvl w:val="7"/>
    </w:pPr>
    <w:rPr>
      <w:rFonts w:eastAsiaTheme="majorEastAsia" w:cstheme="majorBidi"/>
      <w:i/>
      <w:iCs/>
      <w:color w:val="272727" w:themeColor="text1" w:themeTint="D8"/>
      <w:lang w:val="en-IN" w:eastAsia="en-US"/>
    </w:rPr>
  </w:style>
  <w:style w:type="paragraph" w:styleId="Heading9">
    <w:name w:val="heading 9"/>
    <w:basedOn w:val="Normal"/>
    <w:next w:val="Normal"/>
    <w:link w:val="Heading9Char"/>
    <w:uiPriority w:val="9"/>
    <w:semiHidden/>
    <w:unhideWhenUsed/>
    <w:qFormat/>
    <w:rsid w:val="0007560F"/>
    <w:pPr>
      <w:keepNext/>
      <w:keepLines/>
      <w:spacing w:after="0"/>
      <w:outlineLvl w:val="8"/>
    </w:pPr>
    <w:rPr>
      <w:rFonts w:eastAsiaTheme="majorEastAsia" w:cstheme="majorBidi"/>
      <w:color w:val="272727" w:themeColor="text1" w:themeTint="D8"/>
      <w:lang w:val="en-IN"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56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56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56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56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56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56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56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56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560F"/>
    <w:rPr>
      <w:rFonts w:eastAsiaTheme="majorEastAsia" w:cstheme="majorBidi"/>
      <w:color w:val="272727" w:themeColor="text1" w:themeTint="D8"/>
    </w:rPr>
  </w:style>
  <w:style w:type="paragraph" w:styleId="Title">
    <w:name w:val="Title"/>
    <w:basedOn w:val="Normal"/>
    <w:next w:val="Normal"/>
    <w:link w:val="TitleChar"/>
    <w:uiPriority w:val="10"/>
    <w:qFormat/>
    <w:rsid w:val="0007560F"/>
    <w:pPr>
      <w:spacing w:after="80" w:line="240" w:lineRule="auto"/>
      <w:contextualSpacing/>
    </w:pPr>
    <w:rPr>
      <w:rFonts w:asciiTheme="majorHAnsi" w:eastAsiaTheme="majorEastAsia" w:hAnsiTheme="majorHAnsi" w:cstheme="majorBidi"/>
      <w:spacing w:val="-10"/>
      <w:kern w:val="28"/>
      <w:sz w:val="56"/>
      <w:szCs w:val="56"/>
      <w:lang w:val="en-IN" w:eastAsia="en-US"/>
    </w:rPr>
  </w:style>
  <w:style w:type="character" w:customStyle="1" w:styleId="TitleChar">
    <w:name w:val="Title Char"/>
    <w:basedOn w:val="DefaultParagraphFont"/>
    <w:link w:val="Title"/>
    <w:uiPriority w:val="10"/>
    <w:rsid w:val="000756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560F"/>
    <w:pPr>
      <w:numPr>
        <w:ilvl w:val="1"/>
      </w:numPr>
    </w:pPr>
    <w:rPr>
      <w:rFonts w:eastAsiaTheme="majorEastAsia" w:cstheme="majorBidi"/>
      <w:color w:val="595959" w:themeColor="text1" w:themeTint="A6"/>
      <w:spacing w:val="15"/>
      <w:sz w:val="28"/>
      <w:szCs w:val="28"/>
      <w:lang w:val="en-IN" w:eastAsia="en-US"/>
    </w:rPr>
  </w:style>
  <w:style w:type="character" w:customStyle="1" w:styleId="SubtitleChar">
    <w:name w:val="Subtitle Char"/>
    <w:basedOn w:val="DefaultParagraphFont"/>
    <w:link w:val="Subtitle"/>
    <w:uiPriority w:val="11"/>
    <w:rsid w:val="000756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560F"/>
    <w:pPr>
      <w:spacing w:before="160"/>
      <w:jc w:val="center"/>
    </w:pPr>
    <w:rPr>
      <w:rFonts w:eastAsiaTheme="minorHAnsi"/>
      <w:i/>
      <w:iCs/>
      <w:color w:val="404040" w:themeColor="text1" w:themeTint="BF"/>
      <w:lang w:val="en-IN" w:eastAsia="en-US"/>
    </w:rPr>
  </w:style>
  <w:style w:type="character" w:customStyle="1" w:styleId="QuoteChar">
    <w:name w:val="Quote Char"/>
    <w:basedOn w:val="DefaultParagraphFont"/>
    <w:link w:val="Quote"/>
    <w:uiPriority w:val="29"/>
    <w:rsid w:val="0007560F"/>
    <w:rPr>
      <w:i/>
      <w:iCs/>
      <w:color w:val="404040" w:themeColor="text1" w:themeTint="BF"/>
    </w:rPr>
  </w:style>
  <w:style w:type="paragraph" w:styleId="ListParagraph">
    <w:name w:val="List Paragraph"/>
    <w:basedOn w:val="Normal"/>
    <w:uiPriority w:val="34"/>
    <w:qFormat/>
    <w:rsid w:val="0007560F"/>
    <w:pPr>
      <w:ind w:left="720"/>
      <w:contextualSpacing/>
    </w:pPr>
    <w:rPr>
      <w:rFonts w:eastAsiaTheme="minorHAnsi"/>
      <w:lang w:val="en-IN" w:eastAsia="en-US"/>
    </w:rPr>
  </w:style>
  <w:style w:type="character" w:styleId="IntenseEmphasis">
    <w:name w:val="Intense Emphasis"/>
    <w:basedOn w:val="DefaultParagraphFont"/>
    <w:uiPriority w:val="21"/>
    <w:qFormat/>
    <w:rsid w:val="0007560F"/>
    <w:rPr>
      <w:i/>
      <w:iCs/>
      <w:color w:val="0F4761" w:themeColor="accent1" w:themeShade="BF"/>
    </w:rPr>
  </w:style>
  <w:style w:type="paragraph" w:styleId="IntenseQuote">
    <w:name w:val="Intense Quote"/>
    <w:basedOn w:val="Normal"/>
    <w:next w:val="Normal"/>
    <w:link w:val="IntenseQuoteChar"/>
    <w:uiPriority w:val="30"/>
    <w:qFormat/>
    <w:rsid w:val="0007560F"/>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lang w:val="en-IN" w:eastAsia="en-US"/>
    </w:rPr>
  </w:style>
  <w:style w:type="character" w:customStyle="1" w:styleId="IntenseQuoteChar">
    <w:name w:val="Intense Quote Char"/>
    <w:basedOn w:val="DefaultParagraphFont"/>
    <w:link w:val="IntenseQuote"/>
    <w:uiPriority w:val="30"/>
    <w:rsid w:val="0007560F"/>
    <w:rPr>
      <w:i/>
      <w:iCs/>
      <w:color w:val="0F4761" w:themeColor="accent1" w:themeShade="BF"/>
    </w:rPr>
  </w:style>
  <w:style w:type="character" w:styleId="IntenseReference">
    <w:name w:val="Intense Reference"/>
    <w:basedOn w:val="DefaultParagraphFont"/>
    <w:uiPriority w:val="32"/>
    <w:qFormat/>
    <w:rsid w:val="0007560F"/>
    <w:rPr>
      <w:b/>
      <w:bCs/>
      <w:smallCaps/>
      <w:color w:val="0F4761" w:themeColor="accent1" w:themeShade="BF"/>
      <w:spacing w:val="5"/>
    </w:rPr>
  </w:style>
  <w:style w:type="paragraph" w:styleId="NormalWeb">
    <w:name w:val="Normal (Web)"/>
    <w:basedOn w:val="Normal"/>
    <w:uiPriority w:val="99"/>
    <w:unhideWhenUsed/>
    <w:rsid w:val="0007560F"/>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07560F"/>
    <w:rPr>
      <w:b/>
      <w:bCs/>
    </w:rPr>
  </w:style>
  <w:style w:type="character" w:styleId="Emphasis">
    <w:name w:val="Emphasis"/>
    <w:basedOn w:val="DefaultParagraphFont"/>
    <w:uiPriority w:val="20"/>
    <w:qFormat/>
    <w:rsid w:val="0007560F"/>
    <w:rPr>
      <w:i/>
      <w:iCs/>
    </w:rPr>
  </w:style>
  <w:style w:type="paragraph" w:styleId="NoSpacing">
    <w:name w:val="No Spacing"/>
    <w:uiPriority w:val="1"/>
    <w:qFormat/>
    <w:rsid w:val="0007560F"/>
    <w:pPr>
      <w:spacing w:after="0" w:line="240" w:lineRule="auto"/>
    </w:pPr>
    <w:rPr>
      <w:rFonts w:eastAsiaTheme="minorEastAsia"/>
      <w:lang w:val="en-US" w:eastAsia="zh-CN"/>
    </w:rPr>
  </w:style>
  <w:style w:type="table" w:styleId="PlainTable2">
    <w:name w:val="Plain Table 2"/>
    <w:basedOn w:val="TableNormal"/>
    <w:uiPriority w:val="42"/>
    <w:rsid w:val="0007560F"/>
    <w:pPr>
      <w:spacing w:after="0" w:line="240" w:lineRule="auto"/>
    </w:pPr>
    <w:rPr>
      <w:rFonts w:eastAsiaTheme="minorEastAsia"/>
      <w:lang w:val="en-US"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3660</Words>
  <Characters>25698</Characters>
  <Application>Microsoft Office Word</Application>
  <DocSecurity>0</DocSecurity>
  <Lines>755</Lines>
  <Paragraphs>231</Paragraphs>
  <ScaleCrop>false</ScaleCrop>
  <Company/>
  <LinksUpToDate>false</LinksUpToDate>
  <CharactersWithSpaces>29127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2026-03-06T18:19:00Z</dcterms:created>
  <dcterms:modified xsi:type="dcterms:W3CDTF">2026-03-06T18:20:00Z</dcterms:modified>
</cp:coreProperties>
</file>