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C734" w14:textId="2C6AAB35" w:rsidR="0098362B" w:rsidRPr="0098362B" w:rsidRDefault="0098362B" w:rsidP="0098362B">
      <w:pPr>
        <w:spacing w:after="0" w:line="480" w:lineRule="auto"/>
        <w:rPr>
          <w:rFonts w:ascii="Times New Roman" w:eastAsia="Arial" w:hAnsi="Times New Roman" w:cs="Times New Roman"/>
          <w:b/>
          <w:bCs/>
          <w:color w:val="333333"/>
          <w:kern w:val="0"/>
          <w:sz w:val="24"/>
          <w:szCs w:val="24"/>
          <w:lang w:val="en"/>
          <w14:ligatures w14:val="none"/>
        </w:rPr>
      </w:pPr>
      <w:r w:rsidRPr="0098362B">
        <w:rPr>
          <w:rFonts w:ascii="Times New Roman" w:eastAsia="Arial" w:hAnsi="Times New Roman" w:cs="Times New Roman"/>
          <w:b/>
          <w:bCs/>
          <w:color w:val="333333"/>
          <w:kern w:val="0"/>
          <w:sz w:val="24"/>
          <w:szCs w:val="24"/>
          <w:lang w:val="en"/>
          <w14:ligatures w14:val="none"/>
        </w:rPr>
        <w:t xml:space="preserve">Appendix 1 – List of </w:t>
      </w:r>
      <w:r>
        <w:rPr>
          <w:rFonts w:ascii="Times New Roman" w:eastAsia="Arial" w:hAnsi="Times New Roman" w:cs="Times New Roman"/>
          <w:b/>
          <w:bCs/>
          <w:color w:val="333333"/>
          <w:kern w:val="0"/>
          <w:sz w:val="24"/>
          <w:szCs w:val="24"/>
          <w:lang w:val="en"/>
          <w14:ligatures w14:val="none"/>
        </w:rPr>
        <w:t>P</w:t>
      </w:r>
      <w:r w:rsidRPr="0098362B">
        <w:rPr>
          <w:rFonts w:ascii="Times New Roman" w:eastAsia="Arial" w:hAnsi="Times New Roman" w:cs="Times New Roman"/>
          <w:b/>
          <w:bCs/>
          <w:color w:val="333333"/>
          <w:kern w:val="0"/>
          <w:sz w:val="24"/>
          <w:szCs w:val="24"/>
          <w:lang w:val="en"/>
          <w14:ligatures w14:val="none"/>
        </w:rPr>
        <w:t xml:space="preserve">articipating </w:t>
      </w:r>
      <w:r>
        <w:rPr>
          <w:rFonts w:ascii="Times New Roman" w:eastAsia="Arial" w:hAnsi="Times New Roman" w:cs="Times New Roman"/>
          <w:b/>
          <w:bCs/>
          <w:color w:val="333333"/>
          <w:kern w:val="0"/>
          <w:sz w:val="24"/>
          <w:szCs w:val="24"/>
          <w:lang w:val="en"/>
          <w14:ligatures w14:val="none"/>
        </w:rPr>
        <w:t>S</w:t>
      </w:r>
      <w:r w:rsidRPr="0098362B">
        <w:rPr>
          <w:rFonts w:ascii="Times New Roman" w:eastAsia="Arial" w:hAnsi="Times New Roman" w:cs="Times New Roman"/>
          <w:b/>
          <w:bCs/>
          <w:color w:val="333333"/>
          <w:kern w:val="0"/>
          <w:sz w:val="24"/>
          <w:szCs w:val="24"/>
          <w:lang w:val="en"/>
          <w14:ligatures w14:val="none"/>
        </w:rPr>
        <w:t>ites</w:t>
      </w:r>
    </w:p>
    <w:p w14:paraId="55B6CAA0" w14:textId="504E2533" w:rsidR="00C07610" w:rsidRPr="002A6616" w:rsidRDefault="0098362B" w:rsidP="002A6616">
      <w:pPr>
        <w:spacing w:after="0" w:line="480" w:lineRule="auto"/>
        <w:jc w:val="both"/>
        <w:rPr>
          <w:rFonts w:ascii="Times New Roman" w:eastAsia="Arial" w:hAnsi="Times New Roman" w:cs="Times New Roman"/>
          <w:b/>
          <w:bCs/>
          <w:color w:val="333333"/>
          <w:kern w:val="0"/>
          <w:sz w:val="24"/>
          <w:szCs w:val="24"/>
          <w:lang w:val="en"/>
          <w14:ligatures w14:val="none"/>
        </w:rPr>
      </w:pPr>
      <w:r w:rsidRPr="0098362B">
        <w:rPr>
          <w:rFonts w:ascii="Times New Roman" w:eastAsia="Arial" w:hAnsi="Times New Roman" w:cs="Times New Roman"/>
          <w:color w:val="333333"/>
          <w:kern w:val="0"/>
          <w:sz w:val="24"/>
          <w:szCs w:val="24"/>
          <w:lang w:val="en"/>
          <w14:ligatures w14:val="none"/>
        </w:rPr>
        <w:t>Alberta Children's Hospital, British Columbia Children's Hospital, Cape Breton Regional Hospital, Centre Hospitalier de Quebec, Centre Hospitalier Universitaire de Sherbrooke, Dr. Everett Chalmers Hospital, Foothill's Medical Centre, Hamilton Health Sciences Centre, Hospital for Sick Children, IWK Health Centre, Janeway Children's Health &amp; Rehabilitation Centre, Jewish General Hospital, London Health Sciences Centre, Moncton Hospital, Montreal Children's Hospital, Mount Sinai Hospital, Regina Regional Hospital, Royal Alexandra Hospital &amp; Stollery Children's Hospital, Royal Columbian Hospital, Saint John Regional Hospital, St. Boniface General Hospital, Sunnybrook Health Sciences Centre, The Ottawa Hospital, Victoria General Hospital, Windsor Regional Hospital, Winnipeg Health Sciences Centre</w:t>
      </w:r>
    </w:p>
    <w:sectPr w:rsidR="00C07610" w:rsidRPr="002A6616" w:rsidSect="002A66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067"/>
    <w:multiLevelType w:val="hybridMultilevel"/>
    <w:tmpl w:val="28689FEE"/>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9D57308"/>
    <w:multiLevelType w:val="hybridMultilevel"/>
    <w:tmpl w:val="7F9A9BA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135631"/>
    <w:multiLevelType w:val="hybridMultilevel"/>
    <w:tmpl w:val="D76E4D8E"/>
    <w:lvl w:ilvl="0" w:tplc="10090001">
      <w:start w:val="1"/>
      <w:numFmt w:val="bullet"/>
      <w:lvlText w:val=""/>
      <w:lvlJc w:val="left"/>
      <w:pPr>
        <w:ind w:left="-76" w:hanging="360"/>
      </w:pPr>
      <w:rPr>
        <w:rFonts w:ascii="Symbol" w:hAnsi="Symbol" w:hint="default"/>
      </w:rPr>
    </w:lvl>
    <w:lvl w:ilvl="1" w:tplc="10090003" w:tentative="1">
      <w:start w:val="1"/>
      <w:numFmt w:val="bullet"/>
      <w:lvlText w:val="o"/>
      <w:lvlJc w:val="left"/>
      <w:pPr>
        <w:ind w:left="644" w:hanging="360"/>
      </w:pPr>
      <w:rPr>
        <w:rFonts w:ascii="Courier New" w:hAnsi="Courier New" w:cs="Courier New" w:hint="default"/>
      </w:rPr>
    </w:lvl>
    <w:lvl w:ilvl="2" w:tplc="10090005" w:tentative="1">
      <w:start w:val="1"/>
      <w:numFmt w:val="bullet"/>
      <w:lvlText w:val=""/>
      <w:lvlJc w:val="left"/>
      <w:pPr>
        <w:ind w:left="1364" w:hanging="360"/>
      </w:pPr>
      <w:rPr>
        <w:rFonts w:ascii="Wingdings" w:hAnsi="Wingdings" w:hint="default"/>
      </w:rPr>
    </w:lvl>
    <w:lvl w:ilvl="3" w:tplc="10090001" w:tentative="1">
      <w:start w:val="1"/>
      <w:numFmt w:val="bullet"/>
      <w:lvlText w:val=""/>
      <w:lvlJc w:val="left"/>
      <w:pPr>
        <w:ind w:left="2084" w:hanging="360"/>
      </w:pPr>
      <w:rPr>
        <w:rFonts w:ascii="Symbol" w:hAnsi="Symbol" w:hint="default"/>
      </w:rPr>
    </w:lvl>
    <w:lvl w:ilvl="4" w:tplc="10090003" w:tentative="1">
      <w:start w:val="1"/>
      <w:numFmt w:val="bullet"/>
      <w:lvlText w:val="o"/>
      <w:lvlJc w:val="left"/>
      <w:pPr>
        <w:ind w:left="2804" w:hanging="360"/>
      </w:pPr>
      <w:rPr>
        <w:rFonts w:ascii="Courier New" w:hAnsi="Courier New" w:cs="Courier New" w:hint="default"/>
      </w:rPr>
    </w:lvl>
    <w:lvl w:ilvl="5" w:tplc="10090005" w:tentative="1">
      <w:start w:val="1"/>
      <w:numFmt w:val="bullet"/>
      <w:lvlText w:val=""/>
      <w:lvlJc w:val="left"/>
      <w:pPr>
        <w:ind w:left="3524" w:hanging="360"/>
      </w:pPr>
      <w:rPr>
        <w:rFonts w:ascii="Wingdings" w:hAnsi="Wingdings" w:hint="default"/>
      </w:rPr>
    </w:lvl>
    <w:lvl w:ilvl="6" w:tplc="10090001" w:tentative="1">
      <w:start w:val="1"/>
      <w:numFmt w:val="bullet"/>
      <w:lvlText w:val=""/>
      <w:lvlJc w:val="left"/>
      <w:pPr>
        <w:ind w:left="4244" w:hanging="360"/>
      </w:pPr>
      <w:rPr>
        <w:rFonts w:ascii="Symbol" w:hAnsi="Symbol" w:hint="default"/>
      </w:rPr>
    </w:lvl>
    <w:lvl w:ilvl="7" w:tplc="10090003" w:tentative="1">
      <w:start w:val="1"/>
      <w:numFmt w:val="bullet"/>
      <w:lvlText w:val="o"/>
      <w:lvlJc w:val="left"/>
      <w:pPr>
        <w:ind w:left="4964" w:hanging="360"/>
      </w:pPr>
      <w:rPr>
        <w:rFonts w:ascii="Courier New" w:hAnsi="Courier New" w:cs="Courier New" w:hint="default"/>
      </w:rPr>
    </w:lvl>
    <w:lvl w:ilvl="8" w:tplc="10090005" w:tentative="1">
      <w:start w:val="1"/>
      <w:numFmt w:val="bullet"/>
      <w:lvlText w:val=""/>
      <w:lvlJc w:val="left"/>
      <w:pPr>
        <w:ind w:left="5684" w:hanging="360"/>
      </w:pPr>
      <w:rPr>
        <w:rFonts w:ascii="Wingdings" w:hAnsi="Wingdings" w:hint="default"/>
      </w:rPr>
    </w:lvl>
  </w:abstractNum>
  <w:abstractNum w:abstractNumId="3" w15:restartNumberingAfterBreak="0">
    <w:nsid w:val="178E5835"/>
    <w:multiLevelType w:val="hybridMultilevel"/>
    <w:tmpl w:val="6122B7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EC6516"/>
    <w:multiLevelType w:val="hybridMultilevel"/>
    <w:tmpl w:val="7C2ACF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8162B3"/>
    <w:multiLevelType w:val="hybridMultilevel"/>
    <w:tmpl w:val="74845F0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DD43BA"/>
    <w:multiLevelType w:val="hybridMultilevel"/>
    <w:tmpl w:val="FB826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49E1430"/>
    <w:multiLevelType w:val="hybridMultilevel"/>
    <w:tmpl w:val="37DC7D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C567F6F"/>
    <w:multiLevelType w:val="hybridMultilevel"/>
    <w:tmpl w:val="4D7E5A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40418107">
    <w:abstractNumId w:val="6"/>
  </w:num>
  <w:num w:numId="2" w16cid:durableId="2017346744">
    <w:abstractNumId w:val="2"/>
  </w:num>
  <w:num w:numId="3" w16cid:durableId="60950143">
    <w:abstractNumId w:val="8"/>
  </w:num>
  <w:num w:numId="4" w16cid:durableId="1034232357">
    <w:abstractNumId w:val="4"/>
  </w:num>
  <w:num w:numId="5" w16cid:durableId="2042364117">
    <w:abstractNumId w:val="3"/>
  </w:num>
  <w:num w:numId="6" w16cid:durableId="1780487467">
    <w:abstractNumId w:val="7"/>
  </w:num>
  <w:num w:numId="7" w16cid:durableId="1593926183">
    <w:abstractNumId w:val="5"/>
  </w:num>
  <w:num w:numId="8" w16cid:durableId="1328437373">
    <w:abstractNumId w:val="0"/>
  </w:num>
  <w:num w:numId="9" w16cid:durableId="1592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2B"/>
    <w:rsid w:val="0003034F"/>
    <w:rsid w:val="000F0B9B"/>
    <w:rsid w:val="00192194"/>
    <w:rsid w:val="002A6616"/>
    <w:rsid w:val="00371F34"/>
    <w:rsid w:val="003F29A8"/>
    <w:rsid w:val="00481992"/>
    <w:rsid w:val="004B4C70"/>
    <w:rsid w:val="004E2691"/>
    <w:rsid w:val="005B7CCB"/>
    <w:rsid w:val="00756BC9"/>
    <w:rsid w:val="0098362B"/>
    <w:rsid w:val="009F41BA"/>
    <w:rsid w:val="00AC7AB4"/>
    <w:rsid w:val="00AF0B18"/>
    <w:rsid w:val="00C07610"/>
    <w:rsid w:val="00E933CB"/>
    <w:rsid w:val="00F26A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A50B"/>
  <w15:chartTrackingRefBased/>
  <w15:docId w15:val="{A14101A1-6B6F-400E-914E-BAFF175F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62B"/>
    <w:rPr>
      <w:rFonts w:eastAsiaTheme="majorEastAsia" w:cstheme="majorBidi"/>
      <w:color w:val="272727" w:themeColor="text1" w:themeTint="D8"/>
    </w:rPr>
  </w:style>
  <w:style w:type="paragraph" w:styleId="Title">
    <w:name w:val="Title"/>
    <w:basedOn w:val="Normal"/>
    <w:next w:val="Normal"/>
    <w:link w:val="TitleChar"/>
    <w:uiPriority w:val="10"/>
    <w:qFormat/>
    <w:rsid w:val="00983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62B"/>
    <w:pPr>
      <w:spacing w:before="160"/>
      <w:jc w:val="center"/>
    </w:pPr>
    <w:rPr>
      <w:i/>
      <w:iCs/>
      <w:color w:val="404040" w:themeColor="text1" w:themeTint="BF"/>
    </w:rPr>
  </w:style>
  <w:style w:type="character" w:customStyle="1" w:styleId="QuoteChar">
    <w:name w:val="Quote Char"/>
    <w:basedOn w:val="DefaultParagraphFont"/>
    <w:link w:val="Quote"/>
    <w:uiPriority w:val="29"/>
    <w:rsid w:val="0098362B"/>
    <w:rPr>
      <w:i/>
      <w:iCs/>
      <w:color w:val="404040" w:themeColor="text1" w:themeTint="BF"/>
    </w:rPr>
  </w:style>
  <w:style w:type="paragraph" w:styleId="ListParagraph">
    <w:name w:val="List Paragraph"/>
    <w:basedOn w:val="Normal"/>
    <w:uiPriority w:val="34"/>
    <w:qFormat/>
    <w:rsid w:val="0098362B"/>
    <w:pPr>
      <w:ind w:left="720"/>
      <w:contextualSpacing/>
    </w:pPr>
  </w:style>
  <w:style w:type="character" w:styleId="IntenseEmphasis">
    <w:name w:val="Intense Emphasis"/>
    <w:basedOn w:val="DefaultParagraphFont"/>
    <w:uiPriority w:val="21"/>
    <w:qFormat/>
    <w:rsid w:val="0098362B"/>
    <w:rPr>
      <w:i/>
      <w:iCs/>
      <w:color w:val="0F4761" w:themeColor="accent1" w:themeShade="BF"/>
    </w:rPr>
  </w:style>
  <w:style w:type="paragraph" w:styleId="IntenseQuote">
    <w:name w:val="Intense Quote"/>
    <w:basedOn w:val="Normal"/>
    <w:next w:val="Normal"/>
    <w:link w:val="IntenseQuoteChar"/>
    <w:uiPriority w:val="30"/>
    <w:qFormat/>
    <w:rsid w:val="00983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62B"/>
    <w:rPr>
      <w:i/>
      <w:iCs/>
      <w:color w:val="0F4761" w:themeColor="accent1" w:themeShade="BF"/>
    </w:rPr>
  </w:style>
  <w:style w:type="character" w:styleId="IntenseReference">
    <w:name w:val="Intense Reference"/>
    <w:basedOn w:val="DefaultParagraphFont"/>
    <w:uiPriority w:val="32"/>
    <w:qFormat/>
    <w:rsid w:val="0098362B"/>
    <w:rPr>
      <w:b/>
      <w:bCs/>
      <w:smallCaps/>
      <w:color w:val="0F4761" w:themeColor="accent1" w:themeShade="BF"/>
      <w:spacing w:val="5"/>
    </w:rPr>
  </w:style>
  <w:style w:type="table" w:styleId="TableGrid">
    <w:name w:val="Table Grid"/>
    <w:basedOn w:val="TableNormal"/>
    <w:uiPriority w:val="39"/>
    <w:rsid w:val="0098362B"/>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C8CDA-A698-43E9-A426-B6CD5796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125</Words>
  <Characters>719</Characters>
  <Application>Microsoft Office Word</Application>
  <DocSecurity>0</DocSecurity>
  <Lines>5</Lines>
  <Paragraphs>1</Paragraphs>
  <ScaleCrop>false</ScaleCrop>
  <Company>BC Clinical and Support Services</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Kuan, Mimi [CWBC]</dc:creator>
  <cp:keywords/>
  <dc:description/>
  <cp:lastModifiedBy>Kuan, Mimi [CWBC]</cp:lastModifiedBy>
  <cp:revision>6</cp:revision>
  <dcterms:created xsi:type="dcterms:W3CDTF">2025-10-29T19:04:00Z</dcterms:created>
  <dcterms:modified xsi:type="dcterms:W3CDTF">2025-10-29T19:31:00Z</dcterms:modified>
</cp:coreProperties>
</file>