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63F414" w14:textId="77777777" w:rsidR="00D92C13" w:rsidRPr="00982971" w:rsidRDefault="00D92C13" w:rsidP="00D92C13">
      <w:pPr>
        <w:spacing w:line="480" w:lineRule="auto"/>
        <w:rPr>
          <w:b/>
          <w:bCs/>
        </w:rPr>
      </w:pPr>
      <w:r w:rsidRPr="00982971">
        <w:rPr>
          <w:b/>
          <w:bCs/>
        </w:rPr>
        <w:t>SI Figure 1. Structure guided engineering of BT1010 GH95 and BT0996 GH137 variants</w:t>
      </w:r>
    </w:p>
    <w:p w14:paraId="56977995" w14:textId="77777777" w:rsidR="00D92C13" w:rsidRPr="00982971" w:rsidRDefault="00D92C13" w:rsidP="00D92C13">
      <w:pPr>
        <w:spacing w:line="480" w:lineRule="auto"/>
        <w:jc w:val="both"/>
      </w:pPr>
      <w:r w:rsidRPr="00982971">
        <w:rPr>
          <w:b/>
          <w:bCs/>
        </w:rPr>
        <w:t>a,</w:t>
      </w:r>
      <w:r w:rsidRPr="00982971">
        <w:t xml:space="preserve"> Primers used for cloning and mutagenesis of BT1010 GH95 and BT0996 GH137 fusion proteins. </w:t>
      </w:r>
      <w:r w:rsidRPr="00982971">
        <w:rPr>
          <w:b/>
          <w:bCs/>
          <w:color w:val="000000" w:themeColor="text1"/>
          <w:shd w:val="clear" w:color="auto" w:fill="FFFFFF"/>
        </w:rPr>
        <w:t>b,</w:t>
      </w:r>
      <w:r w:rsidRPr="00982971">
        <w:rPr>
          <w:color w:val="000000" w:themeColor="text1"/>
          <w:shd w:val="clear" w:color="auto" w:fill="FFFFFF"/>
        </w:rPr>
        <w:t xml:space="preserve"> </w:t>
      </w:r>
      <w:r w:rsidRPr="00982971">
        <w:t>Cartoon overlay of an AlphaFold predictive model of BT1010 GH95 (blue; AF-Q8A907) and the α-</w:t>
      </w:r>
      <w:r w:rsidRPr="00982971">
        <w:rPr>
          <w:smallCaps/>
        </w:rPr>
        <w:t>l</w:t>
      </w:r>
      <w:r w:rsidRPr="00982971">
        <w:t>-fucosidase domain of AfcA from</w:t>
      </w:r>
      <w:r w:rsidRPr="00982971">
        <w:rPr>
          <w:i/>
          <w:iCs/>
        </w:rPr>
        <w:t xml:space="preserve"> Bifidobacterium bifidum</w:t>
      </w:r>
      <w:r w:rsidRPr="00982971">
        <w:t xml:space="preserve"> (green; PDB 2EAD)</w:t>
      </w:r>
      <w:r w:rsidRPr="00982971">
        <w:rPr>
          <w:i/>
          <w:iCs/>
        </w:rPr>
        <w:t xml:space="preserve">. </w:t>
      </w:r>
      <w:r w:rsidRPr="00982971">
        <w:t xml:space="preserve">The red square highlights the active site of the AfcA D766A mutant in complex with </w:t>
      </w:r>
      <w:r w:rsidRPr="00982971">
        <w:rPr>
          <w:color w:val="000000" w:themeColor="text1"/>
          <w:shd w:val="clear" w:color="auto" w:fill="FFFFFF"/>
        </w:rPr>
        <w:t xml:space="preserve">2'-Fucosyllactose (2'-FL). </w:t>
      </w:r>
      <w:r w:rsidRPr="00982971">
        <w:rPr>
          <w:b/>
          <w:bCs/>
          <w:color w:val="000000" w:themeColor="text1"/>
          <w:shd w:val="clear" w:color="auto" w:fill="FFFFFF"/>
        </w:rPr>
        <w:t>c,</w:t>
      </w:r>
      <w:r w:rsidRPr="00982971">
        <w:rPr>
          <w:color w:val="000000" w:themeColor="text1"/>
          <w:shd w:val="clear" w:color="auto" w:fill="FFFFFF"/>
        </w:rPr>
        <w:t xml:space="preserve"> AfcA catalytic residues (green) that interact with </w:t>
      </w:r>
      <w:r w:rsidRPr="00982971">
        <w:rPr>
          <w:smallCaps/>
          <w:color w:val="000000" w:themeColor="text1"/>
          <w:shd w:val="clear" w:color="auto" w:fill="FFFFFF"/>
        </w:rPr>
        <w:t>l</w:t>
      </w:r>
      <w:r w:rsidRPr="00982971">
        <w:rPr>
          <w:color w:val="000000" w:themeColor="text1"/>
          <w:shd w:val="clear" w:color="auto" w:fill="FFFFFF"/>
        </w:rPr>
        <w:t xml:space="preserve">-Fucose. </w:t>
      </w:r>
      <w:r w:rsidRPr="00982971">
        <w:rPr>
          <w:color w:val="000000" w:themeColor="text1"/>
        </w:rPr>
        <w:t xml:space="preserve">These residues are conserved within the GH95 family and correspond to Glu516, Asp688, Asn387, and Asn389 in BT1010 (blue). </w:t>
      </w:r>
      <w:r w:rsidRPr="00982971">
        <w:rPr>
          <w:b/>
          <w:bCs/>
          <w:color w:val="000000" w:themeColor="text1"/>
          <w:shd w:val="clear" w:color="auto" w:fill="FFFFFF"/>
        </w:rPr>
        <w:t xml:space="preserve">d, </w:t>
      </w:r>
      <w:r w:rsidRPr="00982971">
        <w:t>Cartoon structure of the BT0996 N-terminal GH137 catalytic domain with a surface representation of the Sidechain B substrate binding site.</w:t>
      </w:r>
    </w:p>
    <w:p w14:paraId="0C202C90" w14:textId="77777777" w:rsidR="00D92C13" w:rsidRPr="00982971" w:rsidRDefault="00D92C13" w:rsidP="00D92C13">
      <w:pPr>
        <w:spacing w:line="480" w:lineRule="auto"/>
        <w:jc w:val="both"/>
      </w:pPr>
    </w:p>
    <w:p w14:paraId="495A4536" w14:textId="77777777" w:rsidR="00D92C13" w:rsidRPr="00982971" w:rsidRDefault="00D92C13" w:rsidP="00D92C13">
      <w:pPr>
        <w:spacing w:line="480" w:lineRule="auto"/>
        <w:rPr>
          <w:b/>
          <w:bCs/>
        </w:rPr>
      </w:pPr>
      <w:r w:rsidRPr="00982971">
        <w:rPr>
          <w:b/>
          <w:bCs/>
        </w:rPr>
        <w:t>SI Figure 2. Preparation of sfGFP-fusion proteins and RG-II substrates for biochemical characterization</w:t>
      </w:r>
    </w:p>
    <w:p w14:paraId="271E0B99" w14:textId="77777777" w:rsidR="00D92C13" w:rsidRPr="00982971" w:rsidRDefault="00D92C13" w:rsidP="00D92C13">
      <w:pPr>
        <w:spacing w:line="480" w:lineRule="auto"/>
        <w:jc w:val="both"/>
        <w:rPr>
          <w:color w:val="000000" w:themeColor="text1"/>
        </w:rPr>
      </w:pPr>
      <w:r w:rsidRPr="00982971">
        <w:rPr>
          <w:b/>
          <w:bCs/>
          <w:color w:val="000000" w:themeColor="text1"/>
        </w:rPr>
        <w:t>a,</w:t>
      </w:r>
      <w:r w:rsidRPr="00982971">
        <w:rPr>
          <w:color w:val="000000" w:themeColor="text1"/>
        </w:rPr>
        <w:t xml:space="preserve"> </w:t>
      </w:r>
      <w:r w:rsidRPr="00982971">
        <w:t>Summary of expression conditions and protein information for BT1010 GH95 and BT0996 GH137 fusion proteins.</w:t>
      </w:r>
      <w:r w:rsidRPr="00982971">
        <w:rPr>
          <w:color w:val="000000" w:themeColor="text1"/>
        </w:rPr>
        <w:t xml:space="preserve"> </w:t>
      </w:r>
      <w:r w:rsidRPr="00982971">
        <w:rPr>
          <w:b/>
          <w:bCs/>
          <w:color w:val="000000" w:themeColor="text1"/>
          <w:shd w:val="clear" w:color="auto" w:fill="FFFFFF"/>
        </w:rPr>
        <w:t>b,</w:t>
      </w:r>
      <w:r w:rsidRPr="00982971">
        <w:rPr>
          <w:color w:val="000000" w:themeColor="text1"/>
          <w:shd w:val="clear" w:color="auto" w:fill="FFFFFF"/>
        </w:rPr>
        <w:t xml:space="preserve"> </w:t>
      </w:r>
      <w:r w:rsidRPr="00982971">
        <w:t xml:space="preserve">Expression and thermal stability of </w:t>
      </w:r>
      <w:r w:rsidRPr="00982971">
        <w:rPr>
          <w:color w:val="000000" w:themeColor="text1"/>
        </w:rPr>
        <w:t xml:space="preserve">native sfGFP-BT1010 and catalytic variants (N389A, E516A, N389A/E516A) or </w:t>
      </w:r>
      <w:r w:rsidRPr="00982971">
        <w:rPr>
          <w:b/>
          <w:bCs/>
          <w:color w:val="000000" w:themeColor="text1"/>
          <w:shd w:val="clear" w:color="auto" w:fill="FFFFFF"/>
        </w:rPr>
        <w:t>c,</w:t>
      </w:r>
      <w:r w:rsidRPr="00982971">
        <w:rPr>
          <w:color w:val="000000" w:themeColor="text1"/>
          <w:shd w:val="clear" w:color="auto" w:fill="FFFFFF"/>
        </w:rPr>
        <w:t xml:space="preserve"> </w:t>
      </w:r>
      <w:r w:rsidRPr="00982971">
        <w:rPr>
          <w:color w:val="000000" w:themeColor="text1"/>
        </w:rPr>
        <w:t xml:space="preserve">native sfGFP-BT0996 and catalytic variants (N227A, E240A, E159Q, N227A/E240A, E159Q/E240A). Each bar represents the mean fluorescence of either the expression medium (right, </w:t>
      </w:r>
      <w:r w:rsidRPr="00982971">
        <w:rPr>
          <w:i/>
          <w:iCs/>
          <w:color w:val="000000" w:themeColor="text1"/>
        </w:rPr>
        <w:t>n</w:t>
      </w:r>
      <w:r w:rsidRPr="00982971">
        <w:rPr>
          <w:color w:val="000000" w:themeColor="text1"/>
        </w:rPr>
        <w:t xml:space="preserve">=6) or cell lysate (left, </w:t>
      </w:r>
      <w:r w:rsidRPr="00982971">
        <w:rPr>
          <w:i/>
          <w:iCs/>
          <w:color w:val="000000" w:themeColor="text1"/>
        </w:rPr>
        <w:t>n</w:t>
      </w:r>
      <w:r w:rsidRPr="00982971">
        <w:rPr>
          <w:color w:val="000000" w:themeColor="text1"/>
        </w:rPr>
        <w:t xml:space="preserve">=12) following induction with 0.2 mM IPTG at 16 °C overnight. Overlaid points represent raw data with </w:t>
      </w:r>
      <w:r w:rsidRPr="00982971">
        <w:t>error bars corresponding to standard deviation. Values below indicate the melting temperature (T</w:t>
      </w:r>
      <w:r w:rsidRPr="00982971">
        <w:rPr>
          <w:vertAlign w:val="subscript"/>
        </w:rPr>
        <w:t>m</w:t>
      </w:r>
      <w:r w:rsidRPr="00982971">
        <w:t xml:space="preserve">) derived from thermal shift assays. NT= not tested. </w:t>
      </w:r>
      <w:r w:rsidRPr="00982971">
        <w:rPr>
          <w:b/>
          <w:bCs/>
          <w:color w:val="000000" w:themeColor="text1"/>
          <w:shd w:val="clear" w:color="auto" w:fill="FFFFFF"/>
        </w:rPr>
        <w:t>d,</w:t>
      </w:r>
      <w:r w:rsidRPr="00982971">
        <w:rPr>
          <w:color w:val="000000" w:themeColor="text1"/>
        </w:rPr>
        <w:t xml:space="preserve"> Isolation and characterization of RG-II substrates using size-exclusion chromatography (SEC). Chromatograms show the respective ratio of RG-II monomer (yellow box) and dimer (green box) present before (blue) and after </w:t>
      </w:r>
      <w:r w:rsidRPr="00982971">
        <w:rPr>
          <w:i/>
          <w:iCs/>
          <w:color w:val="000000" w:themeColor="text1"/>
        </w:rPr>
        <w:t>in vitro</w:t>
      </w:r>
      <w:r w:rsidRPr="00982971">
        <w:rPr>
          <w:color w:val="000000" w:themeColor="text1"/>
        </w:rPr>
        <w:t xml:space="preserve"> dimerization (purple) or monomerization (red).</w:t>
      </w:r>
    </w:p>
    <w:p w14:paraId="46AFC466" w14:textId="77777777" w:rsidR="00D92C13" w:rsidRPr="00982971" w:rsidRDefault="00D92C13" w:rsidP="00D92C13">
      <w:pPr>
        <w:spacing w:line="480" w:lineRule="auto"/>
        <w:jc w:val="both"/>
        <w:rPr>
          <w:color w:val="000000" w:themeColor="text1"/>
        </w:rPr>
      </w:pPr>
    </w:p>
    <w:p w14:paraId="600E5265" w14:textId="77777777" w:rsidR="00D92C13" w:rsidRPr="00982971" w:rsidRDefault="00D92C13" w:rsidP="00D92C13">
      <w:pPr>
        <w:spacing w:line="480" w:lineRule="auto"/>
        <w:rPr>
          <w:b/>
          <w:bCs/>
        </w:rPr>
      </w:pPr>
      <w:r w:rsidRPr="00982971">
        <w:rPr>
          <w:b/>
          <w:bCs/>
        </w:rPr>
        <w:t>SI Figure 3. Catalytic activity of sfGFP-BT1010 and sfGFP-BT0996 fusion proteins against RG-II monomer</w:t>
      </w:r>
    </w:p>
    <w:p w14:paraId="207BE8A0" w14:textId="77777777" w:rsidR="00D92C13" w:rsidRPr="00982971" w:rsidRDefault="00D92C13" w:rsidP="00D92C13">
      <w:pPr>
        <w:spacing w:line="480" w:lineRule="auto"/>
        <w:jc w:val="both"/>
        <w:rPr>
          <w:color w:val="000000" w:themeColor="text1"/>
        </w:rPr>
      </w:pPr>
      <w:r w:rsidRPr="00982971">
        <w:rPr>
          <w:b/>
          <w:bCs/>
          <w:color w:val="000000" w:themeColor="text1"/>
        </w:rPr>
        <w:t>a,</w:t>
      </w:r>
      <w:r w:rsidRPr="00982971">
        <w:rPr>
          <w:color w:val="000000" w:themeColor="text1"/>
        </w:rPr>
        <w:t xml:space="preserve"> Quantification of </w:t>
      </w:r>
      <w:r w:rsidRPr="00982971">
        <w:rPr>
          <w:smallCaps/>
          <w:color w:val="000000" w:themeColor="text1"/>
        </w:rPr>
        <w:t>l</w:t>
      </w:r>
      <w:r w:rsidRPr="00982971">
        <w:rPr>
          <w:color w:val="000000" w:themeColor="text1"/>
        </w:rPr>
        <w:t xml:space="preserve">-Gal released from 1 mM RG-II monomer by native sfGFP-BT1010 (red) or variants </w:t>
      </w:r>
      <w:r w:rsidRPr="00982971">
        <w:rPr>
          <w:b/>
          <w:bCs/>
          <w:color w:val="000000" w:themeColor="text1"/>
        </w:rPr>
        <w:t>b,</w:t>
      </w:r>
      <w:r w:rsidRPr="00982971">
        <w:rPr>
          <w:color w:val="000000" w:themeColor="text1"/>
        </w:rPr>
        <w:t xml:space="preserve"> N389A (purple) </w:t>
      </w:r>
      <w:r w:rsidRPr="00982971">
        <w:rPr>
          <w:b/>
          <w:bCs/>
          <w:color w:val="000000" w:themeColor="text1"/>
        </w:rPr>
        <w:t>c,</w:t>
      </w:r>
      <w:r w:rsidRPr="00982971">
        <w:rPr>
          <w:color w:val="000000" w:themeColor="text1"/>
        </w:rPr>
        <w:t xml:space="preserve"> E516A (blue) </w:t>
      </w:r>
      <w:r w:rsidRPr="00982971">
        <w:rPr>
          <w:b/>
          <w:bCs/>
          <w:color w:val="000000" w:themeColor="text1"/>
        </w:rPr>
        <w:t>d,</w:t>
      </w:r>
      <w:r w:rsidRPr="00982971">
        <w:rPr>
          <w:color w:val="000000" w:themeColor="text1"/>
        </w:rPr>
        <w:t xml:space="preserve"> double mutant N389A/E516A (green). </w:t>
      </w:r>
      <w:r w:rsidRPr="00982971">
        <w:rPr>
          <w:b/>
          <w:bCs/>
          <w:color w:val="000000" w:themeColor="text1"/>
        </w:rPr>
        <w:t>e,</w:t>
      </w:r>
      <w:r w:rsidRPr="00982971">
        <w:rPr>
          <w:color w:val="000000" w:themeColor="text1"/>
        </w:rPr>
        <w:t xml:space="preserve"> Quantification of </w:t>
      </w:r>
      <w:r w:rsidRPr="00982971">
        <w:rPr>
          <w:smallCaps/>
          <w:color w:val="000000" w:themeColor="text1"/>
        </w:rPr>
        <w:t>l</w:t>
      </w:r>
      <w:r w:rsidRPr="00982971">
        <w:rPr>
          <w:color w:val="000000" w:themeColor="text1"/>
        </w:rPr>
        <w:t>-Ara</w:t>
      </w:r>
      <w:r w:rsidRPr="00982971">
        <w:rPr>
          <w:i/>
          <w:iCs/>
          <w:color w:val="000000" w:themeColor="text1"/>
        </w:rPr>
        <w:t>f</w:t>
      </w:r>
      <w:r w:rsidRPr="00982971">
        <w:rPr>
          <w:color w:val="000000" w:themeColor="text1"/>
        </w:rPr>
        <w:t xml:space="preserve"> released from 1 mM RG-II monomer by </w:t>
      </w:r>
      <w:r w:rsidRPr="00982971">
        <w:t xml:space="preserve">native BT0996 GH137 (orange) or variants </w:t>
      </w:r>
      <w:r w:rsidRPr="00982971">
        <w:rPr>
          <w:b/>
          <w:bCs/>
        </w:rPr>
        <w:t>f,</w:t>
      </w:r>
      <w:r w:rsidRPr="00982971">
        <w:t xml:space="preserve"> N227A (purple), </w:t>
      </w:r>
      <w:r w:rsidRPr="00982971">
        <w:rPr>
          <w:b/>
          <w:bCs/>
        </w:rPr>
        <w:t>g,</w:t>
      </w:r>
      <w:r w:rsidRPr="00982971">
        <w:t xml:space="preserve"> E240A (blue), and double mutants </w:t>
      </w:r>
      <w:r w:rsidRPr="00982971">
        <w:rPr>
          <w:b/>
          <w:bCs/>
        </w:rPr>
        <w:t>h,</w:t>
      </w:r>
      <w:r w:rsidRPr="00982971">
        <w:t xml:space="preserve"> N227A/E240A (magenta) and </w:t>
      </w:r>
      <w:r w:rsidRPr="00982971">
        <w:rPr>
          <w:b/>
          <w:bCs/>
        </w:rPr>
        <w:t>i,</w:t>
      </w:r>
      <w:r w:rsidRPr="00982971">
        <w:t xml:space="preserve"> E159Q/E240A (navy)</w:t>
      </w:r>
      <w:r w:rsidRPr="00982971">
        <w:rPr>
          <w:color w:val="000000" w:themeColor="text1"/>
        </w:rPr>
        <w:t xml:space="preserve">. </w:t>
      </w:r>
      <w:r w:rsidRPr="00982971">
        <w:t>The relative rate of activity is calculated from the mass of hydrolyzed product detected in a 25 μL injection volume (ng∙min</w:t>
      </w:r>
      <w:r w:rsidRPr="00982971">
        <w:rPr>
          <w:vertAlign w:val="superscript"/>
        </w:rPr>
        <w:t>-1</w:t>
      </w:r>
      <w:r w:rsidRPr="00982971">
        <w:t>∙μM</w:t>
      </w:r>
      <w:r w:rsidRPr="00982971">
        <w:rPr>
          <w:vertAlign w:val="superscript"/>
        </w:rPr>
        <w:t>-1</w:t>
      </w:r>
      <w:r w:rsidRPr="00982971">
        <w:t xml:space="preserve">). </w:t>
      </w:r>
      <w:r w:rsidRPr="00982971">
        <w:rPr>
          <w:color w:val="000000" w:themeColor="text1"/>
        </w:rPr>
        <w:t xml:space="preserve">Boxplots represent 3 independent protein expressions and overlaid points indicate 4 independent HPAEC-PAD injections. For each box, the line inside is the sample median while the </w:t>
      </w:r>
      <w:r w:rsidRPr="00982971">
        <w:t>top and bottom edges are the upper and lower quartiles, respectively. Whiskers extend to maximum and minimum values.</w:t>
      </w:r>
    </w:p>
    <w:p w14:paraId="4C98063C" w14:textId="77777777" w:rsidR="00D92C13" w:rsidRPr="00982971" w:rsidRDefault="00D92C13" w:rsidP="00D92C13">
      <w:pPr>
        <w:spacing w:line="480" w:lineRule="auto"/>
        <w:jc w:val="both"/>
        <w:rPr>
          <w:color w:val="000000" w:themeColor="text1"/>
        </w:rPr>
      </w:pPr>
    </w:p>
    <w:p w14:paraId="7F3409E7" w14:textId="77777777" w:rsidR="00D92C13" w:rsidRPr="00982971" w:rsidRDefault="00D92C13" w:rsidP="00D92C13">
      <w:pPr>
        <w:spacing w:line="480" w:lineRule="auto"/>
        <w:rPr>
          <w:b/>
          <w:bCs/>
        </w:rPr>
      </w:pPr>
      <w:r w:rsidRPr="00982971">
        <w:rPr>
          <w:b/>
          <w:bCs/>
        </w:rPr>
        <w:t>SI Figure 4. Catalytic activity of sfGFP-BT1010 and sfGFP-BT0996 fusion proteins against RG-II dimer</w:t>
      </w:r>
    </w:p>
    <w:p w14:paraId="0A6CE885" w14:textId="77777777" w:rsidR="00D92C13" w:rsidRPr="00982971" w:rsidRDefault="00D92C13" w:rsidP="00D92C13">
      <w:pPr>
        <w:spacing w:line="480" w:lineRule="auto"/>
        <w:jc w:val="both"/>
        <w:rPr>
          <w:color w:val="000000" w:themeColor="text1"/>
        </w:rPr>
      </w:pPr>
      <w:r w:rsidRPr="00982971">
        <w:rPr>
          <w:b/>
          <w:bCs/>
          <w:color w:val="000000" w:themeColor="text1"/>
        </w:rPr>
        <w:t>a,</w:t>
      </w:r>
      <w:r w:rsidRPr="00982971">
        <w:rPr>
          <w:color w:val="000000" w:themeColor="text1"/>
        </w:rPr>
        <w:t xml:space="preserve"> Quantification of </w:t>
      </w:r>
      <w:r w:rsidRPr="00982971">
        <w:rPr>
          <w:smallCaps/>
          <w:color w:val="000000" w:themeColor="text1"/>
        </w:rPr>
        <w:t>l</w:t>
      </w:r>
      <w:r w:rsidRPr="00982971">
        <w:rPr>
          <w:color w:val="000000" w:themeColor="text1"/>
        </w:rPr>
        <w:t xml:space="preserve">-Gal released from 0.5 mM RG-II dimer by native sfGFP-BT1010 or variants </w:t>
      </w:r>
      <w:r w:rsidRPr="00982971">
        <w:rPr>
          <w:b/>
          <w:bCs/>
          <w:color w:val="000000" w:themeColor="text1"/>
        </w:rPr>
        <w:t>b,</w:t>
      </w:r>
      <w:r w:rsidRPr="00982971">
        <w:rPr>
          <w:color w:val="000000" w:themeColor="text1"/>
        </w:rPr>
        <w:t xml:space="preserve"> N389A </w:t>
      </w:r>
      <w:r w:rsidRPr="00982971">
        <w:rPr>
          <w:b/>
          <w:bCs/>
          <w:color w:val="000000" w:themeColor="text1"/>
        </w:rPr>
        <w:t>c,</w:t>
      </w:r>
      <w:r w:rsidRPr="00982971">
        <w:rPr>
          <w:color w:val="000000" w:themeColor="text1"/>
        </w:rPr>
        <w:t xml:space="preserve"> E516A </w:t>
      </w:r>
      <w:r w:rsidRPr="00982971">
        <w:rPr>
          <w:b/>
          <w:bCs/>
          <w:color w:val="000000" w:themeColor="text1"/>
        </w:rPr>
        <w:t>d,</w:t>
      </w:r>
      <w:r w:rsidRPr="00982971">
        <w:rPr>
          <w:color w:val="000000" w:themeColor="text1"/>
        </w:rPr>
        <w:t xml:space="preserve"> double mutant N389A/E516A. </w:t>
      </w:r>
      <w:r w:rsidRPr="00982971">
        <w:rPr>
          <w:b/>
          <w:bCs/>
          <w:color w:val="000000" w:themeColor="text1"/>
        </w:rPr>
        <w:t>e,</w:t>
      </w:r>
      <w:r w:rsidRPr="00982971">
        <w:rPr>
          <w:color w:val="000000" w:themeColor="text1"/>
        </w:rPr>
        <w:t xml:space="preserve"> Quantification of </w:t>
      </w:r>
      <w:r w:rsidRPr="00982971">
        <w:rPr>
          <w:smallCaps/>
          <w:color w:val="000000" w:themeColor="text1"/>
        </w:rPr>
        <w:t>l</w:t>
      </w:r>
      <w:r w:rsidRPr="00982971">
        <w:rPr>
          <w:color w:val="000000" w:themeColor="text1"/>
        </w:rPr>
        <w:t>-Ara</w:t>
      </w:r>
      <w:r w:rsidRPr="00982971">
        <w:rPr>
          <w:i/>
          <w:iCs/>
          <w:color w:val="000000" w:themeColor="text1"/>
        </w:rPr>
        <w:t>f</w:t>
      </w:r>
      <w:r w:rsidRPr="00982971">
        <w:rPr>
          <w:color w:val="000000" w:themeColor="text1"/>
        </w:rPr>
        <w:t xml:space="preserve"> released from 0.5 mM RG-II dimer by </w:t>
      </w:r>
      <w:r w:rsidRPr="00982971">
        <w:t xml:space="preserve">native BT0996 GH137 or variants </w:t>
      </w:r>
      <w:r w:rsidRPr="00982971">
        <w:rPr>
          <w:b/>
          <w:bCs/>
        </w:rPr>
        <w:t>f,</w:t>
      </w:r>
      <w:r w:rsidRPr="00982971">
        <w:t xml:space="preserve"> N227A </w:t>
      </w:r>
      <w:r w:rsidRPr="00982971">
        <w:rPr>
          <w:b/>
          <w:bCs/>
        </w:rPr>
        <w:t>g,</w:t>
      </w:r>
      <w:r w:rsidRPr="00982971">
        <w:t xml:space="preserve"> E240A, and double mutants </w:t>
      </w:r>
      <w:r w:rsidRPr="00982971">
        <w:rPr>
          <w:b/>
          <w:bCs/>
        </w:rPr>
        <w:t>h,</w:t>
      </w:r>
      <w:r w:rsidRPr="00982971">
        <w:t xml:space="preserve"> N227A/E240A and </w:t>
      </w:r>
      <w:r w:rsidRPr="00982971">
        <w:rPr>
          <w:b/>
          <w:bCs/>
        </w:rPr>
        <w:t>i,</w:t>
      </w:r>
      <w:r w:rsidRPr="00982971">
        <w:t xml:space="preserve"> E159Q/E240A</w:t>
      </w:r>
      <w:r w:rsidRPr="00982971">
        <w:rPr>
          <w:color w:val="000000" w:themeColor="text1"/>
        </w:rPr>
        <w:t xml:space="preserve">. </w:t>
      </w:r>
      <w:r w:rsidRPr="00982971">
        <w:t>The relative rate of activity is calculated from the mass of hydrolyzed product detected in a 25 μL injection volume (ng∙min</w:t>
      </w:r>
      <w:r w:rsidRPr="00982971">
        <w:rPr>
          <w:vertAlign w:val="superscript"/>
        </w:rPr>
        <w:t>-1</w:t>
      </w:r>
      <w:r w:rsidRPr="00982971">
        <w:t>∙μM</w:t>
      </w:r>
      <w:r w:rsidRPr="00982971">
        <w:rPr>
          <w:vertAlign w:val="superscript"/>
        </w:rPr>
        <w:t>-1</w:t>
      </w:r>
      <w:r w:rsidRPr="00982971">
        <w:t xml:space="preserve">). </w:t>
      </w:r>
      <w:r w:rsidRPr="00982971">
        <w:rPr>
          <w:color w:val="000000" w:themeColor="text1"/>
        </w:rPr>
        <w:t xml:space="preserve">Boxplots represent independent protein expression and overlaid points indicate 4 independent HPAEC-PAD injections. For each box, the line inside is the sample median while the </w:t>
      </w:r>
      <w:r w:rsidRPr="00982971">
        <w:t>top and bottom edges are the upper and lower quartiles, respectively. Whiskers extend to maximum and minimum values.</w:t>
      </w:r>
    </w:p>
    <w:p w14:paraId="0F20E4B3" w14:textId="77777777" w:rsidR="00D92C13" w:rsidRPr="00982971" w:rsidRDefault="00D92C13" w:rsidP="00D92C13">
      <w:pPr>
        <w:spacing w:line="480" w:lineRule="auto"/>
        <w:jc w:val="both"/>
        <w:rPr>
          <w:color w:val="000000" w:themeColor="text1"/>
        </w:rPr>
      </w:pPr>
    </w:p>
    <w:p w14:paraId="7BF26B35" w14:textId="77777777" w:rsidR="00D92C13" w:rsidRPr="00982971" w:rsidRDefault="00D92C13" w:rsidP="00D92C13">
      <w:pPr>
        <w:spacing w:line="480" w:lineRule="auto"/>
        <w:rPr>
          <w:b/>
          <w:bCs/>
        </w:rPr>
      </w:pPr>
      <w:r w:rsidRPr="00982971">
        <w:rPr>
          <w:b/>
          <w:bCs/>
        </w:rPr>
        <w:t xml:space="preserve">SI Figure 5. Binding analysis between sfGFP-BT1010 and sfGFP-BT0996 fusion proteins and RG-II monomer </w:t>
      </w:r>
    </w:p>
    <w:p w14:paraId="1E07DBB3" w14:textId="77777777" w:rsidR="00D92C13" w:rsidRPr="00982971" w:rsidRDefault="00D92C13" w:rsidP="00D92C13">
      <w:pPr>
        <w:spacing w:line="480" w:lineRule="auto"/>
        <w:rPr>
          <w:b/>
          <w:bCs/>
        </w:rPr>
      </w:pPr>
      <w:r w:rsidRPr="00982971">
        <w:rPr>
          <w:b/>
          <w:bCs/>
          <w:color w:val="000000" w:themeColor="text1"/>
        </w:rPr>
        <w:t>a,</w:t>
      </w:r>
      <w:r w:rsidRPr="00982971">
        <w:rPr>
          <w:color w:val="000000" w:themeColor="text1"/>
        </w:rPr>
        <w:t xml:space="preserve"> MST traces for binding between RG-II monomer and native sfGFP-BT1010 (red) or variants </w:t>
      </w:r>
      <w:r w:rsidRPr="00982971">
        <w:rPr>
          <w:b/>
          <w:bCs/>
          <w:color w:val="000000" w:themeColor="text1"/>
        </w:rPr>
        <w:t>b,</w:t>
      </w:r>
      <w:r w:rsidRPr="00982971">
        <w:rPr>
          <w:color w:val="000000" w:themeColor="text1"/>
        </w:rPr>
        <w:t xml:space="preserve"> N389A (purple) </w:t>
      </w:r>
      <w:r w:rsidRPr="00982971">
        <w:rPr>
          <w:b/>
          <w:bCs/>
          <w:color w:val="000000" w:themeColor="text1"/>
        </w:rPr>
        <w:t>c,</w:t>
      </w:r>
      <w:r w:rsidRPr="00982971">
        <w:rPr>
          <w:color w:val="000000" w:themeColor="text1"/>
        </w:rPr>
        <w:t xml:space="preserve"> E516A (blue) </w:t>
      </w:r>
      <w:r w:rsidRPr="00982971">
        <w:rPr>
          <w:b/>
          <w:bCs/>
          <w:color w:val="000000" w:themeColor="text1"/>
        </w:rPr>
        <w:t>d,</w:t>
      </w:r>
      <w:r w:rsidRPr="00982971">
        <w:rPr>
          <w:color w:val="000000" w:themeColor="text1"/>
        </w:rPr>
        <w:t xml:space="preserve"> double mutant N389A/E516A (green). </w:t>
      </w:r>
      <w:r w:rsidRPr="00982971">
        <w:rPr>
          <w:b/>
          <w:bCs/>
          <w:color w:val="000000" w:themeColor="text1"/>
        </w:rPr>
        <w:t>e,</w:t>
      </w:r>
      <w:r w:rsidRPr="00982971">
        <w:rPr>
          <w:color w:val="000000" w:themeColor="text1"/>
        </w:rPr>
        <w:t xml:space="preserve"> MST traces for binding between RG-II monomer and native sfGFP-</w:t>
      </w:r>
      <w:r w:rsidRPr="00982971">
        <w:t xml:space="preserve">BT0996 (orange) or variants </w:t>
      </w:r>
      <w:r w:rsidRPr="00982971">
        <w:rPr>
          <w:b/>
          <w:bCs/>
        </w:rPr>
        <w:t>f,</w:t>
      </w:r>
      <w:r w:rsidRPr="00982971">
        <w:t xml:space="preserve"> N227A (purple) </w:t>
      </w:r>
      <w:r w:rsidRPr="00982971">
        <w:rPr>
          <w:b/>
          <w:bCs/>
        </w:rPr>
        <w:t>g,</w:t>
      </w:r>
      <w:r w:rsidRPr="00982971">
        <w:t xml:space="preserve"> E240A (blue), and double mutants </w:t>
      </w:r>
      <w:r w:rsidRPr="00982971">
        <w:rPr>
          <w:b/>
          <w:bCs/>
        </w:rPr>
        <w:t>h,</w:t>
      </w:r>
      <w:r w:rsidRPr="00982971">
        <w:t xml:space="preserve"> N227A/E240A (magenta) and </w:t>
      </w:r>
      <w:r w:rsidRPr="00982971">
        <w:rPr>
          <w:b/>
          <w:bCs/>
        </w:rPr>
        <w:t>i,</w:t>
      </w:r>
      <w:r w:rsidRPr="00982971">
        <w:t xml:space="preserve"> E159Q/E240A (navy)</w:t>
      </w:r>
      <w:r w:rsidRPr="00982971">
        <w:rPr>
          <w:color w:val="000000" w:themeColor="text1"/>
        </w:rPr>
        <w:t>.</w:t>
      </w:r>
      <w:r w:rsidRPr="00982971">
        <w:t xml:space="preserve"> Representative MST traces depict the change in fluorescence intensity of one capillary over time. The green rectangle indicates a MST-on time of 5 sec was used for analysis.</w:t>
      </w:r>
    </w:p>
    <w:p w14:paraId="2E8416DA" w14:textId="77777777" w:rsidR="00D92C13" w:rsidRPr="00982971" w:rsidRDefault="00D92C13" w:rsidP="00D92C13">
      <w:pPr>
        <w:spacing w:line="480" w:lineRule="auto"/>
        <w:jc w:val="both"/>
        <w:rPr>
          <w:color w:val="000000" w:themeColor="text1"/>
        </w:rPr>
      </w:pPr>
    </w:p>
    <w:p w14:paraId="1C6D8536" w14:textId="77777777" w:rsidR="00D92C13" w:rsidRPr="00982971" w:rsidRDefault="00D92C13" w:rsidP="00D92C13">
      <w:pPr>
        <w:spacing w:line="480" w:lineRule="auto"/>
        <w:rPr>
          <w:b/>
          <w:bCs/>
        </w:rPr>
      </w:pPr>
      <w:r w:rsidRPr="00982971">
        <w:rPr>
          <w:b/>
          <w:bCs/>
        </w:rPr>
        <w:t>SI Figure 6. Binding analysis between sfGFP and RG-II monomer or dimer</w:t>
      </w:r>
    </w:p>
    <w:p w14:paraId="309C1E31" w14:textId="77777777" w:rsidR="00D92C13" w:rsidRPr="00982971" w:rsidRDefault="00D92C13" w:rsidP="00D92C13">
      <w:pPr>
        <w:spacing w:line="480" w:lineRule="auto"/>
        <w:jc w:val="both"/>
      </w:pPr>
      <w:r w:rsidRPr="00982971">
        <w:rPr>
          <w:b/>
          <w:bCs/>
        </w:rPr>
        <w:t>a,</w:t>
      </w:r>
      <w:r w:rsidRPr="00982971">
        <w:t xml:space="preserve"> Dose-response curves between sfGFP and RG-II monomer were generated from the means of </w:t>
      </w:r>
      <w:r w:rsidRPr="00982971">
        <w:rPr>
          <w:i/>
          <w:iCs/>
        </w:rPr>
        <w:t>n</w:t>
      </w:r>
      <w:r w:rsidRPr="00982971">
        <w:t xml:space="preserve"> = 6 independently pipetted measurements with error bars representing standard deviation. </w:t>
      </w:r>
      <w:r w:rsidRPr="00982971">
        <w:rPr>
          <w:b/>
          <w:bCs/>
        </w:rPr>
        <w:t>b,</w:t>
      </w:r>
      <w:r w:rsidRPr="00982971">
        <w:t xml:space="preserve"> Dose-response curves between sfGFP and RG-II dimer were generated from the means of </w:t>
      </w:r>
      <w:r w:rsidRPr="00982971">
        <w:rPr>
          <w:i/>
          <w:iCs/>
        </w:rPr>
        <w:t>n</w:t>
      </w:r>
      <w:r w:rsidRPr="00982971">
        <w:t xml:space="preserve"> = 10 independently pipetted measurements with error bars representing standard deviation. </w:t>
      </w:r>
      <w:r w:rsidRPr="00982971">
        <w:rPr>
          <w:b/>
          <w:bCs/>
        </w:rPr>
        <w:t>c,</w:t>
      </w:r>
      <w:r w:rsidRPr="00982971">
        <w:t xml:space="preserve"> </w:t>
      </w:r>
      <w:r w:rsidRPr="00982971">
        <w:rPr>
          <w:color w:val="000000" w:themeColor="text1"/>
        </w:rPr>
        <w:t xml:space="preserve">MST traces for binding between sfGFP and RG-II monomer or </w:t>
      </w:r>
      <w:r w:rsidRPr="00982971">
        <w:rPr>
          <w:b/>
          <w:bCs/>
          <w:color w:val="000000" w:themeColor="text1"/>
        </w:rPr>
        <w:t>d,</w:t>
      </w:r>
      <w:r w:rsidRPr="00982971">
        <w:rPr>
          <w:color w:val="000000" w:themeColor="text1"/>
        </w:rPr>
        <w:t xml:space="preserve"> dimer. </w:t>
      </w:r>
      <w:r w:rsidRPr="00982971">
        <w:t>Representative MST traces  depict the change in fluorescence intensity of one capillary over time. The green rectangle indicates a MST-on time of 1.5 sec was used for analysis.</w:t>
      </w:r>
    </w:p>
    <w:p w14:paraId="703F12C4" w14:textId="77777777" w:rsidR="00D92C13" w:rsidRPr="00982971" w:rsidRDefault="00D92C13" w:rsidP="00D92C13">
      <w:pPr>
        <w:spacing w:line="480" w:lineRule="auto"/>
        <w:jc w:val="both"/>
        <w:rPr>
          <w:color w:val="000000" w:themeColor="text1"/>
        </w:rPr>
      </w:pPr>
    </w:p>
    <w:p w14:paraId="3EBFE8A8" w14:textId="77777777" w:rsidR="00D92C13" w:rsidRPr="00982971" w:rsidRDefault="00D92C13" w:rsidP="00D92C13">
      <w:pPr>
        <w:spacing w:line="480" w:lineRule="auto"/>
        <w:rPr>
          <w:b/>
          <w:bCs/>
          <w:color w:val="000000" w:themeColor="text1"/>
        </w:rPr>
      </w:pPr>
      <w:r w:rsidRPr="00982971">
        <w:rPr>
          <w:b/>
          <w:bCs/>
        </w:rPr>
        <w:t>SI Figure 7. Binding analysis between sfGFP-BT1010 and sfGFP-BT0996 fusion proteins and RG-II dimer</w:t>
      </w:r>
      <w:r w:rsidRPr="00982971">
        <w:rPr>
          <w:b/>
          <w:bCs/>
          <w:color w:val="000000" w:themeColor="text1"/>
        </w:rPr>
        <w:t xml:space="preserve"> </w:t>
      </w:r>
    </w:p>
    <w:p w14:paraId="634D4DD2" w14:textId="77777777" w:rsidR="00D92C13" w:rsidRPr="00982971" w:rsidRDefault="00D92C13" w:rsidP="00D92C13">
      <w:pPr>
        <w:spacing w:line="480" w:lineRule="auto"/>
        <w:rPr>
          <w:b/>
          <w:bCs/>
        </w:rPr>
      </w:pPr>
      <w:r w:rsidRPr="00982971">
        <w:rPr>
          <w:b/>
          <w:bCs/>
          <w:color w:val="000000" w:themeColor="text1"/>
        </w:rPr>
        <w:t>a,</w:t>
      </w:r>
      <w:r w:rsidRPr="00982971">
        <w:rPr>
          <w:color w:val="000000" w:themeColor="text1"/>
        </w:rPr>
        <w:t xml:space="preserve"> MST traces for binding between RG-II dimer and native sfGFP-BT1010 or variants </w:t>
      </w:r>
      <w:r w:rsidRPr="00982971">
        <w:rPr>
          <w:b/>
          <w:bCs/>
          <w:color w:val="000000" w:themeColor="text1"/>
        </w:rPr>
        <w:t>b,</w:t>
      </w:r>
      <w:r w:rsidRPr="00982971">
        <w:rPr>
          <w:color w:val="000000" w:themeColor="text1"/>
        </w:rPr>
        <w:t xml:space="preserve"> N389A </w:t>
      </w:r>
      <w:r w:rsidRPr="00982971">
        <w:rPr>
          <w:b/>
          <w:bCs/>
          <w:color w:val="000000" w:themeColor="text1"/>
        </w:rPr>
        <w:t>c,</w:t>
      </w:r>
      <w:r w:rsidRPr="00982971">
        <w:rPr>
          <w:color w:val="000000" w:themeColor="text1"/>
        </w:rPr>
        <w:t xml:space="preserve"> E516A </w:t>
      </w:r>
      <w:r w:rsidRPr="00982971">
        <w:rPr>
          <w:b/>
          <w:bCs/>
          <w:color w:val="000000" w:themeColor="text1"/>
        </w:rPr>
        <w:t>d,</w:t>
      </w:r>
      <w:r w:rsidRPr="00982971">
        <w:rPr>
          <w:color w:val="000000" w:themeColor="text1"/>
        </w:rPr>
        <w:t xml:space="preserve"> double mutant N389A/E516A.</w:t>
      </w:r>
      <w:r w:rsidRPr="00982971">
        <w:t xml:space="preserve"> </w:t>
      </w:r>
      <w:r w:rsidRPr="00982971">
        <w:rPr>
          <w:b/>
          <w:bCs/>
          <w:color w:val="000000" w:themeColor="text1"/>
        </w:rPr>
        <w:t>e,</w:t>
      </w:r>
      <w:r w:rsidRPr="00982971">
        <w:rPr>
          <w:color w:val="000000" w:themeColor="text1"/>
        </w:rPr>
        <w:t xml:space="preserve"> MST traces for binding between RG-II dimer and </w:t>
      </w:r>
      <w:r w:rsidRPr="00982971">
        <w:rPr>
          <w:color w:val="000000" w:themeColor="text1"/>
        </w:rPr>
        <w:lastRenderedPageBreak/>
        <w:t>native sfGFP-</w:t>
      </w:r>
      <w:r w:rsidRPr="00982971">
        <w:t xml:space="preserve">BT0996 or variants </w:t>
      </w:r>
      <w:r w:rsidRPr="00982971">
        <w:rPr>
          <w:b/>
          <w:bCs/>
        </w:rPr>
        <w:t>f,</w:t>
      </w:r>
      <w:r w:rsidRPr="00982971">
        <w:t xml:space="preserve"> N227A </w:t>
      </w:r>
      <w:r w:rsidRPr="00982971">
        <w:rPr>
          <w:b/>
          <w:bCs/>
        </w:rPr>
        <w:t>g,</w:t>
      </w:r>
      <w:r w:rsidRPr="00982971">
        <w:t xml:space="preserve"> E240A, and double mutant </w:t>
      </w:r>
      <w:r w:rsidRPr="00982971">
        <w:rPr>
          <w:b/>
          <w:bCs/>
        </w:rPr>
        <w:t>h,</w:t>
      </w:r>
      <w:r w:rsidRPr="00982971">
        <w:t xml:space="preserve"> N227A/E240A</w:t>
      </w:r>
      <w:r w:rsidRPr="00982971">
        <w:rPr>
          <w:color w:val="000000" w:themeColor="text1"/>
        </w:rPr>
        <w:t>.</w:t>
      </w:r>
      <w:r w:rsidRPr="00982971">
        <w:t xml:space="preserve"> Representative MST traces depict the change in fluorescence intensity of one capillary over time. The green rectangle indicates the MST-on time used for analysis.</w:t>
      </w:r>
    </w:p>
    <w:p w14:paraId="27AF547F" w14:textId="77777777" w:rsidR="00D92C13" w:rsidRPr="00982971" w:rsidRDefault="00D92C13" w:rsidP="00D92C13">
      <w:pPr>
        <w:spacing w:line="480" w:lineRule="auto"/>
        <w:jc w:val="both"/>
        <w:rPr>
          <w:color w:val="000000" w:themeColor="text1"/>
        </w:rPr>
      </w:pPr>
    </w:p>
    <w:p w14:paraId="0C49527F" w14:textId="77777777" w:rsidR="00D92C13" w:rsidRPr="00982971" w:rsidRDefault="00D92C13" w:rsidP="00D92C13">
      <w:pPr>
        <w:spacing w:line="480" w:lineRule="auto"/>
        <w:rPr>
          <w:b/>
          <w:bCs/>
        </w:rPr>
      </w:pPr>
      <w:r w:rsidRPr="00982971">
        <w:rPr>
          <w:b/>
          <w:bCs/>
        </w:rPr>
        <w:t xml:space="preserve">SI Figure 8. Fluorescent labeling of </w:t>
      </w:r>
      <w:r w:rsidRPr="00982971">
        <w:rPr>
          <w:b/>
          <w:bCs/>
          <w:i/>
          <w:iCs/>
        </w:rPr>
        <w:t>Arabidopsis thaliana</w:t>
      </w:r>
      <w:r w:rsidRPr="00982971">
        <w:rPr>
          <w:b/>
          <w:bCs/>
        </w:rPr>
        <w:t xml:space="preserve"> stem sections</w:t>
      </w:r>
    </w:p>
    <w:p w14:paraId="73EE9B1D" w14:textId="77777777" w:rsidR="00D92C13" w:rsidRPr="00982971" w:rsidRDefault="00D92C13" w:rsidP="00D92C13">
      <w:pPr>
        <w:spacing w:line="480" w:lineRule="auto"/>
        <w:jc w:val="both"/>
        <w:rPr>
          <w:color w:val="000000" w:themeColor="text1"/>
        </w:rPr>
      </w:pPr>
      <w:r w:rsidRPr="00982971">
        <w:rPr>
          <w:b/>
          <w:bCs/>
        </w:rPr>
        <w:t>a,</w:t>
      </w:r>
      <w:r w:rsidRPr="00982971">
        <w:t xml:space="preserve"> </w:t>
      </w:r>
      <w:r w:rsidRPr="00982971">
        <w:rPr>
          <w:color w:val="000000" w:themeColor="text1"/>
        </w:rPr>
        <w:t>Comparison of fluorescence intensities between mRuby3-BT0996</w:t>
      </w:r>
      <w:r w:rsidRPr="00982971">
        <w:rPr>
          <w:color w:val="000000" w:themeColor="text1"/>
          <w:vertAlign w:val="superscript"/>
        </w:rPr>
        <w:t>E240A</w:t>
      </w:r>
      <w:r w:rsidRPr="00982971">
        <w:rPr>
          <w:color w:val="000000" w:themeColor="text1"/>
        </w:rPr>
        <w:t xml:space="preserve"> and </w:t>
      </w:r>
      <w:r w:rsidRPr="00982971">
        <w:t>mRuby3-BT1010</w:t>
      </w:r>
      <w:r w:rsidRPr="00982971">
        <w:rPr>
          <w:vertAlign w:val="superscript"/>
        </w:rPr>
        <w:t>E516A</w:t>
      </w:r>
      <w:r w:rsidRPr="00982971">
        <w:rPr>
          <w:color w:val="000000" w:themeColor="text1"/>
        </w:rPr>
        <w:t xml:space="preserve">. Boxplots represent raw integrated densities, where the inner line is the sample median while the </w:t>
      </w:r>
      <w:r w:rsidRPr="00982971">
        <w:t xml:space="preserve">top and bottom edges are the upper and lower quartiles, respectively. Whiskers extend to maximum and minimum values. </w:t>
      </w:r>
      <w:r w:rsidRPr="00982971">
        <w:rPr>
          <w:color w:val="000000" w:themeColor="text1"/>
        </w:rPr>
        <w:t xml:space="preserve">Overlaid points indicate values from </w:t>
      </w:r>
      <w:r w:rsidRPr="00982971">
        <w:rPr>
          <w:i/>
          <w:iCs/>
        </w:rPr>
        <w:t>n</w:t>
      </w:r>
      <w:r w:rsidRPr="00982971">
        <w:t xml:space="preserve"> = 6 independent images</w:t>
      </w:r>
      <w:r w:rsidRPr="00982971">
        <w:rPr>
          <w:color w:val="000000" w:themeColor="text1"/>
        </w:rPr>
        <w:t xml:space="preserve">. </w:t>
      </w:r>
      <w:r w:rsidRPr="00982971">
        <w:rPr>
          <w:b/>
          <w:bCs/>
          <w:color w:val="000000" w:themeColor="text1"/>
          <w:shd w:val="clear" w:color="auto" w:fill="FFFFFF"/>
        </w:rPr>
        <w:t xml:space="preserve">b, </w:t>
      </w:r>
      <w:r w:rsidRPr="00982971">
        <w:rPr>
          <w:color w:val="000000" w:themeColor="text1"/>
          <w:shd w:val="clear" w:color="auto" w:fill="FFFFFF"/>
        </w:rPr>
        <w:t xml:space="preserve">Maximum projection images of sections labeled with 0.4 μM </w:t>
      </w:r>
      <w:r w:rsidRPr="00982971">
        <w:rPr>
          <w:color w:val="000000" w:themeColor="text1"/>
        </w:rPr>
        <w:t>mRuby3-BT0996</w:t>
      </w:r>
      <w:r w:rsidRPr="00982971">
        <w:rPr>
          <w:color w:val="000000" w:themeColor="text1"/>
          <w:vertAlign w:val="superscript"/>
        </w:rPr>
        <w:t>E240A</w:t>
      </w:r>
      <w:r w:rsidRPr="00982971">
        <w:rPr>
          <w:color w:val="000000" w:themeColor="text1"/>
        </w:rPr>
        <w:t xml:space="preserve">, </w:t>
      </w:r>
      <w:r w:rsidRPr="00982971">
        <w:rPr>
          <w:b/>
          <w:bCs/>
          <w:color w:val="000000" w:themeColor="text1"/>
          <w:shd w:val="clear" w:color="auto" w:fill="FFFFFF"/>
        </w:rPr>
        <w:t xml:space="preserve">c, </w:t>
      </w:r>
      <w:r w:rsidRPr="00982971">
        <w:rPr>
          <w:color w:val="000000" w:themeColor="text1"/>
          <w:shd w:val="clear" w:color="auto" w:fill="FFFFFF"/>
        </w:rPr>
        <w:t xml:space="preserve">0.4 μM mRuby3, </w:t>
      </w:r>
      <w:r w:rsidRPr="00982971">
        <w:rPr>
          <w:b/>
          <w:bCs/>
          <w:color w:val="000000" w:themeColor="text1"/>
          <w:shd w:val="clear" w:color="auto" w:fill="FFFFFF"/>
        </w:rPr>
        <w:t>d,</w:t>
      </w:r>
      <w:r w:rsidRPr="00982971">
        <w:rPr>
          <w:color w:val="000000" w:themeColor="text1"/>
          <w:shd w:val="clear" w:color="auto" w:fill="FFFFFF"/>
        </w:rPr>
        <w:t xml:space="preserve"> 0.4 μM </w:t>
      </w:r>
      <w:r w:rsidRPr="00982971">
        <w:rPr>
          <w:color w:val="000000" w:themeColor="text1"/>
        </w:rPr>
        <w:t>mRuby3-BT0996</w:t>
      </w:r>
      <w:r w:rsidRPr="00982971">
        <w:rPr>
          <w:color w:val="000000" w:themeColor="text1"/>
          <w:vertAlign w:val="superscript"/>
        </w:rPr>
        <w:t>E240A</w:t>
      </w:r>
      <w:r w:rsidRPr="00982971">
        <w:rPr>
          <w:color w:val="000000" w:themeColor="text1"/>
        </w:rPr>
        <w:t xml:space="preserve"> after pretreatment with 1 μM native BT0996 GH137, </w:t>
      </w:r>
      <w:r w:rsidRPr="00982971">
        <w:rPr>
          <w:b/>
          <w:bCs/>
          <w:color w:val="000000" w:themeColor="text1"/>
          <w:shd w:val="clear" w:color="auto" w:fill="FFFFFF"/>
        </w:rPr>
        <w:t>e,</w:t>
      </w:r>
      <w:r w:rsidRPr="00982971">
        <w:rPr>
          <w:color w:val="000000" w:themeColor="text1"/>
          <w:shd w:val="clear" w:color="auto" w:fill="FFFFFF"/>
        </w:rPr>
        <w:t xml:space="preserve"> 0.4 μM </w:t>
      </w:r>
      <w:r w:rsidRPr="00982971">
        <w:rPr>
          <w:color w:val="000000" w:themeColor="text1"/>
        </w:rPr>
        <w:t>mRuby3-BT0996</w:t>
      </w:r>
      <w:r w:rsidRPr="00982971">
        <w:rPr>
          <w:color w:val="000000" w:themeColor="text1"/>
          <w:vertAlign w:val="superscript"/>
        </w:rPr>
        <w:t>E240A</w:t>
      </w:r>
      <w:r w:rsidRPr="00982971">
        <w:rPr>
          <w:color w:val="000000" w:themeColor="text1"/>
        </w:rPr>
        <w:t xml:space="preserve"> after preincubation with 2 mM RG-II monomer or </w:t>
      </w:r>
      <w:r w:rsidRPr="00982971">
        <w:rPr>
          <w:b/>
          <w:bCs/>
          <w:color w:val="000000" w:themeColor="text1"/>
          <w:shd w:val="clear" w:color="auto" w:fill="FFFFFF"/>
        </w:rPr>
        <w:t>f,</w:t>
      </w:r>
      <w:r w:rsidRPr="00982971">
        <w:rPr>
          <w:color w:val="000000" w:themeColor="text1"/>
          <w:shd w:val="clear" w:color="auto" w:fill="FFFFFF"/>
        </w:rPr>
        <w:t xml:space="preserve"> </w:t>
      </w:r>
      <w:r w:rsidRPr="00982971">
        <w:rPr>
          <w:color w:val="000000" w:themeColor="text1"/>
        </w:rPr>
        <w:t xml:space="preserve">1 mM RG-II dimer. </w:t>
      </w:r>
      <w:r w:rsidRPr="00982971">
        <w:rPr>
          <w:color w:val="000000" w:themeColor="text1"/>
          <w:shd w:val="clear" w:color="auto" w:fill="FFFFFF"/>
        </w:rPr>
        <w:t>Scale bars = 50 μm</w:t>
      </w:r>
      <w:r w:rsidRPr="00982971">
        <w:rPr>
          <w:color w:val="000000" w:themeColor="text1"/>
        </w:rPr>
        <w:t xml:space="preserve">. </w:t>
      </w:r>
      <w:r w:rsidRPr="00982971">
        <w:rPr>
          <w:b/>
          <w:bCs/>
          <w:color w:val="000000" w:themeColor="text1"/>
          <w:shd w:val="clear" w:color="auto" w:fill="FFFFFF"/>
        </w:rPr>
        <w:t>g,</w:t>
      </w:r>
      <w:r w:rsidRPr="00982971">
        <w:rPr>
          <w:color w:val="000000" w:themeColor="text1"/>
          <w:shd w:val="clear" w:color="auto" w:fill="FFFFFF"/>
        </w:rPr>
        <w:t xml:space="preserve"> 0.4 μM </w:t>
      </w:r>
      <w:r w:rsidRPr="00982971">
        <w:rPr>
          <w:color w:val="000000" w:themeColor="text1"/>
        </w:rPr>
        <w:t>mRuby3-BT0996</w:t>
      </w:r>
      <w:r w:rsidRPr="00982971">
        <w:rPr>
          <w:color w:val="000000" w:themeColor="text1"/>
          <w:vertAlign w:val="superscript"/>
        </w:rPr>
        <w:t>E240A</w:t>
      </w:r>
      <w:r w:rsidRPr="00982971">
        <w:rPr>
          <w:color w:val="000000" w:themeColor="text1"/>
        </w:rPr>
        <w:t xml:space="preserve"> after preincubation with 2.5 mM RG-II monomer or </w:t>
      </w:r>
      <w:r w:rsidRPr="00982971">
        <w:rPr>
          <w:b/>
          <w:bCs/>
          <w:color w:val="000000" w:themeColor="text1"/>
          <w:shd w:val="clear" w:color="auto" w:fill="FFFFFF"/>
        </w:rPr>
        <w:t>h,</w:t>
      </w:r>
      <w:r w:rsidRPr="00982971">
        <w:rPr>
          <w:color w:val="000000" w:themeColor="text1"/>
          <w:shd w:val="clear" w:color="auto" w:fill="FFFFFF"/>
        </w:rPr>
        <w:t xml:space="preserve"> </w:t>
      </w:r>
      <w:r w:rsidRPr="00982971">
        <w:rPr>
          <w:color w:val="000000" w:themeColor="text1"/>
        </w:rPr>
        <w:t xml:space="preserve">2.5 mM RG-II dimer. </w:t>
      </w:r>
      <w:r w:rsidRPr="00982971">
        <w:rPr>
          <w:color w:val="000000" w:themeColor="text1"/>
          <w:shd w:val="clear" w:color="auto" w:fill="FFFFFF"/>
        </w:rPr>
        <w:t>Scale bars = 25 μm</w:t>
      </w:r>
      <w:r w:rsidRPr="00982971">
        <w:rPr>
          <w:color w:val="000000" w:themeColor="text1"/>
        </w:rPr>
        <w:t>. Color scales indicate the normalized maximum [+] and minimum [-] pixel intensities in each image.</w:t>
      </w:r>
    </w:p>
    <w:p w14:paraId="23C1A498" w14:textId="77777777" w:rsidR="00D92C13" w:rsidRPr="00982971" w:rsidRDefault="00D92C13" w:rsidP="00D92C13">
      <w:pPr>
        <w:spacing w:line="480" w:lineRule="auto"/>
        <w:jc w:val="both"/>
        <w:rPr>
          <w:color w:val="000000" w:themeColor="text1"/>
        </w:rPr>
      </w:pPr>
    </w:p>
    <w:p w14:paraId="56D414D6" w14:textId="77777777" w:rsidR="00D92C13" w:rsidRPr="00982971" w:rsidRDefault="00D92C13" w:rsidP="00D92C13">
      <w:pPr>
        <w:spacing w:line="480" w:lineRule="auto"/>
      </w:pPr>
      <w:r w:rsidRPr="00982971">
        <w:rPr>
          <w:b/>
          <w:bCs/>
        </w:rPr>
        <w:t xml:space="preserve">SI Figure 9. Distinct labeling of </w:t>
      </w:r>
      <w:r w:rsidRPr="00982971">
        <w:rPr>
          <w:b/>
          <w:bCs/>
          <w:i/>
          <w:iCs/>
        </w:rPr>
        <w:t>Arabidopsis thaliana</w:t>
      </w:r>
      <w:r w:rsidRPr="00982971">
        <w:rPr>
          <w:b/>
          <w:bCs/>
        </w:rPr>
        <w:t xml:space="preserve"> stem sections</w:t>
      </w:r>
      <w:r w:rsidRPr="00982971">
        <w:rPr>
          <w:b/>
          <w:bCs/>
          <w:color w:val="000000" w:themeColor="text1"/>
        </w:rPr>
        <w:t xml:space="preserve"> with mRuby3-BT0996</w:t>
      </w:r>
      <w:r w:rsidRPr="00982971">
        <w:rPr>
          <w:b/>
          <w:bCs/>
          <w:color w:val="000000" w:themeColor="text1"/>
          <w:vertAlign w:val="superscript"/>
        </w:rPr>
        <w:t>E240A</w:t>
      </w:r>
      <w:r w:rsidRPr="00982971">
        <w:rPr>
          <w:b/>
          <w:bCs/>
        </w:rPr>
        <w:t xml:space="preserve"> and plant glycan-directed monoclonal antibodies</w:t>
      </w:r>
    </w:p>
    <w:p w14:paraId="213049BC" w14:textId="77777777" w:rsidR="00D92C13" w:rsidRPr="00982971" w:rsidRDefault="00D92C13" w:rsidP="00D92C13">
      <w:pPr>
        <w:spacing w:line="480" w:lineRule="auto"/>
        <w:jc w:val="both"/>
      </w:pPr>
      <w:r w:rsidRPr="00982971">
        <w:rPr>
          <w:b/>
          <w:bCs/>
        </w:rPr>
        <w:t>a,</w:t>
      </w:r>
      <w:r w:rsidRPr="00982971">
        <w:t xml:space="preserve"> Fluorescence images (left – 10X, right – 20X) showing labeling with CCRC-M38 (de-esterified HG), </w:t>
      </w:r>
      <w:r w:rsidRPr="00982971">
        <w:rPr>
          <w:b/>
          <w:bCs/>
        </w:rPr>
        <w:t>b</w:t>
      </w:r>
      <w:r w:rsidRPr="00982971">
        <w:t xml:space="preserve">, CCRC-M14 (RG-I backbone), </w:t>
      </w:r>
      <w:r w:rsidRPr="00982971">
        <w:rPr>
          <w:b/>
          <w:bCs/>
        </w:rPr>
        <w:t>c</w:t>
      </w:r>
      <w:r w:rsidRPr="00982971">
        <w:t>, mRuby3–BT0996</w:t>
      </w:r>
      <w:r w:rsidRPr="00982971">
        <w:rPr>
          <w:vertAlign w:val="superscript"/>
        </w:rPr>
        <w:t>E240A</w:t>
      </w:r>
      <w:r w:rsidRPr="00982971">
        <w:t xml:space="preserve"> (RG-II), or </w:t>
      </w:r>
      <w:r w:rsidRPr="00982971">
        <w:rPr>
          <w:rFonts w:eastAsiaTheme="majorEastAsia"/>
          <w:b/>
          <w:bCs/>
        </w:rPr>
        <w:t>d</w:t>
      </w:r>
      <w:r w:rsidRPr="00982971">
        <w:rPr>
          <w:rFonts w:eastAsiaTheme="majorEastAsia"/>
        </w:rPr>
        <w:t xml:space="preserve">, CCRC-M1 (fucosylated xyloglucan). 10X </w:t>
      </w:r>
      <w:r w:rsidRPr="00982971">
        <w:rPr>
          <w:color w:val="000000" w:themeColor="text1"/>
          <w:shd w:val="clear" w:color="auto" w:fill="FFFFFF"/>
        </w:rPr>
        <w:t xml:space="preserve">scale bars = 50 μm, 20X </w:t>
      </w:r>
      <w:r w:rsidRPr="00982971">
        <w:rPr>
          <w:color w:val="000000" w:themeColor="text1"/>
        </w:rPr>
        <w:t>s</w:t>
      </w:r>
      <w:r w:rsidRPr="00982971">
        <w:rPr>
          <w:color w:val="000000" w:themeColor="text1"/>
          <w:shd w:val="clear" w:color="auto" w:fill="FFFFFF"/>
        </w:rPr>
        <w:t>cale bars = 25 μm. All images are maximum projection images generated from z-stacks.</w:t>
      </w:r>
    </w:p>
    <w:p w14:paraId="54896BAA" w14:textId="77777777" w:rsidR="00D92C13" w:rsidRPr="00982971" w:rsidRDefault="00D92C13" w:rsidP="00D92C13">
      <w:pPr>
        <w:spacing w:line="480" w:lineRule="auto"/>
        <w:jc w:val="both"/>
        <w:rPr>
          <w:color w:val="000000" w:themeColor="text1"/>
        </w:rPr>
      </w:pPr>
    </w:p>
    <w:p w14:paraId="36F445B4" w14:textId="77777777" w:rsidR="00D92C13" w:rsidRPr="00982971" w:rsidRDefault="00D92C13" w:rsidP="00D92C13">
      <w:pPr>
        <w:spacing w:line="480" w:lineRule="auto"/>
        <w:jc w:val="both"/>
        <w:rPr>
          <w:b/>
          <w:bCs/>
        </w:rPr>
      </w:pPr>
      <w:r w:rsidRPr="00982971">
        <w:rPr>
          <w:b/>
          <w:bCs/>
        </w:rPr>
        <w:lastRenderedPageBreak/>
        <w:t>SI Table 1. Summary of statistical analyses</w:t>
      </w:r>
    </w:p>
    <w:p w14:paraId="5422E846" w14:textId="77777777" w:rsidR="00D92C13" w:rsidRPr="00982971" w:rsidRDefault="00D92C13" w:rsidP="00D92C13">
      <w:pPr>
        <w:spacing w:line="480" w:lineRule="auto"/>
        <w:jc w:val="both"/>
        <w:rPr>
          <w:b/>
          <w:bCs/>
        </w:rPr>
      </w:pPr>
    </w:p>
    <w:p w14:paraId="5A35B61F" w14:textId="77777777" w:rsidR="00D92C13" w:rsidRPr="00961FD8" w:rsidRDefault="00D92C13" w:rsidP="00D92C13">
      <w:pPr>
        <w:spacing w:line="480" w:lineRule="auto"/>
        <w:jc w:val="both"/>
        <w:rPr>
          <w:color w:val="000000" w:themeColor="text1"/>
        </w:rPr>
      </w:pPr>
      <w:r w:rsidRPr="00982971">
        <w:rPr>
          <w:b/>
          <w:bCs/>
        </w:rPr>
        <w:t>SI Table 2. Light microscopy reporting table</w:t>
      </w:r>
    </w:p>
    <w:p w14:paraId="5998A44B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2C13"/>
    <w:rsid w:val="002E281E"/>
    <w:rsid w:val="003201BB"/>
    <w:rsid w:val="004573E8"/>
    <w:rsid w:val="00865217"/>
    <w:rsid w:val="00D92C13"/>
    <w:rsid w:val="00F978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78AB80"/>
  <w15:chartTrackingRefBased/>
  <w15:docId w15:val="{8C9C490D-16F3-4F91-9765-FC4C1796DE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92C13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92C13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92C13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92C13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92C13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92C13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92C13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92C13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92C13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92C13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92C1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92C1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92C1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92C1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92C1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92C1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92C1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92C1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92C1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92C1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92C1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92C13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92C1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92C13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92C1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92C13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92C1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92C1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92C1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92C1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1039</Words>
  <Characters>5907</Characters>
  <Application>Microsoft Office Word</Application>
  <DocSecurity>0</DocSecurity>
  <Lines>95</Lines>
  <Paragraphs>20</Paragraphs>
  <ScaleCrop>false</ScaleCrop>
  <Company>Springer Nature</Company>
  <LinksUpToDate>false</LinksUpToDate>
  <CharactersWithSpaces>6930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2</cp:revision>
  <dcterms:created xsi:type="dcterms:W3CDTF">2025-11-21T09:27:00Z</dcterms:created>
  <dcterms:modified xsi:type="dcterms:W3CDTF">2025-11-21T09:28:00Z</dcterms:modified>
</cp:coreProperties>
</file>