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5032F2" w14:textId="59781D4B" w:rsidR="00752075" w:rsidRPr="001E5727" w:rsidRDefault="001E5727">
      <w:pPr>
        <w:rPr>
          <w:rFonts w:ascii="Times New Roman" w:hAnsi="Times New Roman" w:cs="Times New Roman"/>
        </w:rPr>
      </w:pPr>
      <w:r w:rsidRPr="001E5727">
        <w:rPr>
          <w:rFonts w:ascii="Times New Roman" w:hAnsi="Times New Roman" w:cs="Times New Roman"/>
          <w:noProof/>
        </w:rPr>
        <w:drawing>
          <wp:inline distT="0" distB="0" distL="0" distR="0" wp14:anchorId="38578161" wp14:editId="1A31FBA9">
            <wp:extent cx="5274310" cy="259778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9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F2130C" w14:textId="73BFC3E4" w:rsidR="001E5727" w:rsidRPr="001E5727" w:rsidRDefault="001E5727" w:rsidP="001E5727">
      <w:pPr>
        <w:rPr>
          <w:rFonts w:ascii="Times New Roman" w:hAnsi="Times New Roman" w:cs="Times New Roman"/>
        </w:rPr>
      </w:pPr>
      <w:r w:rsidRPr="001E5727">
        <w:rPr>
          <w:rFonts w:ascii="Times New Roman" w:hAnsi="Times New Roman" w:cs="Times New Roman"/>
        </w:rPr>
        <w:t>Figure S1. chromosomal microarray (CMA)and CNV sequencing (CNV-Seq) profiles of Case 18. The CMA analysis on uncultured AF samples</w:t>
      </w:r>
      <w:r w:rsidR="00060DA0">
        <w:rPr>
          <w:rFonts w:ascii="Times New Roman" w:hAnsi="Times New Roman" w:cs="Times New Roman"/>
        </w:rPr>
        <w:t xml:space="preserve"> </w:t>
      </w:r>
      <w:r w:rsidRPr="001E5727">
        <w:rPr>
          <w:rFonts w:ascii="Times New Roman" w:hAnsi="Times New Roman" w:cs="Times New Roman"/>
        </w:rPr>
        <w:t xml:space="preserve">(Panel a) shows a mosaic trisomy 8 (approximately 24%). The CNV‐seq profiles of the same sample (Panel b) show low ratio of mosaic trisomy 8 (approximately 18%). The blue line represents the mean copy number and the black box represents the centromere. </w:t>
      </w:r>
    </w:p>
    <w:p w14:paraId="7008B9A2" w14:textId="7345EE78" w:rsidR="001E5727" w:rsidRPr="001E5727" w:rsidRDefault="001E5727">
      <w:pPr>
        <w:widowControl/>
        <w:jc w:val="left"/>
        <w:rPr>
          <w:rFonts w:ascii="Times New Roman" w:hAnsi="Times New Roman" w:cs="Times New Roman"/>
        </w:rPr>
      </w:pPr>
      <w:r w:rsidRPr="001E5727">
        <w:rPr>
          <w:rFonts w:ascii="Times New Roman" w:hAnsi="Times New Roman" w:cs="Times New Roman"/>
        </w:rPr>
        <w:br w:type="page"/>
      </w:r>
    </w:p>
    <w:p w14:paraId="5CDA558C" w14:textId="14CFEDAE" w:rsidR="001E5727" w:rsidRPr="001E5727" w:rsidRDefault="001E5727">
      <w:pPr>
        <w:rPr>
          <w:rFonts w:ascii="Times New Roman" w:hAnsi="Times New Roman" w:cs="Times New Roman"/>
        </w:rPr>
      </w:pPr>
      <w:r w:rsidRPr="001E572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BA78BED" wp14:editId="790A2239">
            <wp:extent cx="5274310" cy="237109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7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C75E59" w14:textId="1ECAFE5C" w:rsidR="001E5727" w:rsidRPr="001E5727" w:rsidRDefault="001E5727" w:rsidP="001E5727">
      <w:pPr>
        <w:rPr>
          <w:rFonts w:ascii="Times New Roman" w:hAnsi="Times New Roman" w:cs="Times New Roman"/>
        </w:rPr>
      </w:pPr>
      <w:r w:rsidRPr="001E5727">
        <w:rPr>
          <w:rFonts w:ascii="Times New Roman" w:hAnsi="Times New Roman" w:cs="Times New Roman"/>
        </w:rPr>
        <w:t xml:space="preserve">Figure S2. Chromosomal microarray (CMA) and CNV sequencing (CNV-Seq) profiles of Case 36 and Case 41. </w:t>
      </w:r>
      <w:proofErr w:type="gramStart"/>
      <w:r w:rsidRPr="001E5727">
        <w:rPr>
          <w:rFonts w:ascii="Times New Roman" w:hAnsi="Times New Roman" w:cs="Times New Roman"/>
        </w:rPr>
        <w:t>a.The</w:t>
      </w:r>
      <w:proofErr w:type="gramEnd"/>
      <w:r w:rsidRPr="001E5727">
        <w:rPr>
          <w:rFonts w:ascii="Times New Roman" w:hAnsi="Times New Roman" w:cs="Times New Roman"/>
        </w:rPr>
        <w:t xml:space="preserve"> CMA analysis on uncultured AF samples(Panel a) shows a normal result. The CNV‐seq profiles of the same AF samples (Panel b) show low ratio of mosaic monosomy </w:t>
      </w:r>
      <w:proofErr w:type="gramStart"/>
      <w:r w:rsidRPr="001E5727">
        <w:rPr>
          <w:rFonts w:ascii="Times New Roman" w:hAnsi="Times New Roman" w:cs="Times New Roman"/>
        </w:rPr>
        <w:t>X(</w:t>
      </w:r>
      <w:proofErr w:type="gramEnd"/>
      <w:r w:rsidRPr="001E5727">
        <w:rPr>
          <w:rFonts w:ascii="Times New Roman" w:hAnsi="Times New Roman" w:cs="Times New Roman"/>
        </w:rPr>
        <w:t xml:space="preserve">approximately 8%). The CNV‐seq profiles of the maternal and fetal center of placenta show monosomy X with the level of 11% and 83%. The blue line represents the mean copy number and the black box represents the centromere. (b) The CMA analysis on uncultured AF samples shows a normal result. The CNV‐seq profiles of the same AF samples show low ratio of mosaic monosomy </w:t>
      </w:r>
      <w:proofErr w:type="gramStart"/>
      <w:r w:rsidRPr="001E5727">
        <w:rPr>
          <w:rFonts w:ascii="Times New Roman" w:hAnsi="Times New Roman" w:cs="Times New Roman"/>
        </w:rPr>
        <w:t>X(</w:t>
      </w:r>
      <w:proofErr w:type="gramEnd"/>
      <w:r w:rsidRPr="001E5727">
        <w:rPr>
          <w:rFonts w:ascii="Times New Roman" w:hAnsi="Times New Roman" w:cs="Times New Roman"/>
        </w:rPr>
        <w:t xml:space="preserve">approximately 8%). The CNV‐seq profiles of the maternal and fetal center of placenta show monosomy X with the level of 15% and 78%. The blue line represents the mean copy number and the black box represents the centromere. </w:t>
      </w:r>
    </w:p>
    <w:p w14:paraId="07DDE130" w14:textId="79151EC5" w:rsidR="001E5727" w:rsidRPr="001E5727" w:rsidRDefault="001E5727">
      <w:pPr>
        <w:widowControl/>
        <w:jc w:val="left"/>
        <w:rPr>
          <w:rFonts w:ascii="Times New Roman" w:hAnsi="Times New Roman" w:cs="Times New Roman"/>
        </w:rPr>
      </w:pPr>
      <w:r w:rsidRPr="001E5727">
        <w:rPr>
          <w:rFonts w:ascii="Times New Roman" w:hAnsi="Times New Roman" w:cs="Times New Roman"/>
        </w:rPr>
        <w:br w:type="page"/>
      </w:r>
    </w:p>
    <w:p w14:paraId="3A4A69D2" w14:textId="5A8EC89E" w:rsidR="001E5727" w:rsidRPr="001E5727" w:rsidRDefault="001E5727">
      <w:pPr>
        <w:rPr>
          <w:rFonts w:ascii="Times New Roman" w:hAnsi="Times New Roman" w:cs="Times New Roman"/>
        </w:rPr>
      </w:pPr>
      <w:r w:rsidRPr="001E572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5B88311" wp14:editId="2165D450">
            <wp:extent cx="5274310" cy="4126230"/>
            <wp:effectExtent l="0" t="0" r="254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26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20AA52" w14:textId="6C49A991" w:rsidR="001E5727" w:rsidRPr="001E5727" w:rsidRDefault="001E5727" w:rsidP="001E5727">
      <w:pPr>
        <w:rPr>
          <w:rFonts w:ascii="Times New Roman" w:hAnsi="Times New Roman" w:cs="Times New Roman"/>
        </w:rPr>
      </w:pPr>
      <w:r w:rsidRPr="001E5727">
        <w:rPr>
          <w:rFonts w:ascii="Times New Roman" w:hAnsi="Times New Roman" w:cs="Times New Roman"/>
        </w:rPr>
        <w:t>Figure S3. Discordant chromosomal abnormalities detected by karyotyping and copy number variation sequencing (CNV-Seq) in Case 63. The CMA analysis on uncultured CD sample shows a 20.44 Mb mosaic duplication at chromosome 8p21.3p11.21 (approximately 23 % of cells) marked by arrow. CNV-Seq profile are shown for Case 63 (8p22p11.1 dup 25.3 Mb, approximately 23 % of cells). Positions of CNVs are indicated by arrows</w:t>
      </w:r>
      <w:r w:rsidRPr="001E5727">
        <w:rPr>
          <w:rFonts w:ascii="Times New Roman" w:hAnsi="Times New Roman" w:cs="Times New Roman"/>
        </w:rPr>
        <w:t>.</w:t>
      </w:r>
    </w:p>
    <w:p w14:paraId="60FB1CE1" w14:textId="1C8FD1A9" w:rsidR="001E5727" w:rsidRPr="001E5727" w:rsidRDefault="001E5727">
      <w:pPr>
        <w:widowControl/>
        <w:jc w:val="left"/>
        <w:rPr>
          <w:rFonts w:ascii="Times New Roman" w:hAnsi="Times New Roman" w:cs="Times New Roman"/>
        </w:rPr>
      </w:pPr>
      <w:r w:rsidRPr="001E5727">
        <w:rPr>
          <w:rFonts w:ascii="Times New Roman" w:hAnsi="Times New Roman" w:cs="Times New Roman"/>
        </w:rPr>
        <w:br w:type="page"/>
      </w:r>
    </w:p>
    <w:p w14:paraId="546B05C7" w14:textId="10A9FE20" w:rsidR="001E5727" w:rsidRPr="001E5727" w:rsidRDefault="001E5727" w:rsidP="001E5727">
      <w:pPr>
        <w:rPr>
          <w:rFonts w:ascii="Times New Roman" w:hAnsi="Times New Roman" w:cs="Times New Roman"/>
        </w:rPr>
      </w:pPr>
      <w:r w:rsidRPr="001E572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3D6176B" wp14:editId="635A0CCD">
            <wp:extent cx="5274310" cy="2297430"/>
            <wp:effectExtent l="0" t="0" r="2540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97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2ED1E8" w14:textId="77777777" w:rsidR="001E5727" w:rsidRPr="001E5727" w:rsidRDefault="001E5727" w:rsidP="001E5727">
      <w:pPr>
        <w:rPr>
          <w:rFonts w:ascii="Times New Roman" w:hAnsi="Times New Roman" w:cs="Times New Roman"/>
        </w:rPr>
      </w:pPr>
      <w:r w:rsidRPr="001E5727">
        <w:rPr>
          <w:rFonts w:ascii="Times New Roman" w:hAnsi="Times New Roman" w:cs="Times New Roman"/>
        </w:rPr>
        <w:t>Figure S4. Chromsomal mosaicism for Xp2.33q21.31 detected by chromosomal microarray (CMA) and copy number variation sequencing (CNV-Seq) in Case 64. CMA (left), CNV-Seq (left) and karyotypes profiles (right) are shown for Case 64. Blue lines on sequencing plots represent mean copy number change.</w:t>
      </w:r>
    </w:p>
    <w:p w14:paraId="6486C972" w14:textId="63CC4B7F" w:rsidR="001E5727" w:rsidRPr="001E5727" w:rsidRDefault="001E5727">
      <w:pPr>
        <w:widowControl/>
        <w:jc w:val="left"/>
        <w:rPr>
          <w:rFonts w:ascii="Times New Roman" w:hAnsi="Times New Roman" w:cs="Times New Roman"/>
        </w:rPr>
      </w:pPr>
      <w:r w:rsidRPr="001E5727">
        <w:rPr>
          <w:rFonts w:ascii="Times New Roman" w:hAnsi="Times New Roman" w:cs="Times New Roman"/>
        </w:rPr>
        <w:br w:type="page"/>
      </w:r>
    </w:p>
    <w:p w14:paraId="2F7945D7" w14:textId="3840FA64" w:rsidR="001E5727" w:rsidRPr="001E5727" w:rsidRDefault="001E5727" w:rsidP="001E5727">
      <w:pPr>
        <w:rPr>
          <w:rFonts w:ascii="Times New Roman" w:hAnsi="Times New Roman" w:cs="Times New Roman"/>
        </w:rPr>
      </w:pPr>
      <w:r w:rsidRPr="001E572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206543F" wp14:editId="623577C7">
            <wp:extent cx="5274310" cy="255587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5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0AC6B6" w14:textId="77777777" w:rsidR="001E5727" w:rsidRPr="001E5727" w:rsidRDefault="001E5727" w:rsidP="001E5727">
      <w:pPr>
        <w:rPr>
          <w:rFonts w:ascii="Times New Roman" w:hAnsi="Times New Roman" w:cs="Times New Roman"/>
        </w:rPr>
      </w:pPr>
      <w:r w:rsidRPr="001E5727">
        <w:rPr>
          <w:rFonts w:ascii="Times New Roman" w:hAnsi="Times New Roman" w:cs="Times New Roman"/>
        </w:rPr>
        <w:t xml:space="preserve">Figure S5. Duplication of Yq11.222q11.223 detected by chromosomal microarray (CMA) and copy number variation sequencing (CNV-Seq) in Case 65. CMA (left), CNV-Seq (left) and karyotypes profiles (right) are shown for Case 65. Blue lines on sequencing plots represent mean copy numbe. Positions of CNVs are indicated by arrows change. </w:t>
      </w:r>
    </w:p>
    <w:p w14:paraId="2FD293CA" w14:textId="53293A58" w:rsidR="001E5727" w:rsidRPr="001E5727" w:rsidRDefault="001E5727">
      <w:pPr>
        <w:widowControl/>
        <w:jc w:val="left"/>
        <w:rPr>
          <w:rFonts w:ascii="Times New Roman" w:hAnsi="Times New Roman" w:cs="Times New Roman"/>
        </w:rPr>
      </w:pPr>
      <w:r w:rsidRPr="001E5727">
        <w:rPr>
          <w:rFonts w:ascii="Times New Roman" w:hAnsi="Times New Roman" w:cs="Times New Roman"/>
        </w:rPr>
        <w:br w:type="page"/>
      </w:r>
    </w:p>
    <w:p w14:paraId="6FB0191C" w14:textId="15EF4672" w:rsidR="001E5727" w:rsidRPr="001E5727" w:rsidRDefault="001E5727" w:rsidP="001E5727">
      <w:pPr>
        <w:rPr>
          <w:rFonts w:ascii="Times New Roman" w:hAnsi="Times New Roman" w:cs="Times New Roman"/>
        </w:rPr>
      </w:pPr>
      <w:r w:rsidRPr="001E572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33EF716" wp14:editId="2ED3FF20">
            <wp:extent cx="5274310" cy="2682240"/>
            <wp:effectExtent l="0" t="0" r="254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8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590AFB" w14:textId="1D77C1A3" w:rsidR="001E5727" w:rsidRPr="001E5727" w:rsidRDefault="001E5727" w:rsidP="001E5727">
      <w:pPr>
        <w:rPr>
          <w:rFonts w:ascii="Times New Roman" w:hAnsi="Times New Roman" w:cs="Times New Roman"/>
        </w:rPr>
      </w:pPr>
      <w:r w:rsidRPr="001E5727">
        <w:rPr>
          <w:rFonts w:ascii="Times New Roman" w:hAnsi="Times New Roman" w:cs="Times New Roman"/>
        </w:rPr>
        <w:t>Figure S6. Deletion of Xp22.33p11.21 and Xq13.2q28 detected by chromosomal microarray (CMA) and copy number variation sequencing (CNV-Seq) in Case 66. CMA (left), CNV-Seq (left) and karyotypes profiles (right) are shown for Case 66. Blue lines on sequencing plots represent mean copy number change. Positions of CNVs are indicated by arrows</w:t>
      </w:r>
      <w:r w:rsidRPr="001E5727">
        <w:rPr>
          <w:rFonts w:ascii="Times New Roman" w:hAnsi="Times New Roman" w:cs="Times New Roman"/>
        </w:rPr>
        <w:t>.</w:t>
      </w:r>
    </w:p>
    <w:p w14:paraId="164C58AB" w14:textId="09F2526B" w:rsidR="001E5727" w:rsidRPr="001E5727" w:rsidRDefault="001E5727">
      <w:pPr>
        <w:widowControl/>
        <w:jc w:val="left"/>
        <w:rPr>
          <w:rFonts w:ascii="Times New Roman" w:hAnsi="Times New Roman" w:cs="Times New Roman"/>
        </w:rPr>
      </w:pPr>
      <w:r w:rsidRPr="001E5727">
        <w:rPr>
          <w:rFonts w:ascii="Times New Roman" w:hAnsi="Times New Roman" w:cs="Times New Roman"/>
        </w:rPr>
        <w:br w:type="page"/>
      </w:r>
    </w:p>
    <w:p w14:paraId="3050927D" w14:textId="0A1BA54C" w:rsidR="001E5727" w:rsidRPr="001E5727" w:rsidRDefault="001E5727" w:rsidP="001E5727">
      <w:pPr>
        <w:rPr>
          <w:rFonts w:ascii="Times New Roman" w:hAnsi="Times New Roman" w:cs="Times New Roman"/>
        </w:rPr>
      </w:pPr>
      <w:r w:rsidRPr="001E572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E5B2430" wp14:editId="5A0843BE">
            <wp:extent cx="5274310" cy="2886075"/>
            <wp:effectExtent l="0" t="0" r="254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6603DD" w14:textId="77777777" w:rsidR="001E5727" w:rsidRPr="001E5727" w:rsidRDefault="001E5727" w:rsidP="001E5727">
      <w:pPr>
        <w:rPr>
          <w:rFonts w:ascii="Times New Roman" w:hAnsi="Times New Roman" w:cs="Times New Roman"/>
        </w:rPr>
      </w:pPr>
      <w:r w:rsidRPr="001E5727">
        <w:rPr>
          <w:rFonts w:ascii="Times New Roman" w:hAnsi="Times New Roman" w:cs="Times New Roman"/>
        </w:rPr>
        <w:t>Figure S7. Trisomy 21 and duplication of Xp11.21q28 detected by chromosomal microarray (CMA) and copy number variation sequencing (CNV-Seq) in Case 67. CMA, CNV-Seq and karyotypes profiles are shown for Case 67. Blue lines on sequencing plots represent mean copy number change. Positions of CNVs are indicated by arrows.</w:t>
      </w:r>
    </w:p>
    <w:p w14:paraId="61A0FCD8" w14:textId="77777777" w:rsidR="001E5727" w:rsidRPr="001E5727" w:rsidRDefault="001E5727" w:rsidP="001E5727">
      <w:pPr>
        <w:rPr>
          <w:rFonts w:ascii="Times New Roman" w:hAnsi="Times New Roman" w:cs="Times New Roman"/>
        </w:rPr>
      </w:pPr>
    </w:p>
    <w:p w14:paraId="176E3266" w14:textId="77777777" w:rsidR="001E5727" w:rsidRPr="001E5727" w:rsidRDefault="001E5727" w:rsidP="001E5727">
      <w:pPr>
        <w:rPr>
          <w:rFonts w:ascii="Times New Roman" w:hAnsi="Times New Roman" w:cs="Times New Roman"/>
        </w:rPr>
      </w:pPr>
    </w:p>
    <w:p w14:paraId="32B34125" w14:textId="77777777" w:rsidR="001E5727" w:rsidRPr="001E5727" w:rsidRDefault="001E5727">
      <w:pPr>
        <w:rPr>
          <w:rFonts w:ascii="Times New Roman" w:hAnsi="Times New Roman" w:cs="Times New Roman"/>
        </w:rPr>
      </w:pPr>
    </w:p>
    <w:sectPr w:rsidR="001E5727" w:rsidRPr="001E57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D067DC" w14:textId="77777777" w:rsidR="00780427" w:rsidRDefault="00780427" w:rsidP="001E5727">
      <w:r>
        <w:separator/>
      </w:r>
    </w:p>
  </w:endnote>
  <w:endnote w:type="continuationSeparator" w:id="0">
    <w:p w14:paraId="11A2FE05" w14:textId="77777777" w:rsidR="00780427" w:rsidRDefault="00780427" w:rsidP="001E5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EF3627" w14:textId="77777777" w:rsidR="00780427" w:rsidRDefault="00780427" w:rsidP="001E5727">
      <w:r>
        <w:separator/>
      </w:r>
    </w:p>
  </w:footnote>
  <w:footnote w:type="continuationSeparator" w:id="0">
    <w:p w14:paraId="2548E7FE" w14:textId="77777777" w:rsidR="00780427" w:rsidRDefault="00780427" w:rsidP="001E57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35E"/>
    <w:rsid w:val="00060DA0"/>
    <w:rsid w:val="001E5727"/>
    <w:rsid w:val="00752075"/>
    <w:rsid w:val="00780427"/>
    <w:rsid w:val="00BF4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903619"/>
  <w15:chartTrackingRefBased/>
  <w15:docId w15:val="{98150AAE-D376-4B4D-B6B8-60985ABF6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57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E57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E57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E572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E572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E57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386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96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1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5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9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445</Words>
  <Characters>2543</Characters>
  <Application>Microsoft Office Word</Application>
  <DocSecurity>0</DocSecurity>
  <Lines>21</Lines>
  <Paragraphs>5</Paragraphs>
  <ScaleCrop>false</ScaleCrop>
  <Company/>
  <LinksUpToDate>false</LinksUpToDate>
  <CharactersWithSpaces>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 ma</dc:creator>
  <cp:keywords/>
  <dc:description/>
  <cp:lastModifiedBy>na ma</cp:lastModifiedBy>
  <cp:revision>3</cp:revision>
  <dcterms:created xsi:type="dcterms:W3CDTF">2020-09-17T13:23:00Z</dcterms:created>
  <dcterms:modified xsi:type="dcterms:W3CDTF">2020-09-17T13:27:00Z</dcterms:modified>
</cp:coreProperties>
</file>