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3F98D" w14:textId="77777777" w:rsidR="00CE4D64" w:rsidRPr="006F343D" w:rsidRDefault="00CE4D64" w:rsidP="00CE4D64">
      <w:pPr>
        <w:spacing w:after="0" w:line="240" w:lineRule="auto"/>
        <w:ind w:left="-270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6F343D">
        <w:rPr>
          <w:rFonts w:cstheme="minorHAnsi"/>
          <w:b/>
          <w:sz w:val="24"/>
          <w:szCs w:val="24"/>
          <w:lang w:val="en-GB"/>
        </w:rPr>
        <w:t>Table S1: Bioreactor dimensions with the associated flow rates, velocity, and Reynolds numbers</w:t>
      </w:r>
      <w:hyperlink w:anchor="_ENREF_29" w:tooltip="LaNasa, 2014 #9740" w:history="1">
        <w:r>
          <w:rPr>
            <w:rFonts w:cstheme="minorHAnsi"/>
            <w:b/>
            <w:sz w:val="24"/>
            <w:szCs w:val="24"/>
            <w:lang w:val="en-GB"/>
          </w:rPr>
          <w:fldChar w:fldCharType="begin"/>
        </w:r>
        <w:r>
          <w:rPr>
            <w:rFonts w:cstheme="minorHAnsi"/>
            <w:b/>
            <w:sz w:val="24"/>
            <w:szCs w:val="24"/>
            <w:lang w:val="en-GB"/>
          </w:rPr>
          <w:instrText xml:space="preserve"> ADDIN EN.CITE &lt;EndNote&gt;&lt;Cite&gt;&lt;Author&gt;LaNasa&lt;/Author&gt;&lt;Year&gt;2014&lt;/Year&gt;&lt;RecNum&gt;9740&lt;/RecNum&gt;&lt;DisplayText&gt;&lt;style face="superscript"&gt;29&lt;/style&gt;&lt;/DisplayText&gt;&lt;record&gt;&lt;rec-number&gt;9740&lt;/rec-number&gt;&lt;foreign-keys&gt;&lt;key app="EN" db-id="9v50z20e4aww9heddsrve9enztetwwferrep"&gt;9740&lt;/key&gt;&lt;/foreign-keys&gt;&lt;ref-type name="Book Section"&gt;5&lt;/ref-type&gt;&lt;contributors&gt;&lt;authors&gt;&lt;author&gt;LaNasa, Paul J.&lt;/author&gt;&lt;author&gt;Upp, E. Loy&lt;/author&gt;&lt;/authors&gt;&lt;secondary-authors&gt;&lt;author&gt;LaNasa, Paul J.&lt;/author&gt;&lt;author&gt;Upp, E. Loy&lt;/author&gt;&lt;/secondary-authors&gt;&lt;/contributors&gt;&lt;titles&gt;&lt;title&gt;2 - Basic Flow Measurement Laws&lt;/title&gt;&lt;secondary-title&gt;Fluid Flow Measurement (Third Edition)&lt;/secondary-title&gt;&lt;/titles&gt;&lt;pages&gt;19-29&lt;/pages&gt;&lt;keywords&gt;&lt;keyword&gt;physical law&lt;/keyword&gt;&lt;keyword&gt;fluid flow&lt;/keyword&gt;&lt;keyword&gt;conservation of mass&lt;/keyword&gt;&lt;keyword&gt;conservation of energy&lt;/keyword&gt;&lt;keyword&gt;fluid friction law&lt;/keyword&gt;&lt;keyword&gt;fundamental flow equation&lt;/keyword&gt;&lt;keyword&gt;Reynolds number&lt;/keyword&gt;&lt;/keywords&gt;&lt;dates&gt;&lt;year&gt;2014&lt;/year&gt;&lt;pub-dates&gt;&lt;date&gt;2014/01/01/&lt;/date&gt;&lt;/pub-dates&gt;&lt;/dates&gt;&lt;pub-location&gt;Oxford&lt;/pub-location&gt;&lt;publisher&gt;Butterworth-Heinemann&lt;/publisher&gt;&lt;isbn&gt;978-0-12-409524-3&lt;/isbn&gt;&lt;urls&gt;&lt;related-urls&gt;&lt;url&gt;https://www.sciencedirect.com/science/article/pii/B9780124095243000022&lt;/url&gt;&lt;/related-urls&gt;&lt;/urls&gt;&lt;electronic-resource-num&gt;https://doi.org/10.1016/B978-0-12-409524-3.00002-2&lt;/electronic-resource-num&gt;&lt;/record&gt;&lt;/Cite&gt;&lt;/EndNote&gt;</w:instrText>
        </w:r>
        <w:r>
          <w:rPr>
            <w:rFonts w:cstheme="minorHAnsi"/>
            <w:b/>
            <w:sz w:val="24"/>
            <w:szCs w:val="24"/>
            <w:lang w:val="en-GB"/>
          </w:rPr>
          <w:fldChar w:fldCharType="separate"/>
        </w:r>
        <w:r w:rsidRPr="004719C4">
          <w:rPr>
            <w:rFonts w:cstheme="minorHAnsi"/>
            <w:b/>
            <w:noProof/>
            <w:sz w:val="24"/>
            <w:szCs w:val="24"/>
            <w:vertAlign w:val="superscript"/>
            <w:lang w:val="en-GB"/>
          </w:rPr>
          <w:t>29</w:t>
        </w:r>
        <w:r>
          <w:rPr>
            <w:rFonts w:cstheme="minorHAnsi"/>
            <w:b/>
            <w:sz w:val="24"/>
            <w:szCs w:val="24"/>
            <w:lang w:val="en-GB"/>
          </w:rPr>
          <w:fldChar w:fldCharType="end"/>
        </w:r>
      </w:hyperlink>
      <w:r w:rsidRPr="006F343D">
        <w:rPr>
          <w:rFonts w:cstheme="minorHAnsi"/>
          <w:b/>
          <w:sz w:val="24"/>
          <w:szCs w:val="24"/>
          <w:lang w:val="en-GB"/>
        </w:rPr>
        <w:t>.</w:t>
      </w:r>
    </w:p>
    <w:p w14:paraId="13B9A0C5" w14:textId="77777777" w:rsidR="00CE4D64" w:rsidRPr="006F343D" w:rsidRDefault="00CE4D64" w:rsidP="00CE4D64">
      <w:pPr>
        <w:spacing w:after="0" w:line="240" w:lineRule="auto"/>
        <w:ind w:left="-270"/>
        <w:contextualSpacing/>
        <w:jc w:val="both"/>
        <w:rPr>
          <w:rFonts w:cstheme="minorHAnsi"/>
          <w:sz w:val="24"/>
          <w:szCs w:val="24"/>
          <w:lang w:val="en-GB"/>
        </w:rPr>
      </w:pPr>
      <w:bookmarkStart w:id="0" w:name="_q9i5bsl7pkod" w:colFirst="0" w:colLast="0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E4D64" w:rsidRPr="00147BCE" w14:paraId="637B2C5F" w14:textId="77777777" w:rsidTr="00E11371">
        <w:tc>
          <w:tcPr>
            <w:tcW w:w="1250" w:type="pct"/>
          </w:tcPr>
          <w:p w14:paraId="5359537F" w14:textId="77777777" w:rsidR="00CE4D64" w:rsidRPr="00147BCE" w:rsidRDefault="00CE4D64" w:rsidP="00E11371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>
              <w:rPr>
                <w:rFonts w:cstheme="minorHAnsi"/>
                <w:b/>
                <w:sz w:val="24"/>
                <w:szCs w:val="24"/>
                <w:lang w:val="en-GB"/>
              </w:rPr>
              <w:t>Fluidic c</w:t>
            </w:r>
            <w:r w:rsidRPr="00147BCE">
              <w:rPr>
                <w:rFonts w:cstheme="minorHAnsi"/>
                <w:b/>
                <w:sz w:val="24"/>
                <w:szCs w:val="24"/>
                <w:lang w:val="en-GB"/>
              </w:rPr>
              <w:t>omponent</w:t>
            </w:r>
          </w:p>
        </w:tc>
        <w:tc>
          <w:tcPr>
            <w:tcW w:w="1250" w:type="pct"/>
          </w:tcPr>
          <w:p w14:paraId="24E5163D" w14:textId="77777777" w:rsidR="00CE4D64" w:rsidRPr="00147BCE" w:rsidRDefault="00CE4D64" w:rsidP="00E11371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147BCE">
              <w:rPr>
                <w:rFonts w:cstheme="minorHAnsi"/>
                <w:b/>
                <w:sz w:val="24"/>
                <w:szCs w:val="24"/>
                <w:lang w:val="en-GB"/>
              </w:rPr>
              <w:t>Dimensions (mm)</w:t>
            </w:r>
          </w:p>
        </w:tc>
        <w:tc>
          <w:tcPr>
            <w:tcW w:w="1250" w:type="pct"/>
          </w:tcPr>
          <w:p w14:paraId="0392F99B" w14:textId="77777777" w:rsidR="00CE4D64" w:rsidRPr="00147BCE" w:rsidRDefault="00CE4D64" w:rsidP="00E11371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147BCE">
              <w:rPr>
                <w:rFonts w:cstheme="minorHAnsi"/>
                <w:b/>
                <w:sz w:val="24"/>
                <w:szCs w:val="24"/>
                <w:lang w:val="en-GB"/>
              </w:rPr>
              <w:t>Flow rate (mL/min)</w:t>
            </w:r>
          </w:p>
        </w:tc>
        <w:tc>
          <w:tcPr>
            <w:tcW w:w="1251" w:type="pct"/>
          </w:tcPr>
          <w:p w14:paraId="387E61D0" w14:textId="77777777" w:rsidR="00CE4D64" w:rsidRPr="00147BCE" w:rsidRDefault="00CE4D64" w:rsidP="00E11371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147BCE">
              <w:rPr>
                <w:rFonts w:cstheme="minorHAnsi"/>
                <w:b/>
                <w:sz w:val="24"/>
                <w:szCs w:val="24"/>
                <w:lang w:val="en-GB"/>
              </w:rPr>
              <w:t>Reynolds Number</w:t>
            </w:r>
          </w:p>
        </w:tc>
      </w:tr>
      <w:tr w:rsidR="00CE4D64" w14:paraId="1ECD3BDE" w14:textId="77777777" w:rsidTr="00E11371">
        <w:trPr>
          <w:trHeight w:val="136"/>
        </w:trPr>
        <w:tc>
          <w:tcPr>
            <w:tcW w:w="1250" w:type="pct"/>
            <w:vMerge w:val="restart"/>
          </w:tcPr>
          <w:p w14:paraId="0762211E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Main chamber</w:t>
            </w:r>
          </w:p>
        </w:tc>
        <w:tc>
          <w:tcPr>
            <w:tcW w:w="1250" w:type="pct"/>
            <w:vMerge w:val="restart"/>
          </w:tcPr>
          <w:p w14:paraId="5A9D1EE3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20 circular</w:t>
            </w:r>
          </w:p>
        </w:tc>
        <w:tc>
          <w:tcPr>
            <w:tcW w:w="1250" w:type="pct"/>
          </w:tcPr>
          <w:p w14:paraId="58B6E3FF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1251" w:type="pct"/>
          </w:tcPr>
          <w:p w14:paraId="7B559F4D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11</w:t>
            </w:r>
          </w:p>
        </w:tc>
      </w:tr>
      <w:tr w:rsidR="00CE4D64" w14:paraId="33691447" w14:textId="77777777" w:rsidTr="00E11371">
        <w:trPr>
          <w:trHeight w:val="136"/>
        </w:trPr>
        <w:tc>
          <w:tcPr>
            <w:tcW w:w="1250" w:type="pct"/>
            <w:vMerge/>
          </w:tcPr>
          <w:p w14:paraId="427E86E5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  <w:vMerge/>
          </w:tcPr>
          <w:p w14:paraId="0B09D177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</w:tcPr>
          <w:p w14:paraId="12B586A5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20</w:t>
            </w:r>
          </w:p>
        </w:tc>
        <w:tc>
          <w:tcPr>
            <w:tcW w:w="1251" w:type="pct"/>
          </w:tcPr>
          <w:p w14:paraId="58FB1532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21</w:t>
            </w:r>
          </w:p>
        </w:tc>
      </w:tr>
      <w:tr w:rsidR="00CE4D64" w14:paraId="7D7C58DF" w14:textId="77777777" w:rsidTr="00E11371">
        <w:trPr>
          <w:trHeight w:val="136"/>
        </w:trPr>
        <w:tc>
          <w:tcPr>
            <w:tcW w:w="1250" w:type="pct"/>
            <w:vMerge w:val="restart"/>
          </w:tcPr>
          <w:p w14:paraId="613BBDF5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Sprinkler outlets</w:t>
            </w:r>
          </w:p>
        </w:tc>
        <w:tc>
          <w:tcPr>
            <w:tcW w:w="1250" w:type="pct"/>
            <w:vMerge w:val="restart"/>
          </w:tcPr>
          <w:p w14:paraId="4BF35BDC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1 circular</w:t>
            </w:r>
          </w:p>
        </w:tc>
        <w:tc>
          <w:tcPr>
            <w:tcW w:w="1250" w:type="pct"/>
          </w:tcPr>
          <w:p w14:paraId="5217EA6D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1251" w:type="pct"/>
          </w:tcPr>
          <w:p w14:paraId="7A8939D3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212</w:t>
            </w:r>
          </w:p>
        </w:tc>
      </w:tr>
      <w:tr w:rsidR="00CE4D64" w14:paraId="7435EC6C" w14:textId="77777777" w:rsidTr="00E11371">
        <w:trPr>
          <w:trHeight w:val="136"/>
        </w:trPr>
        <w:tc>
          <w:tcPr>
            <w:tcW w:w="1250" w:type="pct"/>
            <w:vMerge/>
          </w:tcPr>
          <w:p w14:paraId="266A61B8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  <w:vMerge/>
          </w:tcPr>
          <w:p w14:paraId="5A338950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</w:tcPr>
          <w:p w14:paraId="0627A81E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20</w:t>
            </w:r>
          </w:p>
        </w:tc>
        <w:tc>
          <w:tcPr>
            <w:tcW w:w="1251" w:type="pct"/>
          </w:tcPr>
          <w:p w14:paraId="3A694983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415</w:t>
            </w:r>
          </w:p>
        </w:tc>
      </w:tr>
      <w:tr w:rsidR="00CE4D64" w14:paraId="5513AB06" w14:textId="77777777" w:rsidTr="00E11371">
        <w:trPr>
          <w:trHeight w:val="265"/>
        </w:trPr>
        <w:tc>
          <w:tcPr>
            <w:tcW w:w="1250" w:type="pct"/>
            <w:vMerge w:val="restart"/>
          </w:tcPr>
          <w:p w14:paraId="53BBD029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Scaffold channels</w:t>
            </w:r>
          </w:p>
        </w:tc>
        <w:tc>
          <w:tcPr>
            <w:tcW w:w="1250" w:type="pct"/>
            <w:vMerge w:val="restart"/>
          </w:tcPr>
          <w:p w14:paraId="672DA882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2.5 square</w:t>
            </w:r>
          </w:p>
        </w:tc>
        <w:tc>
          <w:tcPr>
            <w:tcW w:w="1250" w:type="pct"/>
          </w:tcPr>
          <w:p w14:paraId="5DA6677B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1251" w:type="pct"/>
          </w:tcPr>
          <w:p w14:paraId="53DCB4DF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75</w:t>
            </w:r>
          </w:p>
        </w:tc>
      </w:tr>
      <w:tr w:rsidR="00CE4D64" w14:paraId="3EDDC6E5" w14:textId="77777777" w:rsidTr="00E11371">
        <w:trPr>
          <w:trHeight w:val="265"/>
        </w:trPr>
        <w:tc>
          <w:tcPr>
            <w:tcW w:w="1250" w:type="pct"/>
            <w:vMerge/>
          </w:tcPr>
          <w:p w14:paraId="6E94E11D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  <w:vMerge/>
          </w:tcPr>
          <w:p w14:paraId="608D10DE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</w:tcPr>
          <w:p w14:paraId="1ECCEDE4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20</w:t>
            </w:r>
          </w:p>
        </w:tc>
        <w:tc>
          <w:tcPr>
            <w:tcW w:w="1251" w:type="pct"/>
          </w:tcPr>
          <w:p w14:paraId="36CF041E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147</w:t>
            </w:r>
          </w:p>
        </w:tc>
      </w:tr>
      <w:tr w:rsidR="00CE4D64" w14:paraId="095AE95A" w14:textId="77777777" w:rsidTr="00E11371">
        <w:trPr>
          <w:trHeight w:val="265"/>
        </w:trPr>
        <w:tc>
          <w:tcPr>
            <w:tcW w:w="1250" w:type="pct"/>
            <w:vMerge w:val="restart"/>
          </w:tcPr>
          <w:p w14:paraId="5D240A6B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Bioreactor inlet/outlet</w:t>
            </w:r>
          </w:p>
        </w:tc>
        <w:tc>
          <w:tcPr>
            <w:tcW w:w="1250" w:type="pct"/>
            <w:vMerge w:val="restart"/>
          </w:tcPr>
          <w:p w14:paraId="4AB092CC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3 circular</w:t>
            </w:r>
          </w:p>
        </w:tc>
        <w:tc>
          <w:tcPr>
            <w:tcW w:w="1250" w:type="pct"/>
          </w:tcPr>
          <w:p w14:paraId="72FC7379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1251" w:type="pct"/>
          </w:tcPr>
          <w:p w14:paraId="59E6E137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71</w:t>
            </w:r>
          </w:p>
        </w:tc>
      </w:tr>
      <w:tr w:rsidR="00CE4D64" w14:paraId="1F3339AD" w14:textId="77777777" w:rsidTr="00E11371">
        <w:trPr>
          <w:trHeight w:val="265"/>
        </w:trPr>
        <w:tc>
          <w:tcPr>
            <w:tcW w:w="1250" w:type="pct"/>
            <w:vMerge/>
          </w:tcPr>
          <w:p w14:paraId="7FB6EA86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  <w:vMerge/>
          </w:tcPr>
          <w:p w14:paraId="275005CD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1250" w:type="pct"/>
          </w:tcPr>
          <w:p w14:paraId="43FB4B56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20</w:t>
            </w:r>
          </w:p>
        </w:tc>
        <w:tc>
          <w:tcPr>
            <w:tcW w:w="1251" w:type="pct"/>
          </w:tcPr>
          <w:p w14:paraId="1A85EF1F" w14:textId="77777777" w:rsidR="00CE4D64" w:rsidRDefault="00CE4D64" w:rsidP="00E11371">
            <w:pPr>
              <w:contextualSpacing/>
              <w:jc w:val="both"/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138</w:t>
            </w:r>
          </w:p>
        </w:tc>
      </w:tr>
    </w:tbl>
    <w:p w14:paraId="42BEF31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D64"/>
    <w:rsid w:val="00195413"/>
    <w:rsid w:val="003D0186"/>
    <w:rsid w:val="007278E4"/>
    <w:rsid w:val="00A3738C"/>
    <w:rsid w:val="00BC6C35"/>
    <w:rsid w:val="00CB270D"/>
    <w:rsid w:val="00CE4D64"/>
    <w:rsid w:val="00CF7583"/>
    <w:rsid w:val="00DE6AE2"/>
    <w:rsid w:val="00E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40AAD"/>
  <w15:chartTrackingRefBased/>
  <w15:docId w15:val="{54244D02-01D5-4014-B766-E265D8C7D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D64"/>
    <w:pPr>
      <w:spacing w:after="120" w:line="264" w:lineRule="auto"/>
    </w:pPr>
    <w:rPr>
      <w:rFonts w:eastAsiaTheme="minorEastAsia"/>
      <w:kern w:val="0"/>
      <w:sz w:val="20"/>
      <w:szCs w:val="20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4D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D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D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D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D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D6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D6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D6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D6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D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D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D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D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D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D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D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D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D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D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4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D6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4D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4D6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4D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D64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4D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D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D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D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E4D64"/>
    <w:pPr>
      <w:spacing w:after="0" w:line="240" w:lineRule="auto"/>
    </w:pPr>
    <w:rPr>
      <w:rFonts w:eastAsiaTheme="minorEastAsia"/>
      <w:kern w:val="0"/>
      <w:sz w:val="20"/>
      <w:szCs w:val="2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1546</Characters>
  <Application>Microsoft Office Word</Application>
  <DocSecurity>0</DocSecurity>
  <Lines>28</Lines>
  <Paragraphs>9</Paragraphs>
  <ScaleCrop>false</ScaleCrop>
  <Company>Springer Nature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2025-11-10T05:22:00Z</dcterms:created>
  <dcterms:modified xsi:type="dcterms:W3CDTF">2025-11-10T05:22:00Z</dcterms:modified>
</cp:coreProperties>
</file>