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3AD368">
      <w:pP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5267325" cy="6628765"/>
            <wp:effectExtent l="0" t="0" r="0" b="635"/>
            <wp:docPr id="2" name="图片 2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62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1D5D9">
      <w:pPr>
        <w:rPr>
          <w:rFonts w:hint="eastAsia" w:ascii="Times New Roman" w:hAnsi="Times New Roman" w:cs="Times New Roman"/>
          <w:b/>
          <w:bCs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 xml:space="preserve">Figure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S1. Inhibition of mOFC glutamatergic neurons in normal mice does not alter pain or anxiodepressive-like behaviors. (A)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Schematic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d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iagram of stereotaxic delivery of AAV-CaMKII-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hM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4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D(G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i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)-mCherry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(left) in Sham mice and representative images indicated the injection site was mOFC (right).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Scale bar: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10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0 μm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(B)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Behavioral tests timeline.</w:t>
      </w:r>
      <w:r>
        <w:rPr>
          <w:rFonts w:hint="eastAsia" w:eastAsia="宋体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(C-E)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Effect of chemogenetic i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nhibition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of mOFC glutamatergic neurons on pain behavior in 0.07g (C), 0.4g (D) von Frey and Hargreaves tests (E) (two-way ANOVA with Sidak post hoc test, n=9/group)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. 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(F-K)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Effect of chemogenetic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i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nhibition of mOFC glutamatergic neurons on anxiodepressive-like behavior in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Central time (F, unpaired t-test), Total distance (G, unpaired t-test), Time (H, </w:t>
      </w:r>
      <w:r>
        <w:rPr>
          <w:rFonts w:hint="default" w:ascii="Times New Roman" w:hAnsi="Times New Roman" w:cs="Times New Roman"/>
          <w:bCs/>
          <w:kern w:val="28"/>
          <w:sz w:val="21"/>
          <w:szCs w:val="21"/>
          <w14:ligatures w14:val="none"/>
        </w:rPr>
        <w:t>Mann-Whitney test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) and entries in open arms (I, unpaired t-test), TST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(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J)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, FST (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K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, unpaired t-test)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,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(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n=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9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/group).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Data were presented as the mean ± SEM. *P &lt; 0.05, **P &lt;0.01, ***P &lt; 0.001</w:t>
      </w:r>
      <w:r>
        <w:rPr>
          <w:rFonts w:hint="eastAsia" w:ascii="Times New Roman" w:hAnsi="Times New Roman" w:cs="Times New Roman"/>
          <w:szCs w:val="21"/>
        </w:rPr>
        <w:t xml:space="preserve">, ns = </w:t>
      </w:r>
      <w:r>
        <w:rPr>
          <w:rFonts w:ascii="Times New Roman" w:hAnsi="Times New Roman" w:cs="Times New Roman"/>
          <w:szCs w:val="21"/>
        </w:rPr>
        <w:t>no significant.</w:t>
      </w:r>
    </w:p>
    <w:p w14:paraId="3484D461">
      <w:pPr>
        <w:rPr>
          <w:rFonts w:hint="eastAsia" w:ascii="Times New Roman" w:hAnsi="Times New Roman" w:cs="Times New Roman"/>
          <w:b/>
          <w:bCs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865" cy="6434455"/>
            <wp:effectExtent l="0" t="0" r="6985" b="4445"/>
            <wp:docPr id="3" name="图片 3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43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535F8">
      <w:pPr>
        <w:rPr>
          <w:rFonts w:hint="eastAsia" w:ascii="Times New Roman" w:hAnsi="Times New Roman" w:cs="Times New Roman"/>
          <w:b/>
          <w:bCs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 xml:space="preserve">Figure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S2. Activation of mOFC glutamatergic neurons in CCI mice does not exacerbate pain or anxiodepressive-like behaviors. (A)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Schematic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d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iagram of stereotaxic delivery of AAV-CaMKII-hM3D(Gq)-EGFP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(left) and representative images indicated the injection site was mOFC (right).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Scale bar: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10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0 μm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(B)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Behavioral tests timeline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(C-E)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Effect of chemogenetic activation of mOFC glutamatergic neurons on pain behavior in 0.07g (C), 0.4g (D) von Frey and Hargreaves tests (E) (two-way ANOVA with Sidak post hoc test, n=8 mice/group)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. 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(F-K)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Effect of chemogenetic activation of mOFC glutamatergic neurons on anxiodepressive-like behavior in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Central time (F, unpaired t-test), Total distance (G, unpaired t-test), Time in open arms (H, </w:t>
      </w:r>
      <w:r>
        <w:rPr>
          <w:rFonts w:hint="default" w:ascii="Times New Roman" w:hAnsi="Times New Roman" w:cs="Times New Roman"/>
          <w:bCs/>
          <w:kern w:val="28"/>
          <w:sz w:val="21"/>
          <w:szCs w:val="21"/>
          <w14:ligatures w14:val="none"/>
        </w:rPr>
        <w:t>Mann-Whitney test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), Entries in open arms (I, </w:t>
      </w:r>
      <w:r>
        <w:rPr>
          <w:rFonts w:hint="default" w:ascii="Times New Roman" w:hAnsi="Times New Roman" w:cs="Times New Roman"/>
          <w:bCs/>
          <w:kern w:val="28"/>
          <w:sz w:val="21"/>
          <w:szCs w:val="21"/>
          <w14:ligatures w14:val="none"/>
        </w:rPr>
        <w:t>Mann-Whitney test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), TST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(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J,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unpaired t-test), FST (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K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, unpaired t-test)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,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(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n=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8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mice/group).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Data were presented as the mean ± SEM. *P &lt; 0.05, **P &lt;0.01, ***P &lt; 0.001</w:t>
      </w:r>
      <w:r>
        <w:rPr>
          <w:rFonts w:hint="eastAsia" w:ascii="Times New Roman" w:hAnsi="Times New Roman" w:cs="Times New Roman"/>
          <w:szCs w:val="21"/>
        </w:rPr>
        <w:t xml:space="preserve">, ns = </w:t>
      </w:r>
      <w:r>
        <w:rPr>
          <w:rFonts w:ascii="Times New Roman" w:hAnsi="Times New Roman" w:cs="Times New Roman"/>
          <w:szCs w:val="21"/>
        </w:rPr>
        <w:t>no significant.</w:t>
      </w:r>
    </w:p>
    <w:p w14:paraId="74A995C9">
      <w:pPr>
        <w:rPr>
          <w:rFonts w:hint="eastAsia" w:ascii="Times New Roman" w:hAnsi="Times New Roman" w:cs="Times New Roman"/>
          <w:b/>
          <w:bCs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502150" cy="3032760"/>
            <wp:effectExtent l="0" t="0" r="3175" b="5715"/>
            <wp:docPr id="4" name="图片 4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S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365FB">
      <w:pP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Figure S3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 xml:space="preserve">Tracing result of AAV-DIO-mGFP-2A-Synaptophysin-mRuby in the mOFC of </w:t>
      </w:r>
      <w:r>
        <w:rPr>
          <w:rFonts w:hint="default" w:ascii="Times New Roman" w:hAnsi="Times New Roman" w:eastAsia="宋体" w:cs="Times New Roman"/>
          <w:b/>
          <w:bCs/>
          <w:i/>
          <w:iCs/>
          <w:kern w:val="0"/>
          <w:sz w:val="21"/>
          <w:szCs w:val="21"/>
          <w:lang w:val="en-US" w:eastAsia="zh-CN"/>
        </w:rPr>
        <w:t>CaMKII-Cre</w:t>
      </w:r>
      <w:r>
        <w:rPr>
          <w:rFonts w:hint="default" w:ascii="Times New Roman" w:hAnsi="Times New Roman" w:eastAsia="宋体" w:cs="Times New Roman"/>
          <w:b/>
          <w:bCs/>
          <w:kern w:val="0"/>
          <w:sz w:val="21"/>
          <w:szCs w:val="21"/>
          <w:lang w:val="en-US" w:eastAsia="zh-CN"/>
        </w:rPr>
        <w:t xml:space="preserve"> mice</w:t>
      </w:r>
      <w:r>
        <w:rPr>
          <w:rFonts w:hint="eastAsia" w:ascii="Times New Roman" w:hAnsi="Times New Roman" w:eastAsia="宋体" w:cs="Times New Roman"/>
          <w:b/>
          <w:bCs/>
          <w:kern w:val="0"/>
          <w:sz w:val="21"/>
          <w:szCs w:val="21"/>
          <w:lang w:val="en-US" w:eastAsia="zh-CN"/>
        </w:rPr>
        <w:t>. (A-D)</w:t>
      </w:r>
      <w:r>
        <w:rPr>
          <w:rFonts w:hint="eastAsia" w:ascii="Times New Roman" w:hAnsi="Times New Roman" w:eastAsia="宋体" w:cs="Times New Roman"/>
          <w:kern w:val="0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Representative images showing that the mOFC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CaMKIIα</w:t>
      </w:r>
      <w:r>
        <w:rPr>
          <w:rFonts w:hint="eastAsia" w:ascii="Times New Roman" w:hAnsi="Times New Roman" w:cs="Times New Roman"/>
          <w:sz w:val="21"/>
          <w:szCs w:val="21"/>
          <w:vertAlign w:val="superscript"/>
          <w:lang w:val="en-US" w:eastAsia="zh-CN"/>
        </w:rPr>
        <w:t>+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neurons projection to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VM, ventromedial thalamus (A); ACC, anterior cingulate cortex (B); CL, claustrum; AI, Anterior Insular Cortex (C); NAc, nucleus accumbens (D).</w:t>
      </w:r>
    </w:p>
    <w:p w14:paraId="578BF2EC">
      <w:pP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</w:p>
    <w:p w14:paraId="5F8FEFDD">
      <w:pP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</w:p>
    <w:p w14:paraId="7F5E1E4A">
      <w:pP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</w:p>
    <w:p w14:paraId="6F051CA9">
      <w:pP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68595" cy="2800985"/>
            <wp:effectExtent l="0" t="0" r="8255" b="8890"/>
            <wp:docPr id="5" name="图片 5" descr="Figure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 S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A7F9E">
      <w:pPr>
        <w:rPr>
          <w:rFonts w:hint="eastAsia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Figure S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4 Result of retrograde tracing approach in C57 mice. </w:t>
      </w:r>
    </w:p>
    <w:p w14:paraId="4976BFE9">
      <w:pP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(A)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Diagram of retrograde tracing approach in </w:t>
      </w:r>
      <w:r>
        <w:rPr>
          <w:rFonts w:hint="eastAsia" w:ascii="Times New Roman" w:hAnsi="Times New Roman" w:eastAsia="宋体" w:cs="Times New Roman"/>
          <w:i w:val="0"/>
          <w:iCs w:val="0"/>
          <w:kern w:val="0"/>
          <w:sz w:val="21"/>
          <w:szCs w:val="21"/>
          <w:lang w:val="en-US" w:eastAsia="zh-CN"/>
        </w:rPr>
        <w:t>c57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/>
        </w:rPr>
        <w:t xml:space="preserve"> mice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.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(B)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Validation of injection site of AAV2/Retro-hsyn-mCherry in MD.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(C)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Validation of injection site of AAV2/Retro-hsyn-mCherry- EGFP in BLA. Scale bar: 100 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μm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.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(D)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Representative images of the mOFC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neurons projecting to the MD (red) and BLA (green).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Scale bar: 50 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μm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.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(E)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Colocalization of retrograde tracing of MD neurons labeled by mCherry and BLA neurons labeled by EGFP. n = 3 mice.</w:t>
      </w:r>
    </w:p>
    <w:p w14:paraId="612EEA42">
      <w:pPr>
        <w:rPr>
          <w:rFonts w:hint="eastAsia" w:ascii="Times New Roman" w:hAnsi="Times New Roman" w:cs="Times New Roman"/>
          <w:b/>
          <w:bCs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  <w:t>x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3675" cy="7449820"/>
            <wp:effectExtent l="0" t="0" r="3175" b="8255"/>
            <wp:docPr id="6" name="图片 6" descr="Figure 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gure S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DD4E2">
      <w:pP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Figure S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5 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Chemogenetic and optogenetic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 xml:space="preserve"> activa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tion of mOFC</w:t>
      </w:r>
      <w:r>
        <w:rPr>
          <w:rFonts w:hint="default" w:ascii="Times New Roman" w:hAnsi="Times New Roman" w:cs="Times New Roman"/>
          <w:b/>
          <w:bCs/>
          <w:sz w:val="21"/>
          <w:szCs w:val="21"/>
          <w:vertAlign w:val="superscript"/>
          <w:lang w:val="en-US" w:eastAsia="zh-CN"/>
        </w:rPr>
        <w:t>CaMKIIα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-MD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 xml:space="preserve"> projections induces pain behaviors. (A)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Schematic of experimental design.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(B)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The e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xpression of hM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3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D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(Gq)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-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EGFP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in the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m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OFC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. Scale bar: 100 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μm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.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 xml:space="preserve">(C)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Viral injection and behavioral tests timeline.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(D-F)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Effect of chemogenetic activation of mOFC</w:t>
      </w:r>
      <w:r>
        <w:rPr>
          <w:rFonts w:hint="eastAsia" w:ascii="Times New Roman" w:hAnsi="Times New Roman" w:cs="Times New Roman"/>
          <w:sz w:val="21"/>
          <w:szCs w:val="21"/>
          <w:vertAlign w:val="superscript"/>
          <w:lang w:val="en-US" w:eastAsia="zh-CN"/>
        </w:rPr>
        <w:t>CaMKII</w:t>
      </w:r>
      <w:r>
        <w:rPr>
          <w:rFonts w:hint="default" w:ascii="Times New Roman" w:hAnsi="Times New Roman" w:cs="Times New Roman"/>
          <w:sz w:val="21"/>
          <w:szCs w:val="21"/>
          <w:vertAlign w:val="superscript"/>
          <w:lang w:val="en-US" w:eastAsia="zh-CN"/>
        </w:rPr>
        <w:t>α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-MD </w:t>
      </w:r>
      <w:r>
        <w:rPr>
          <w:rFonts w:hint="eastAsia" w:ascii="Times New Roman" w:hAnsi="Times New Roman" w:cs="Times New Roman"/>
          <w:szCs w:val="21"/>
        </w:rPr>
        <w:t xml:space="preserve">pathway neurons </w:t>
      </w:r>
      <w:r>
        <w:rPr>
          <w:rFonts w:ascii="Times New Roman" w:hAnsi="Times New Roman" w:cs="Times New Roman"/>
          <w:szCs w:val="21"/>
        </w:rPr>
        <w:t>on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pain behavior in 0.07g (D), 0.4g (E) von Frey and Hargreaves tests (F) (two-way ANOVA with Sidak post hoc test, n = 9/group)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(G, H)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Quantification of the total distance (G) and central time (H) in the OFT from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  <w:lang w:val="en-US" w:eastAsia="zh-CN"/>
        </w:rPr>
        <w:t>the EGFP</w:t>
      </w:r>
      <w:r>
        <w:rPr>
          <w:rFonts w:hint="eastAsia" w:ascii="Times New Roman" w:hAnsi="Times New Roman" w:cs="Times New Roman"/>
          <w:szCs w:val="21"/>
        </w:rPr>
        <w:t xml:space="preserve"> and </w:t>
      </w:r>
      <w:r>
        <w:rPr>
          <w:rFonts w:ascii="Times New Roman" w:hAnsi="Times New Roman" w:cs="Times New Roman"/>
          <w:szCs w:val="21"/>
        </w:rPr>
        <w:t>hM</w:t>
      </w:r>
      <w:r>
        <w:rPr>
          <w:rFonts w:hint="eastAsia" w:ascii="Times New Roman" w:hAnsi="Times New Roman" w:cs="Times New Roman"/>
          <w:szCs w:val="21"/>
          <w:lang w:val="en-US" w:eastAsia="zh-CN"/>
        </w:rPr>
        <w:t>3</w:t>
      </w:r>
      <w:r>
        <w:rPr>
          <w:rFonts w:ascii="Times New Roman" w:hAnsi="Times New Roman" w:cs="Times New Roman"/>
          <w:szCs w:val="21"/>
        </w:rPr>
        <w:t>D(G</w:t>
      </w:r>
      <w:r>
        <w:rPr>
          <w:rFonts w:hint="eastAsia" w:ascii="Times New Roman" w:hAnsi="Times New Roman" w:cs="Times New Roman"/>
          <w:szCs w:val="21"/>
          <w:lang w:val="en-US" w:eastAsia="zh-CN"/>
        </w:rPr>
        <w:t>q</w:t>
      </w:r>
      <w:r>
        <w:rPr>
          <w:rFonts w:ascii="Times New Roman" w:hAnsi="Times New Roman" w:cs="Times New Roman"/>
          <w:szCs w:val="21"/>
        </w:rPr>
        <w:t>)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-EGFP </w:t>
      </w:r>
      <w:r>
        <w:rPr>
          <w:rFonts w:hint="eastAsia" w:ascii="Times New Roman" w:hAnsi="Times New Roman" w:cs="Times New Roman"/>
          <w:szCs w:val="21"/>
        </w:rPr>
        <w:t>group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(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unpaired t-test, n = 9/group</w:t>
      </w:r>
      <w:r>
        <w:rPr>
          <w:rFonts w:hint="eastAsia" w:ascii="Times New Roman" w:hAnsi="Times New Roman" w:cs="Times New Roman"/>
          <w:szCs w:val="21"/>
          <w:lang w:val="en-US" w:eastAsia="zh-CN"/>
        </w:rPr>
        <w:t>)</w:t>
      </w:r>
      <w:r>
        <w:rPr>
          <w:rFonts w:hint="eastAsia" w:ascii="Times New Roman" w:hAnsi="Times New Roman" w:cs="Times New Roman"/>
          <w:szCs w:val="21"/>
        </w:rPr>
        <w:t xml:space="preserve">.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(I, J)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Quantification of the time (I) and entries (J) in open arms in the EPM from </w:t>
      </w:r>
      <w:r>
        <w:rPr>
          <w:rFonts w:hint="eastAsia" w:ascii="Times New Roman" w:hAnsi="Times New Roman" w:cs="Times New Roman"/>
          <w:szCs w:val="21"/>
          <w:lang w:val="en-US" w:eastAsia="zh-CN"/>
        </w:rPr>
        <w:t>the EGFP</w:t>
      </w:r>
      <w:r>
        <w:rPr>
          <w:rFonts w:hint="eastAsia" w:ascii="Times New Roman" w:hAnsi="Times New Roman" w:cs="Times New Roman"/>
          <w:szCs w:val="21"/>
        </w:rPr>
        <w:t xml:space="preserve"> and </w:t>
      </w:r>
      <w:r>
        <w:rPr>
          <w:rFonts w:ascii="Times New Roman" w:hAnsi="Times New Roman" w:cs="Times New Roman"/>
          <w:szCs w:val="21"/>
        </w:rPr>
        <w:t>hM</w:t>
      </w:r>
      <w:r>
        <w:rPr>
          <w:rFonts w:hint="eastAsia" w:ascii="Times New Roman" w:hAnsi="Times New Roman" w:cs="Times New Roman"/>
          <w:szCs w:val="21"/>
          <w:lang w:val="en-US" w:eastAsia="zh-CN"/>
        </w:rPr>
        <w:t>3</w:t>
      </w:r>
      <w:r>
        <w:rPr>
          <w:rFonts w:ascii="Times New Roman" w:hAnsi="Times New Roman" w:cs="Times New Roman"/>
          <w:szCs w:val="21"/>
        </w:rPr>
        <w:t>D(G</w:t>
      </w:r>
      <w:r>
        <w:rPr>
          <w:rFonts w:hint="eastAsia" w:ascii="Times New Roman" w:hAnsi="Times New Roman" w:cs="Times New Roman"/>
          <w:szCs w:val="21"/>
          <w:lang w:val="en-US" w:eastAsia="zh-CN"/>
        </w:rPr>
        <w:t>q</w:t>
      </w:r>
      <w:r>
        <w:rPr>
          <w:rFonts w:ascii="Times New Roman" w:hAnsi="Times New Roman" w:cs="Times New Roman"/>
          <w:szCs w:val="21"/>
        </w:rPr>
        <w:t>)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-EGFP </w:t>
      </w:r>
      <w:r>
        <w:rPr>
          <w:rFonts w:hint="eastAsia" w:ascii="Times New Roman" w:hAnsi="Times New Roman" w:cs="Times New Roman"/>
          <w:szCs w:val="21"/>
        </w:rPr>
        <w:t>group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(unpaired t-test, n = 9/group).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 xml:space="preserve">(K, L)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Immobility time in TST (K) and FST (L) from </w:t>
      </w:r>
      <w:r>
        <w:rPr>
          <w:rFonts w:hint="eastAsia" w:ascii="Times New Roman" w:hAnsi="Times New Roman" w:cs="Times New Roman"/>
          <w:szCs w:val="21"/>
          <w:lang w:val="en-US" w:eastAsia="zh-CN"/>
        </w:rPr>
        <w:t>the EGFP</w:t>
      </w:r>
      <w:r>
        <w:rPr>
          <w:rFonts w:hint="eastAsia" w:ascii="Times New Roman" w:hAnsi="Times New Roman" w:cs="Times New Roman"/>
          <w:szCs w:val="21"/>
        </w:rPr>
        <w:t xml:space="preserve"> and </w:t>
      </w:r>
      <w:r>
        <w:rPr>
          <w:rFonts w:ascii="Times New Roman" w:hAnsi="Times New Roman" w:cs="Times New Roman"/>
          <w:szCs w:val="21"/>
        </w:rPr>
        <w:t>hM</w:t>
      </w:r>
      <w:r>
        <w:rPr>
          <w:rFonts w:hint="eastAsia" w:ascii="Times New Roman" w:hAnsi="Times New Roman" w:cs="Times New Roman"/>
          <w:szCs w:val="21"/>
          <w:lang w:val="en-US" w:eastAsia="zh-CN"/>
        </w:rPr>
        <w:t>3</w:t>
      </w:r>
      <w:r>
        <w:rPr>
          <w:rFonts w:ascii="Times New Roman" w:hAnsi="Times New Roman" w:cs="Times New Roman"/>
          <w:szCs w:val="21"/>
        </w:rPr>
        <w:t>D(G</w:t>
      </w:r>
      <w:r>
        <w:rPr>
          <w:rFonts w:hint="eastAsia" w:ascii="Times New Roman" w:hAnsi="Times New Roman" w:cs="Times New Roman"/>
          <w:szCs w:val="21"/>
          <w:lang w:val="en-US" w:eastAsia="zh-CN"/>
        </w:rPr>
        <w:t>q</w:t>
      </w:r>
      <w:r>
        <w:rPr>
          <w:rFonts w:ascii="Times New Roman" w:hAnsi="Times New Roman" w:cs="Times New Roman"/>
          <w:szCs w:val="21"/>
        </w:rPr>
        <w:t>)</w:t>
      </w:r>
      <w:r>
        <w:rPr>
          <w:rFonts w:hint="eastAsia" w:ascii="Times New Roman" w:hAnsi="Times New Roman" w:cs="Times New Roman"/>
          <w:szCs w:val="21"/>
          <w:lang w:val="en-US" w:eastAsia="zh-CN"/>
        </w:rPr>
        <w:t>-EGFP group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(unpaired t-test, n = 9/group).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(M)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Schematic of experimental design.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(N)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The 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axon terminals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expression of ChR2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-mCherry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and optic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fiber implantation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in the MD. Scale bar: 100 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μm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.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 xml:space="preserve">(O)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Viral injection and behavioral tests timeline.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(P-R)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Effect of optogenetic activation of mOFC</w:t>
      </w:r>
      <w:r>
        <w:rPr>
          <w:rFonts w:hint="eastAsia" w:ascii="Times New Roman" w:hAnsi="Times New Roman" w:cs="Times New Roman"/>
          <w:sz w:val="21"/>
          <w:szCs w:val="21"/>
          <w:vertAlign w:val="superscript"/>
          <w:lang w:val="en-US" w:eastAsia="zh-CN"/>
        </w:rPr>
        <w:t>CaMKII</w:t>
      </w:r>
      <w:r>
        <w:rPr>
          <w:rFonts w:hint="default" w:ascii="Times New Roman" w:hAnsi="Times New Roman" w:cs="Times New Roman"/>
          <w:sz w:val="21"/>
          <w:szCs w:val="21"/>
          <w:vertAlign w:val="superscript"/>
          <w:lang w:val="en-US" w:eastAsia="zh-CN"/>
        </w:rPr>
        <w:t>α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-MD </w:t>
      </w:r>
      <w:r>
        <w:rPr>
          <w:rFonts w:hint="eastAsia" w:ascii="Times New Roman" w:hAnsi="Times New Roman" w:cs="Times New Roman"/>
          <w:szCs w:val="21"/>
        </w:rPr>
        <w:t xml:space="preserve">pathway neurons </w:t>
      </w:r>
      <w:r>
        <w:rPr>
          <w:rFonts w:ascii="Times New Roman" w:hAnsi="Times New Roman" w:cs="Times New Roman"/>
          <w:szCs w:val="21"/>
        </w:rPr>
        <w:t>on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pain behavior in 0.07g (P), 0.4g (Q) von Frey and Hargreaves tests (R) (two-way ANOVA with Sidak post hoc test, n=8/group)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(S, T)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Quantification of the central time (S) and total distance (T) in the OFT from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the </w:t>
      </w:r>
      <w:r>
        <w:rPr>
          <w:rFonts w:hint="eastAsia" w:ascii="Times New Roman" w:hAnsi="Times New Roman" w:cs="Times New Roman"/>
          <w:szCs w:val="21"/>
        </w:rPr>
        <w:t xml:space="preserve">mCherry and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ChR2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-mCherry</w:t>
      </w:r>
      <w:r>
        <w:rPr>
          <w:rFonts w:hint="eastAsia" w:ascii="Times New Roman" w:hAnsi="Times New Roman" w:cs="Times New Roman"/>
          <w:szCs w:val="21"/>
        </w:rPr>
        <w:t xml:space="preserve"> group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(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unpaired t-test, n = 8/group</w:t>
      </w:r>
      <w:r>
        <w:rPr>
          <w:rFonts w:hint="eastAsia" w:ascii="Times New Roman" w:hAnsi="Times New Roman" w:cs="Times New Roman"/>
          <w:szCs w:val="21"/>
          <w:lang w:val="en-US" w:eastAsia="zh-CN"/>
        </w:rPr>
        <w:t>)</w:t>
      </w:r>
      <w:r>
        <w:rPr>
          <w:rFonts w:hint="eastAsia" w:ascii="Times New Roman" w:hAnsi="Times New Roman" w:cs="Times New Roman"/>
          <w:szCs w:val="21"/>
        </w:rPr>
        <w:t xml:space="preserve">.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(U-V)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Quantification of the time (U) and entries (V) in open arms of the EPM from 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the </w:t>
      </w:r>
      <w:r>
        <w:rPr>
          <w:rFonts w:hint="eastAsia" w:ascii="Times New Roman" w:hAnsi="Times New Roman" w:cs="Times New Roman"/>
          <w:szCs w:val="21"/>
        </w:rPr>
        <w:t xml:space="preserve">mCherry and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ChR2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-mCherry</w:t>
      </w:r>
      <w:r>
        <w:rPr>
          <w:rFonts w:hint="eastAsia" w:ascii="Times New Roman" w:hAnsi="Times New Roman" w:cs="Times New Roman"/>
          <w:szCs w:val="21"/>
        </w:rPr>
        <w:t xml:space="preserve"> group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(unpaired t-test, n = 8/group).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 xml:space="preserve">(W, X)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Immobility time in TST (W) and FST (X) from 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the </w:t>
      </w:r>
      <w:r>
        <w:rPr>
          <w:rFonts w:hint="eastAsia" w:ascii="Times New Roman" w:hAnsi="Times New Roman" w:cs="Times New Roman"/>
          <w:szCs w:val="21"/>
        </w:rPr>
        <w:t xml:space="preserve">mCherry and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ChR2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-mCherry</w:t>
      </w:r>
      <w:r>
        <w:rPr>
          <w:rFonts w:hint="eastAsia" w:ascii="Times New Roman" w:hAnsi="Times New Roman" w:cs="Times New Roman"/>
          <w:szCs w:val="21"/>
        </w:rPr>
        <w:t xml:space="preserve"> group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(unpaired t-test, n = 8/group).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Data were presented as the mean ± SEM. *P &lt; 0.05, **P &lt;0.01, ***P &lt; 0.001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, ns = </w:t>
      </w:r>
      <w:r>
        <w:rPr>
          <w:rFonts w:ascii="Times New Roman" w:hAnsi="Times New Roman" w:cs="Times New Roman"/>
          <w:szCs w:val="21"/>
        </w:rPr>
        <w:t>no significant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.</w:t>
      </w:r>
    </w:p>
    <w:p w14:paraId="17387DE2">
      <w:pP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</w:p>
    <w:p w14:paraId="44922541">
      <w:pPr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  <w:bookmarkStart w:id="0" w:name="_GoBack"/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drawing>
          <wp:inline distT="0" distB="0" distL="114300" distR="114300">
            <wp:extent cx="5273040" cy="7508240"/>
            <wp:effectExtent l="0" t="0" r="3810" b="6985"/>
            <wp:docPr id="7" name="图片 7" descr="Figure 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igure S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46B6DB1">
      <w:pP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Figure S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Chemogenetic and optogenetic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 xml:space="preserve"> activa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tion of mOFC</w:t>
      </w:r>
      <w:r>
        <w:rPr>
          <w:rFonts w:hint="default" w:ascii="Times New Roman" w:hAnsi="Times New Roman" w:cs="Times New Roman"/>
          <w:b/>
          <w:bCs/>
          <w:sz w:val="21"/>
          <w:szCs w:val="21"/>
          <w:vertAlign w:val="superscript"/>
          <w:lang w:val="en-US" w:eastAsia="zh-CN"/>
        </w:rPr>
        <w:t>CaMKIIα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-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 xml:space="preserve">BLA projections induces 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anxiodepressive-like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 xml:space="preserve"> behaviors. (A)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Schematic of experimental design.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(B)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The e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xpression of hM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3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D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(Gq)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-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EGFP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in the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m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OFC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. Scale bar: 100 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μm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.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 xml:space="preserve">(C)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Viral injection and behavioral tests timeline.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(D-F)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Effect of chemogenetic activation of mOFC</w:t>
      </w:r>
      <w:r>
        <w:rPr>
          <w:rFonts w:hint="eastAsia" w:ascii="Times New Roman" w:hAnsi="Times New Roman" w:cs="Times New Roman"/>
          <w:sz w:val="21"/>
          <w:szCs w:val="21"/>
          <w:vertAlign w:val="superscript"/>
          <w:lang w:val="en-US" w:eastAsia="zh-CN"/>
        </w:rPr>
        <w:t>CaMKII</w:t>
      </w:r>
      <w:r>
        <w:rPr>
          <w:rFonts w:hint="default" w:ascii="Times New Roman" w:hAnsi="Times New Roman" w:cs="Times New Roman"/>
          <w:sz w:val="21"/>
          <w:szCs w:val="21"/>
          <w:vertAlign w:val="superscript"/>
          <w:lang w:val="en-US" w:eastAsia="zh-CN"/>
        </w:rPr>
        <w:t>α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-BLA </w:t>
      </w:r>
      <w:r>
        <w:rPr>
          <w:rFonts w:hint="eastAsia" w:ascii="Times New Roman" w:hAnsi="Times New Roman" w:cs="Times New Roman"/>
          <w:szCs w:val="21"/>
        </w:rPr>
        <w:t xml:space="preserve">pathway neurons </w:t>
      </w:r>
      <w:r>
        <w:rPr>
          <w:rFonts w:ascii="Times New Roman" w:hAnsi="Times New Roman" w:cs="Times New Roman"/>
          <w:szCs w:val="21"/>
        </w:rPr>
        <w:t>on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pain behavior in 0.07g (D), 0.4g (E) von Frey and Hargreaves tests (F) (two-way ANOVA with Sidak post hoc test, n = 10/group)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(G, H)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Quantification of the total distance (G) and central time (H) in the OFT from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  <w:lang w:val="en-US" w:eastAsia="zh-CN"/>
        </w:rPr>
        <w:t>the EGFP</w:t>
      </w:r>
      <w:r>
        <w:rPr>
          <w:rFonts w:hint="eastAsia" w:ascii="Times New Roman" w:hAnsi="Times New Roman" w:cs="Times New Roman"/>
          <w:szCs w:val="21"/>
        </w:rPr>
        <w:t xml:space="preserve"> and </w:t>
      </w:r>
      <w:r>
        <w:rPr>
          <w:rFonts w:ascii="Times New Roman" w:hAnsi="Times New Roman" w:cs="Times New Roman"/>
          <w:szCs w:val="21"/>
        </w:rPr>
        <w:t>hM</w:t>
      </w:r>
      <w:r>
        <w:rPr>
          <w:rFonts w:hint="eastAsia" w:ascii="Times New Roman" w:hAnsi="Times New Roman" w:cs="Times New Roman"/>
          <w:szCs w:val="21"/>
          <w:lang w:val="en-US" w:eastAsia="zh-CN"/>
        </w:rPr>
        <w:t>3</w:t>
      </w:r>
      <w:r>
        <w:rPr>
          <w:rFonts w:ascii="Times New Roman" w:hAnsi="Times New Roman" w:cs="Times New Roman"/>
          <w:szCs w:val="21"/>
        </w:rPr>
        <w:t>D(G</w:t>
      </w:r>
      <w:r>
        <w:rPr>
          <w:rFonts w:hint="eastAsia" w:ascii="Times New Roman" w:hAnsi="Times New Roman" w:cs="Times New Roman"/>
          <w:szCs w:val="21"/>
          <w:lang w:val="en-US" w:eastAsia="zh-CN"/>
        </w:rPr>
        <w:t>q</w:t>
      </w:r>
      <w:r>
        <w:rPr>
          <w:rFonts w:ascii="Times New Roman" w:hAnsi="Times New Roman" w:cs="Times New Roman"/>
          <w:szCs w:val="21"/>
        </w:rPr>
        <w:t>)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-EGFP </w:t>
      </w:r>
      <w:r>
        <w:rPr>
          <w:rFonts w:hint="eastAsia" w:ascii="Times New Roman" w:hAnsi="Times New Roman" w:cs="Times New Roman"/>
          <w:szCs w:val="21"/>
        </w:rPr>
        <w:t>group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(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unpaired t-test, n = 10/group</w:t>
      </w:r>
      <w:r>
        <w:rPr>
          <w:rFonts w:hint="eastAsia" w:ascii="Times New Roman" w:hAnsi="Times New Roman" w:cs="Times New Roman"/>
          <w:szCs w:val="21"/>
          <w:lang w:val="en-US" w:eastAsia="zh-CN"/>
        </w:rPr>
        <w:t>)</w:t>
      </w:r>
      <w:r>
        <w:rPr>
          <w:rFonts w:hint="eastAsia" w:ascii="Times New Roman" w:hAnsi="Times New Roman" w:cs="Times New Roman"/>
          <w:szCs w:val="21"/>
        </w:rPr>
        <w:t xml:space="preserve">.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(I, J)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Quantification of the time (I) and entries (J) in open arms in the EPM from </w:t>
      </w:r>
      <w:r>
        <w:rPr>
          <w:rFonts w:hint="eastAsia" w:ascii="Times New Roman" w:hAnsi="Times New Roman" w:cs="Times New Roman"/>
          <w:szCs w:val="21"/>
          <w:lang w:val="en-US" w:eastAsia="zh-CN"/>
        </w:rPr>
        <w:t>the EGFP</w:t>
      </w:r>
      <w:r>
        <w:rPr>
          <w:rFonts w:hint="eastAsia" w:ascii="Times New Roman" w:hAnsi="Times New Roman" w:cs="Times New Roman"/>
          <w:szCs w:val="21"/>
        </w:rPr>
        <w:t xml:space="preserve"> and </w:t>
      </w:r>
      <w:r>
        <w:rPr>
          <w:rFonts w:ascii="Times New Roman" w:hAnsi="Times New Roman" w:cs="Times New Roman"/>
          <w:szCs w:val="21"/>
        </w:rPr>
        <w:t>hM</w:t>
      </w:r>
      <w:r>
        <w:rPr>
          <w:rFonts w:hint="eastAsia" w:ascii="Times New Roman" w:hAnsi="Times New Roman" w:cs="Times New Roman"/>
          <w:szCs w:val="21"/>
          <w:lang w:val="en-US" w:eastAsia="zh-CN"/>
        </w:rPr>
        <w:t>3</w:t>
      </w:r>
      <w:r>
        <w:rPr>
          <w:rFonts w:ascii="Times New Roman" w:hAnsi="Times New Roman" w:cs="Times New Roman"/>
          <w:szCs w:val="21"/>
        </w:rPr>
        <w:t>D(G</w:t>
      </w:r>
      <w:r>
        <w:rPr>
          <w:rFonts w:hint="eastAsia" w:ascii="Times New Roman" w:hAnsi="Times New Roman" w:cs="Times New Roman"/>
          <w:szCs w:val="21"/>
          <w:lang w:val="en-US" w:eastAsia="zh-CN"/>
        </w:rPr>
        <w:t>q</w:t>
      </w:r>
      <w:r>
        <w:rPr>
          <w:rFonts w:ascii="Times New Roman" w:hAnsi="Times New Roman" w:cs="Times New Roman"/>
          <w:szCs w:val="21"/>
        </w:rPr>
        <w:t>)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-EGFP </w:t>
      </w:r>
      <w:r>
        <w:rPr>
          <w:rFonts w:hint="eastAsia" w:ascii="Times New Roman" w:hAnsi="Times New Roman" w:cs="Times New Roman"/>
          <w:szCs w:val="21"/>
        </w:rPr>
        <w:t>group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(unpaired t-test, n = 10/group).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 xml:space="preserve">(K, L)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Immobility time in TST (K) and FST (L) from </w:t>
      </w:r>
      <w:r>
        <w:rPr>
          <w:rFonts w:hint="eastAsia" w:ascii="Times New Roman" w:hAnsi="Times New Roman" w:cs="Times New Roman"/>
          <w:szCs w:val="21"/>
          <w:lang w:val="en-US" w:eastAsia="zh-CN"/>
        </w:rPr>
        <w:t>the EGFP</w:t>
      </w:r>
      <w:r>
        <w:rPr>
          <w:rFonts w:hint="eastAsia" w:ascii="Times New Roman" w:hAnsi="Times New Roman" w:cs="Times New Roman"/>
          <w:szCs w:val="21"/>
        </w:rPr>
        <w:t xml:space="preserve"> and </w:t>
      </w:r>
      <w:r>
        <w:rPr>
          <w:rFonts w:ascii="Times New Roman" w:hAnsi="Times New Roman" w:cs="Times New Roman"/>
          <w:szCs w:val="21"/>
        </w:rPr>
        <w:t>hM</w:t>
      </w:r>
      <w:r>
        <w:rPr>
          <w:rFonts w:hint="eastAsia" w:ascii="Times New Roman" w:hAnsi="Times New Roman" w:cs="Times New Roman"/>
          <w:szCs w:val="21"/>
          <w:lang w:val="en-US" w:eastAsia="zh-CN"/>
        </w:rPr>
        <w:t>3</w:t>
      </w:r>
      <w:r>
        <w:rPr>
          <w:rFonts w:ascii="Times New Roman" w:hAnsi="Times New Roman" w:cs="Times New Roman"/>
          <w:szCs w:val="21"/>
        </w:rPr>
        <w:t>D(G</w:t>
      </w:r>
      <w:r>
        <w:rPr>
          <w:rFonts w:hint="eastAsia" w:ascii="Times New Roman" w:hAnsi="Times New Roman" w:cs="Times New Roman"/>
          <w:szCs w:val="21"/>
          <w:lang w:val="en-US" w:eastAsia="zh-CN"/>
        </w:rPr>
        <w:t>q</w:t>
      </w:r>
      <w:r>
        <w:rPr>
          <w:rFonts w:ascii="Times New Roman" w:hAnsi="Times New Roman" w:cs="Times New Roman"/>
          <w:szCs w:val="21"/>
        </w:rPr>
        <w:t>)</w:t>
      </w:r>
      <w:r>
        <w:rPr>
          <w:rFonts w:hint="eastAsia" w:ascii="Times New Roman" w:hAnsi="Times New Roman" w:cs="Times New Roman"/>
          <w:szCs w:val="21"/>
          <w:lang w:val="en-US" w:eastAsia="zh-CN"/>
        </w:rPr>
        <w:t>-EGFP group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(unpaired t-test, n = 10/group).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(M)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Schematic of experimental design.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(N)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The 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axon terminals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expression of ChR2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-mCherry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and optic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fiber implantation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in the BLA. Scale bar: 100 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μm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.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 xml:space="preserve">(O)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Viral injection and behavioral tests timeline.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(P-R)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Effect of optogenetic activation of mOFC</w:t>
      </w:r>
      <w:r>
        <w:rPr>
          <w:rFonts w:hint="eastAsia" w:ascii="Times New Roman" w:hAnsi="Times New Roman" w:cs="Times New Roman"/>
          <w:sz w:val="21"/>
          <w:szCs w:val="21"/>
          <w:vertAlign w:val="superscript"/>
          <w:lang w:val="en-US" w:eastAsia="zh-CN"/>
        </w:rPr>
        <w:t>CaMKII</w:t>
      </w:r>
      <w:r>
        <w:rPr>
          <w:rFonts w:hint="default" w:ascii="Times New Roman" w:hAnsi="Times New Roman" w:cs="Times New Roman"/>
          <w:sz w:val="21"/>
          <w:szCs w:val="21"/>
          <w:vertAlign w:val="superscript"/>
          <w:lang w:val="en-US" w:eastAsia="zh-CN"/>
        </w:rPr>
        <w:t>α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-BLA </w:t>
      </w:r>
      <w:r>
        <w:rPr>
          <w:rFonts w:hint="eastAsia" w:ascii="Times New Roman" w:hAnsi="Times New Roman" w:cs="Times New Roman"/>
          <w:szCs w:val="21"/>
        </w:rPr>
        <w:t xml:space="preserve">pathway neurons </w:t>
      </w:r>
      <w:r>
        <w:rPr>
          <w:rFonts w:ascii="Times New Roman" w:hAnsi="Times New Roman" w:cs="Times New Roman"/>
          <w:szCs w:val="21"/>
        </w:rPr>
        <w:t>on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pain behavior in 0.07g (P), 0.4g (Q) von Frey and Hargreaves tests (R) (two-way ANOVA with Sidak post hoc test, n=8/group)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(S, T)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Quantification of the central time (S) and total distance (T) in the OFT from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the </w:t>
      </w:r>
      <w:r>
        <w:rPr>
          <w:rFonts w:hint="eastAsia" w:ascii="Times New Roman" w:hAnsi="Times New Roman" w:cs="Times New Roman"/>
          <w:szCs w:val="21"/>
        </w:rPr>
        <w:t xml:space="preserve">mCherry and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ChR2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-mCherry</w:t>
      </w:r>
      <w:r>
        <w:rPr>
          <w:rFonts w:hint="eastAsia" w:ascii="Times New Roman" w:hAnsi="Times New Roman" w:cs="Times New Roman"/>
          <w:szCs w:val="21"/>
        </w:rPr>
        <w:t xml:space="preserve"> group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(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unpaired t-test, n = 8/group</w:t>
      </w:r>
      <w:r>
        <w:rPr>
          <w:rFonts w:hint="eastAsia" w:ascii="Times New Roman" w:hAnsi="Times New Roman" w:cs="Times New Roman"/>
          <w:szCs w:val="21"/>
          <w:lang w:val="en-US" w:eastAsia="zh-CN"/>
        </w:rPr>
        <w:t>)</w:t>
      </w:r>
      <w:r>
        <w:rPr>
          <w:rFonts w:hint="eastAsia" w:ascii="Times New Roman" w:hAnsi="Times New Roman" w:cs="Times New Roman"/>
          <w:szCs w:val="21"/>
        </w:rPr>
        <w:t xml:space="preserve">.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(U-V)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Quantification of the time (U) and entries (V) in open arms of the EPM from 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the </w:t>
      </w:r>
      <w:r>
        <w:rPr>
          <w:rFonts w:hint="eastAsia" w:ascii="Times New Roman" w:hAnsi="Times New Roman" w:cs="Times New Roman"/>
          <w:szCs w:val="21"/>
        </w:rPr>
        <w:t xml:space="preserve">mCherry and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ChR2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-mCherry</w:t>
      </w:r>
      <w:r>
        <w:rPr>
          <w:rFonts w:hint="eastAsia" w:ascii="Times New Roman" w:hAnsi="Times New Roman" w:cs="Times New Roman"/>
          <w:szCs w:val="21"/>
        </w:rPr>
        <w:t xml:space="preserve"> group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(unpaired t-test, n = 8/group).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 xml:space="preserve">(W, X)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Immobility time in TST (W) and FST (X) from 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the </w:t>
      </w:r>
      <w:r>
        <w:rPr>
          <w:rFonts w:hint="eastAsia" w:ascii="Times New Roman" w:hAnsi="Times New Roman" w:cs="Times New Roman"/>
          <w:szCs w:val="21"/>
        </w:rPr>
        <w:t xml:space="preserve">mCherry and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ChR2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-mCherry</w:t>
      </w:r>
      <w:r>
        <w:rPr>
          <w:rFonts w:hint="eastAsia" w:ascii="Times New Roman" w:hAnsi="Times New Roman" w:cs="Times New Roman"/>
          <w:szCs w:val="21"/>
        </w:rPr>
        <w:t xml:space="preserve"> group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(unpaired t-test, n = 8/group).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Data were presented as the mean ± SEM. *P &lt; 0.05, **P &lt;0.01, ***P &lt; 0.001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, ns = </w:t>
      </w:r>
      <w:r>
        <w:rPr>
          <w:rFonts w:ascii="Times New Roman" w:hAnsi="Times New Roman" w:cs="Times New Roman"/>
          <w:szCs w:val="21"/>
        </w:rPr>
        <w:t>no significant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.</w:t>
      </w:r>
    </w:p>
    <w:p w14:paraId="1DC0986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E55375"/>
    <w:rsid w:val="03114066"/>
    <w:rsid w:val="1697649A"/>
    <w:rsid w:val="23FE0316"/>
    <w:rsid w:val="39E55375"/>
    <w:rsid w:val="53674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998</Words>
  <Characters>5324</Characters>
  <Lines>0</Lines>
  <Paragraphs>0</Paragraphs>
  <TotalTime>6</TotalTime>
  <ScaleCrop>false</ScaleCrop>
  <LinksUpToDate>false</LinksUpToDate>
  <CharactersWithSpaces>6316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2025-10-26T00:08:00Z</dcterms:created>
  <dc:creator>泽金</dc:creator>
  <cp:lastModifiedBy>泽金</cp:lastModifiedBy>
  <dcterms:modified xsi:type="dcterms:W3CDTF">2025-10-29T01:40:33Z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3F7C0F11D6A04ACEA30FF79F8C3DA0FF_11</vt:lpwstr>
  </property>
  <property fmtid="{D5CDD505-2E9C-101B-9397-08002B2CF9AE}" pid="4" name="KSOTemplateDocerSaveRecord">
    <vt:lpwstr>eyJoZGlkIjoiMzEwNTM5NzYwMDRjMzkwZTVkZjY2ODkwMGIxNGU0OTUiLCJ1c2VySWQiOiI0MDgxNDk4OTkifQ==</vt:lpwstr>
  </property>
</Properties>
</file>