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369FB6">
      <w:pPr>
        <w:jc w:val="center"/>
        <w:rPr>
          <w:rFonts w:ascii="Times New Roman Bold" w:hAnsi="Times New Roman Bold" w:cs="Times New Roman Bold"/>
          <w:b/>
          <w:bCs/>
          <w:sz w:val="24"/>
        </w:rPr>
      </w:pPr>
      <w:r>
        <w:rPr>
          <w:rFonts w:ascii="Times New Roman Bold" w:hAnsi="Times New Roman Bold" w:cs="Times New Roman Bold"/>
          <w:b/>
          <w:bCs/>
          <w:sz w:val="24"/>
        </w:rPr>
        <w:t>The Supplementary Material</w:t>
      </w:r>
    </w:p>
    <w:p w14:paraId="1A9FF002">
      <w:pPr>
        <w:jc w:val="center"/>
        <w:rPr>
          <w:rFonts w:ascii="Times New Roman Bold" w:hAnsi="Times New Roman Bold" w:cs="Times New Roman Bold"/>
          <w:b/>
          <w:bCs/>
          <w:sz w:val="24"/>
        </w:rPr>
      </w:pPr>
    </w:p>
    <w:p w14:paraId="0F614840">
      <w:pPr>
        <w:jc w:val="center"/>
        <w:rPr>
          <w:rFonts w:ascii="Times New Roman Bold" w:hAnsi="Times New Roman Bold" w:cs="Times New Roman Bold"/>
          <w:b/>
          <w:bCs/>
          <w:sz w:val="24"/>
        </w:rPr>
      </w:pPr>
      <w:r>
        <w:rPr>
          <w:rFonts w:ascii="Times New Roman Bold" w:hAnsi="Times New Roman Bold" w:cs="Times New Roman Bold"/>
          <w:b/>
          <w:bCs/>
          <w:sz w:val="24"/>
        </w:rPr>
        <w:t>Supplementary Figures</w:t>
      </w:r>
    </w:p>
    <w:p w14:paraId="241CC93E">
      <w:pPr>
        <w:spacing w:line="480" w:lineRule="auto"/>
        <w:rPr>
          <w:rFonts w:hint="eastAsia" w:ascii="Times New Roman Regular" w:hAnsi="Times New Roman Regular" w:cs="Times New Roman Regular" w:eastAsiaTheme="minorEastAsia"/>
          <w:sz w:val="24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sz w:val="24"/>
          <w:lang w:eastAsia="zh-CN"/>
        </w:rPr>
        <w:drawing>
          <wp:inline distT="0" distB="0" distL="114300" distR="114300">
            <wp:extent cx="5273675" cy="2340610"/>
            <wp:effectExtent l="0" t="0" r="9525" b="21590"/>
            <wp:docPr id="3" name="图片 3" descr="纳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纳排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EA69">
      <w:pPr>
        <w:spacing w:line="480" w:lineRule="auto"/>
        <w:rPr>
          <w:rFonts w:ascii="Times New Roman Regular" w:hAnsi="Times New Roman Regular" w:cs="Times New Roman Regular"/>
          <w:szCs w:val="21"/>
        </w:rPr>
      </w:pPr>
      <w:r>
        <w:rPr>
          <w:rFonts w:ascii="Times New Roman Bold" w:hAnsi="Times New Roman Bold" w:cs="Times New Roman Bold"/>
          <w:b/>
          <w:bCs/>
          <w:sz w:val="24"/>
        </w:rPr>
        <w:t xml:space="preserve">Supplementary </w:t>
      </w:r>
      <w:r>
        <w:rPr>
          <w:rFonts w:ascii="Times New Roman Bold" w:hAnsi="Times New Roman Bold" w:cs="Times New Roman Bold"/>
          <w:b/>
          <w:bCs/>
          <w:sz w:val="22"/>
          <w:szCs w:val="22"/>
        </w:rPr>
        <w:t>Figure S1. Participant flow through the study.</w:t>
      </w:r>
      <w:r>
        <w:rPr>
          <w:rFonts w:ascii="Times New Roman Regular" w:hAnsi="Times New Roman Regular" w:cs="Times New Roman Regular"/>
          <w:b/>
          <w:bCs/>
          <w:sz w:val="22"/>
          <w:szCs w:val="22"/>
        </w:rPr>
        <w:t xml:space="preserve"> </w:t>
      </w:r>
      <w:r>
        <w:rPr>
          <w:rFonts w:hint="eastAsia" w:ascii="Times New Roman Regular" w:hAnsi="Times New Roman Regular" w:cs="Times New Roman Regular"/>
          <w:sz w:val="22"/>
          <w:szCs w:val="22"/>
        </w:rPr>
        <w:t>Flow diagram summarizing inclusion and exclusion across four datasets: Group A</w:t>
      </w:r>
      <w:r>
        <w:rPr>
          <w:rFonts w:hint="eastAsia" w:ascii="Times New Roman Regular" w:hAnsi="Times New Roman Regular" w:cs="Times New Roman Regular"/>
          <w:sz w:val="22"/>
          <w:szCs w:val="22"/>
          <w:lang w:eastAsia="zh-CN"/>
        </w:rPr>
        <w:t>—</w:t>
      </w:r>
      <w:r>
        <w:rPr>
          <w:rFonts w:hint="eastAsia" w:ascii="Times New Roman Regular" w:hAnsi="Times New Roman Regular" w:cs="Times New Roman Regular"/>
          <w:sz w:val="22"/>
          <w:szCs w:val="22"/>
        </w:rPr>
        <w:t>retrospective cases from Center A (Jan 2018–Jan 2025) for prompt optimization and framework testing; Group B—retrospective cases from Center B (May 2018–Mar 2025) for framework testing and validation; Group C—PubMed case reports (Jan 2024–Jan 2025) for framework testing and validation; and Group D—prospective</w:t>
      </w:r>
      <w:bookmarkStart w:id="2" w:name="_GoBack"/>
      <w:bookmarkEnd w:id="2"/>
      <w:r>
        <w:rPr>
          <w:rFonts w:hint="eastAsia" w:ascii="Times New Roman Regular" w:hAnsi="Times New Roman Regular" w:cs="Times New Roman Regular"/>
          <w:sz w:val="22"/>
          <w:szCs w:val="22"/>
        </w:rPr>
        <w:t xml:space="preserve"> cases from Center A (Feb–May 2025) for framework validation and human–AI interaction evaluation.</w:t>
      </w:r>
    </w:p>
    <w:p w14:paraId="594998D0">
      <w:pPr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br w:type="page"/>
      </w:r>
    </w:p>
    <w:p w14:paraId="13EFD3E3">
      <w:pPr>
        <w:jc w:val="center"/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drawing>
          <wp:inline distT="0" distB="0" distL="114300" distR="114300">
            <wp:extent cx="5252085" cy="4549775"/>
            <wp:effectExtent l="0" t="0" r="5715" b="22225"/>
            <wp:docPr id="5" name="图片 5" descr="Prom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romp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0D57">
      <w:pPr>
        <w:spacing w:line="480" w:lineRule="auto"/>
        <w:rPr>
          <w:rFonts w:ascii="Times New Roman Regular" w:hAnsi="Times New Roman Regular" w:cs="Times New Roman Regular"/>
          <w:sz w:val="24"/>
        </w:rPr>
      </w:pPr>
      <w:bookmarkStart w:id="0" w:name="OLE_LINK39"/>
      <w:bookmarkStart w:id="1" w:name="OLE_LINK40"/>
      <w:r>
        <w:rPr>
          <w:rFonts w:ascii="Times New Roman Bold" w:hAnsi="Times New Roman Bold" w:cs="Times New Roman Bold"/>
          <w:b/>
          <w:bCs/>
          <w:sz w:val="24"/>
        </w:rPr>
        <w:t xml:space="preserve">Supplementary </w:t>
      </w:r>
      <w:bookmarkEnd w:id="0"/>
      <w:bookmarkEnd w:id="1"/>
      <w:r>
        <w:rPr>
          <w:rFonts w:ascii="Times New Roman Bold" w:hAnsi="Times New Roman Bold" w:cs="Times New Roman Bold"/>
          <w:b/>
          <w:bCs/>
          <w:sz w:val="24"/>
        </w:rPr>
        <w:t>Figure S2. Visualization of interaction interfaces for standalone LLM and hybrid-reasoner framework</w:t>
      </w:r>
      <w:r>
        <w:rPr>
          <w:rFonts w:hint="eastAsia" w:ascii="Times New Roman Bold" w:hAnsi="Times New Roman Bold" w:cs="Times New Roman Bold"/>
          <w:b/>
          <w:bCs/>
          <w:sz w:val="24"/>
        </w:rPr>
        <w:t xml:space="preserve"> </w:t>
      </w:r>
      <w:r>
        <w:rPr>
          <w:rFonts w:ascii="Times New Roman Bold" w:hAnsi="Times New Roman Bold" w:cs="Times New Roman Bold"/>
          <w:b/>
          <w:bCs/>
          <w:sz w:val="24"/>
        </w:rPr>
        <w:t xml:space="preserve">augmented LLM. </w:t>
      </w:r>
      <w:r>
        <w:rPr>
          <w:rFonts w:ascii="Times New Roman Regular" w:hAnsi="Times New Roman Regular" w:cs="Times New Roman Regular"/>
          <w:sz w:val="24"/>
        </w:rPr>
        <w:t xml:space="preserve">Schematic illustrating the research workflow and output formats. The interface contrasts the hybrid-reasoner framework augmented LLM with standalone LLM. In first scenario, clinicians provide chain-of-thought reasoning using </w:t>
      </w:r>
      <w:r>
        <w:rPr>
          <w:rFonts w:ascii="Times New Roman Regular" w:hAnsi="Times New Roman Regular" w:cs="Times New Roman Regular"/>
          <w:i/>
          <w:iCs/>
          <w:sz w:val="24"/>
        </w:rPr>
        <w:t>&lt;think&gt;</w:t>
      </w:r>
      <w:r>
        <w:rPr>
          <w:rFonts w:ascii="Times New Roman Regular" w:hAnsi="Times New Roman Regular" w:cs="Times New Roman Regular"/>
          <w:sz w:val="24"/>
        </w:rPr>
        <w:t xml:space="preserve"> tags and specify final treatment recommendation and TOAST classifications using </w:t>
      </w:r>
      <w:r>
        <w:rPr>
          <w:rFonts w:ascii="Times New Roman Regular" w:hAnsi="Times New Roman Regular" w:cs="Times New Roman Regular"/>
          <w:i/>
          <w:iCs/>
          <w:sz w:val="24"/>
        </w:rPr>
        <w:t xml:space="preserve">&lt;treatment&gt; </w:t>
      </w:r>
      <w:r>
        <w:rPr>
          <w:rFonts w:ascii="Times New Roman Regular" w:hAnsi="Times New Roman Regular" w:cs="Times New Roman Regular"/>
          <w:sz w:val="24"/>
        </w:rPr>
        <w:t xml:space="preserve">and </w:t>
      </w:r>
      <w:r>
        <w:rPr>
          <w:rFonts w:ascii="Times New Roman Regular" w:hAnsi="Times New Roman Regular" w:cs="Times New Roman Regular"/>
          <w:i/>
          <w:iCs/>
          <w:sz w:val="24"/>
        </w:rPr>
        <w:t>&lt;diagnosis&gt;</w:t>
      </w:r>
      <w:r>
        <w:rPr>
          <w:rFonts w:ascii="Times New Roman Regular" w:hAnsi="Times New Roman Regular" w:cs="Times New Roman Regular"/>
          <w:sz w:val="24"/>
        </w:rPr>
        <w:t xml:space="preserve"> tags. A Summary Agent can optionally compress inputs to reduce token length. In second scenario, where responses are unconstrained, a Grade Agent extracts and standardizes </w:t>
      </w:r>
      <w:r>
        <w:rPr>
          <w:rFonts w:hint="eastAsia" w:ascii="Times New Roman Regular" w:hAnsi="Times New Roman Regular" w:cs="Times New Roman Regular"/>
          <w:sz w:val="24"/>
          <w:lang w:val="en-US" w:eastAsia="zh-CN"/>
        </w:rPr>
        <w:t>answers</w:t>
      </w:r>
      <w:r>
        <w:rPr>
          <w:rFonts w:ascii="Times New Roman Regular" w:hAnsi="Times New Roman Regular" w:cs="Times New Roman Regular"/>
          <w:sz w:val="24"/>
        </w:rPr>
        <w:t>. The right panel shows a PubMed case example demonstrating input information and structured output generation.</w:t>
      </w:r>
    </w:p>
    <w:p w14:paraId="2BE7CC1C">
      <w:pPr>
        <w:rPr>
          <w:rFonts w:ascii="Times New Roman Regular" w:hAnsi="Times New Roman Regular" w:cs="Times New Roman Regular"/>
          <w:sz w:val="24"/>
        </w:rPr>
      </w:pPr>
      <w:r>
        <w:rPr>
          <w:rFonts w:ascii="Times New Roman Regular" w:hAnsi="Times New Roman Regular" w:cs="Times New Roman Regular"/>
          <w:sz w:val="24"/>
        </w:rPr>
        <w:br w:type="page"/>
      </w:r>
      <w:r>
        <w:rPr>
          <w:rFonts w:ascii="Times New Roman Regular" w:hAnsi="Times New Roman Regular" w:cs="Times New Roman Regular"/>
          <w:sz w:val="24"/>
        </w:rPr>
        <w:drawing>
          <wp:inline distT="0" distB="0" distL="114300" distR="114300">
            <wp:extent cx="5926455" cy="3792220"/>
            <wp:effectExtent l="0" t="0" r="17145" b="17780"/>
            <wp:docPr id="4" name="图片 4" descr="figure_S2_diagnosis_2025091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_S2_diagnosis_20250919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F0AD">
      <w:pPr>
        <w:widowControl/>
        <w:spacing w:line="480" w:lineRule="auto"/>
        <w:rPr>
          <w:rFonts w:ascii="Times New Roman Regular" w:hAnsi="Times New Roman Regular" w:cs="Times New Roman Regular"/>
          <w:sz w:val="22"/>
          <w:szCs w:val="2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 Bold" w:hAnsi="Times New Roman Bold" w:eastAsia="DengXian" w:cs="Times New Roman Bold"/>
          <w:b/>
          <w:bCs/>
          <w:sz w:val="22"/>
          <w:szCs w:val="22"/>
          <w:lang w:bidi="ar"/>
        </w:rPr>
        <w:t xml:space="preserve">Supplementary Material </w:t>
      </w:r>
      <w:r>
        <w:rPr>
          <w:rFonts w:ascii="Times New Roman Bold" w:hAnsi="Times New Roman Bold" w:cs="Times New Roman Bold"/>
          <w:b/>
          <w:bCs/>
          <w:sz w:val="22"/>
          <w:szCs w:val="22"/>
        </w:rPr>
        <w:t>Figure S3. Hybrid-reasoner framework enhances accuracy of LLMs in TOAST classification.</w:t>
      </w:r>
      <w:r>
        <w:rPr>
          <w:rFonts w:ascii="Times New Roman Regular" w:hAnsi="Times New Roman Regular" w:cs="Times New Roman Regular"/>
          <w:sz w:val="22"/>
          <w:szCs w:val="22"/>
        </w:rPr>
        <w:t xml:space="preserve"> ACC comparisons are shown for six LLMs of increasing scale (Baichuan-M1-14B, GPT-OSS-20B, Qwen2.5-32B, DeepSeek-R1-Distill-Qwen-32B, GPT-OSS-120B, and DeepSeek-R1-671B) across four evaluation groups (from group A to D). Within each group, paired bars represent standalone performance (pink) and Hybrid-reasoner framework augmented performance (blue).</w:t>
      </w:r>
    </w:p>
    <w:p w14:paraId="4C294C65">
      <w:pPr>
        <w:widowControl/>
        <w:jc w:val="left"/>
        <w:textAlignment w:val="top"/>
        <w:rPr>
          <w:rFonts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</w:pPr>
      <w:r>
        <w:rPr>
          <w:rFonts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>Supplementary</w:t>
      </w:r>
      <w:r>
        <w:rPr>
          <w:rFonts w:hint="eastAsia"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 xml:space="preserve"> Table</w:t>
      </w:r>
      <w:r>
        <w:rPr>
          <w:rFonts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 xml:space="preserve"> </w:t>
      </w:r>
      <w:r>
        <w:rPr>
          <w:rFonts w:hint="eastAsia"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>S1</w:t>
      </w:r>
      <w:r>
        <w:rPr>
          <w:rFonts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>. Performance of LLMs in treatment recommendation and TOAST classification in Group A.</w:t>
      </w:r>
    </w:p>
    <w:tbl>
      <w:tblPr>
        <w:tblStyle w:val="5"/>
        <w:tblpPr w:leftFromText="180" w:rightFromText="180" w:vertAnchor="text" w:horzAnchor="page" w:tblpXSpec="center" w:tblpY="294"/>
        <w:tblOverlap w:val="never"/>
        <w:tblW w:w="142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8"/>
        <w:gridCol w:w="1701"/>
        <w:gridCol w:w="1701"/>
        <w:gridCol w:w="1701"/>
        <w:gridCol w:w="1020"/>
        <w:gridCol w:w="1701"/>
        <w:gridCol w:w="1701"/>
        <w:gridCol w:w="1701"/>
        <w:gridCol w:w="1020"/>
      </w:tblGrid>
      <w:tr w14:paraId="6DC272BC">
        <w:trPr>
          <w:trHeight w:val="783" w:hRule="atLeast"/>
          <w:jc w:val="center"/>
        </w:trPr>
        <w:tc>
          <w:tcPr>
            <w:tcW w:w="201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38A35540">
            <w:pPr>
              <w:widowControl/>
              <w:jc w:val="left"/>
              <w:textAlignment w:val="top"/>
              <w:rPr>
                <w:rFonts w:ascii="Times New Roman Bold" w:hAnsi="Times New Roman Bold" w:eastAsia="宋体" w:cs="Times New Roman Bold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</w:p>
          <w:p w14:paraId="5AB1E1B6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Bold" w:hAnsi="Times New Roman Bold" w:eastAsia="宋体" w:cs="Times New Roman Bold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Models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C77CC4B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908750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Standalone LLM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1CD6F3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Hybrid-reasoner 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ramework</w:t>
            </w:r>
          </w:p>
        </w:tc>
        <w:tc>
          <w:tcPr>
            <w:tcW w:w="102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21F96B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P value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E5F72CA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F1 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core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6ABE5C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Standalone LLM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11335A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Hybrid-reasoner 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ramework</w:t>
            </w:r>
          </w:p>
        </w:tc>
        <w:tc>
          <w:tcPr>
            <w:tcW w:w="102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0EFD6C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P value</w:t>
            </w:r>
          </w:p>
        </w:tc>
      </w:tr>
      <w:tr w14:paraId="3DEA2290">
        <w:trPr>
          <w:trHeight w:val="510" w:hRule="atLeast"/>
          <w:jc w:val="center"/>
        </w:trPr>
        <w:tc>
          <w:tcPr>
            <w:tcW w:w="2018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179732">
            <w:pP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Baichuan-M1-14B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199773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Treatment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1C45E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0.546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(0.517, 0.576)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65790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0.687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(0.658, 0.713)</w:t>
            </w:r>
          </w:p>
        </w:tc>
        <w:tc>
          <w:tcPr>
            <w:tcW w:w="102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1DEE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41C4FC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Treatment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D3428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0.707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(0.682, 0.731)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71E8F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0.814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(0.794, 0.832)</w:t>
            </w:r>
          </w:p>
        </w:tc>
        <w:tc>
          <w:tcPr>
            <w:tcW w:w="102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4913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0.760</w:t>
            </w:r>
          </w:p>
        </w:tc>
      </w:tr>
      <w:tr w14:paraId="6FED0316">
        <w:trPr>
          <w:trHeight w:val="510" w:hRule="atLeast"/>
          <w:jc w:val="center"/>
        </w:trPr>
        <w:tc>
          <w:tcPr>
            <w:tcW w:w="201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0F4F6F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EC9E4C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6EB88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0.665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(0.637, 0.695)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4E6D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0.695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(0.669, 0.724)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D6A43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EEA942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7750F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0.303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(0.277, 0.328)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D889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0.275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(0.247, 0.351)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40CD5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0.796</w:t>
            </w:r>
          </w:p>
        </w:tc>
      </w:tr>
      <w:tr w14:paraId="2F693316">
        <w:trPr>
          <w:trHeight w:val="510" w:hRule="atLeast"/>
          <w:jc w:val="center"/>
        </w:trPr>
        <w:tc>
          <w:tcPr>
            <w:tcW w:w="20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0AA272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GPT-OSS-20B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3C15A6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Treatment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A4075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0.433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0.465)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1E2A3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0.487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(0.456, 0.518)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29491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2D2BBC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3C948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0.604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(0.571, 0.635)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41AC7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0.655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(0.627, 0.682)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DC663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2F3B4BB4">
        <w:trPr>
          <w:trHeight w:val="510" w:hRule="atLeast"/>
          <w:jc w:val="center"/>
        </w:trPr>
        <w:tc>
          <w:tcPr>
            <w:tcW w:w="201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82C1C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86648C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56CA8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0.508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(0.472, 0.544)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D7E5E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0.706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(0.681, 0.735)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C7F5F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011443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B6C6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0.224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0.248)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46C5F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0.235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(0.209, 0.299)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4505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30A8E2EA">
        <w:trPr>
          <w:trHeight w:val="510" w:hRule="atLeast"/>
          <w:jc w:val="center"/>
        </w:trPr>
        <w:tc>
          <w:tcPr>
            <w:tcW w:w="20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D41988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Qwen2.5-32B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FED122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FC6D7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0.574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(0.543, 0.603)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7F52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0.697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(0.673, 0.725)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4C77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987D98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F1 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o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A6417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0.729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(0.704, 0.753)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18CB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0.822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(0.804, 0.84)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9F525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4009177A">
        <w:trPr>
          <w:trHeight w:val="510" w:hRule="atLeast"/>
          <w:jc w:val="center"/>
        </w:trPr>
        <w:tc>
          <w:tcPr>
            <w:tcW w:w="201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D068DE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95562A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A787A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0.678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(0.65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0.708)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D35DC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0.731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(0.705, 0.76)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FA0D5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3C7AC4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of TOAST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02524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0.275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(0.241, 0.314)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8BADA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0.307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(0.271, 0.406)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5D961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0.090</w:t>
            </w:r>
          </w:p>
        </w:tc>
      </w:tr>
      <w:tr w14:paraId="3D13FB58">
        <w:trPr>
          <w:trHeight w:val="510" w:hRule="atLeast"/>
          <w:jc w:val="center"/>
        </w:trPr>
        <w:tc>
          <w:tcPr>
            <w:tcW w:w="20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487025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DeepSeek-Distill-Qwen-32B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016AF9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4809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0.609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(0.579, 0.637)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C6A9E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0.762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(0.735, 0.788)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C0EE9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777AF7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9389F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0.757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(0.733, 0.778)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47504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0.865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(0.847, 0.882)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59C31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6E1CDD81">
        <w:trPr>
          <w:trHeight w:val="510" w:hRule="atLeast"/>
          <w:jc w:val="center"/>
        </w:trPr>
        <w:tc>
          <w:tcPr>
            <w:tcW w:w="201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B0BF86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4C3DDE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F594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0.694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(0.665, 0.723)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3D21A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0.738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(0.709, 0.764)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BC854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3E87C0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86E8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0.347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(0.315, 0.383)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48FD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0.354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(0.319, 0.388)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B4300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0.004</w:t>
            </w:r>
          </w:p>
        </w:tc>
      </w:tr>
      <w:tr w14:paraId="50F22FFC">
        <w:trPr>
          <w:trHeight w:val="510" w:hRule="atLeast"/>
          <w:jc w:val="center"/>
        </w:trPr>
        <w:tc>
          <w:tcPr>
            <w:tcW w:w="20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42800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GPT-OSS-120B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300DAA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F15C1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0.737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(0.71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0.763)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AC65C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0.851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(0.829, 0.872)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0FFC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EC8728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F1 of Treatment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DDA80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0.849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(0.83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0.865)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97AE7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0.92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(0.907, 0.932)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7CD1B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6DE021AD">
        <w:trPr>
          <w:trHeight w:val="510" w:hRule="atLeast"/>
          <w:jc w:val="center"/>
        </w:trPr>
        <w:tc>
          <w:tcPr>
            <w:tcW w:w="201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7A79F3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0F1269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578EF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0.731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(0.704, 0.76)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CE08C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0.749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(0.722, 0.777)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4A67E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ECB331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67A00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0.426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(0.367, 0.481)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6475F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0.417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(0.373, 0.462)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011F8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0.550</w:t>
            </w:r>
          </w:p>
        </w:tc>
      </w:tr>
      <w:tr w14:paraId="6E1E1626">
        <w:trPr>
          <w:trHeight w:val="510" w:hRule="atLeast"/>
          <w:jc w:val="center"/>
        </w:trPr>
        <w:tc>
          <w:tcPr>
            <w:tcW w:w="2018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32DC06C6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DeepSeek-R1-671B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A74979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86BAD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0.687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(0.658, 0.714)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FB3E3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0.847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(0.826, 0.868)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30EB8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2BB864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0DC6E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0.814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(0.794, 0.833)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27013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0.917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(0.905, 0.929)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1780C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6AA5B4BD">
        <w:trPr>
          <w:trHeight w:val="510" w:hRule="atLeast"/>
          <w:jc w:val="center"/>
        </w:trPr>
        <w:tc>
          <w:tcPr>
            <w:tcW w:w="2018" w:type="dxa"/>
            <w:vMerge w:val="continue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1743201D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08AD456A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TOAST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1F9104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0.733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(0.705, 0.763)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B79ABB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0.796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0.82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227298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0.118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3FFDB055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TOAST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CE655D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0.42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0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(0.375, 0.459)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9B8C0B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0.474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(0.427, 0.52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2383FD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0.336</w:t>
            </w:r>
          </w:p>
        </w:tc>
      </w:tr>
    </w:tbl>
    <w:p w14:paraId="4D7593A1">
      <w:pPr>
        <w:widowControl/>
        <w:jc w:val="left"/>
        <w:textAlignment w:val="top"/>
        <w:rPr>
          <w:rFonts w:ascii="Times New Roman Regular" w:hAnsi="Times New Roman Regular" w:eastAsia="宋体" w:cs="Times New Roman Regular"/>
          <w:color w:val="000000"/>
          <w:kern w:val="0"/>
          <w:sz w:val="20"/>
          <w:szCs w:val="20"/>
          <w:lang w:bidi="ar"/>
        </w:rPr>
      </w:pPr>
      <w:r>
        <w:rPr>
          <w:rFonts w:ascii="Times New Roman Regular" w:hAnsi="Times New Roman Regular" w:eastAsia="宋体" w:cs="Times New Roman Regular"/>
          <w:kern w:val="0"/>
          <w:sz w:val="20"/>
          <w:szCs w:val="20"/>
          <w:lang w:bidi="ar"/>
        </w:rPr>
        <w:t xml:space="preserve">The table presents </w:t>
      </w:r>
      <w:r>
        <w:rPr>
          <w:rFonts w:hint="eastAsia" w:ascii="Times New Roman Regular" w:hAnsi="Times New Roman Regular" w:eastAsia="宋体" w:cs="Times New Roman Regular"/>
          <w:kern w:val="0"/>
          <w:sz w:val="20"/>
          <w:szCs w:val="20"/>
          <w:lang w:bidi="ar"/>
        </w:rPr>
        <w:t>ACC</w:t>
      </w:r>
      <w:r>
        <w:rPr>
          <w:rFonts w:ascii="Times New Roman Regular" w:hAnsi="Times New Roman Regular" w:eastAsia="宋体" w:cs="Times New Roman Regular"/>
          <w:kern w:val="0"/>
          <w:sz w:val="20"/>
          <w:szCs w:val="20"/>
          <w:lang w:bidi="ar"/>
        </w:rPr>
        <w:t xml:space="preserve"> (accuracy) and F1 scores for standalone and framework-augmented LLMs in Group A, with corresponding P values for paired comparisons. Values are reported as point estimates, with 95% confidence intervals (CIs) shown in parentheses. ACC, accuracy.</w:t>
      </w:r>
    </w:p>
    <w:p w14:paraId="4633F01B">
      <w:pPr>
        <w:rPr>
          <w:rFonts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</w:pPr>
      <w:r>
        <w:rPr>
          <w:rFonts w:ascii="Times New Roman Regular" w:hAnsi="Times New Roman Regular" w:eastAsia="宋体" w:cs="Times New Roman Regular"/>
          <w:color w:val="000000"/>
          <w:kern w:val="0"/>
          <w:sz w:val="24"/>
          <w:lang w:bidi="ar"/>
        </w:rPr>
        <w:br w:type="page"/>
      </w:r>
      <w:r>
        <w:rPr>
          <w:rFonts w:ascii="Times New Roman Regular" w:hAnsi="Times New Roman Regular" w:eastAsia="宋体" w:cs="Times New Roman Regular"/>
          <w:kern w:val="0"/>
          <w:sz w:val="22"/>
          <w:szCs w:val="22"/>
          <w:lang w:bidi="ar"/>
        </w:rPr>
        <w:t xml:space="preserve">Supplementary </w:t>
      </w:r>
      <w:r>
        <w:rPr>
          <w:rFonts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 xml:space="preserve">Table </w:t>
      </w:r>
      <w:r>
        <w:rPr>
          <w:rFonts w:hint="eastAsia"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>S2</w:t>
      </w:r>
      <w:r>
        <w:rPr>
          <w:rFonts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 xml:space="preserve">. </w:t>
      </w:r>
      <w:r>
        <w:rPr>
          <w:rFonts w:ascii="Times New Roman Regular" w:hAnsi="Times New Roman Regular" w:eastAsia="宋体" w:cs="Times New Roman Regular"/>
          <w:kern w:val="0"/>
          <w:sz w:val="22"/>
          <w:szCs w:val="22"/>
          <w:lang w:bidi="ar"/>
        </w:rPr>
        <w:t>Performance of LLMs in Treatment recommendation and TOAST classification in Group B.</w:t>
      </w:r>
    </w:p>
    <w:tbl>
      <w:tblPr>
        <w:tblStyle w:val="5"/>
        <w:tblpPr w:leftFromText="180" w:rightFromText="180" w:vertAnchor="text" w:horzAnchor="page" w:tblpXSpec="center" w:tblpY="294"/>
        <w:tblOverlap w:val="never"/>
        <w:tblW w:w="1426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7"/>
        <w:gridCol w:w="1701"/>
        <w:gridCol w:w="1701"/>
        <w:gridCol w:w="1701"/>
        <w:gridCol w:w="1020"/>
        <w:gridCol w:w="1701"/>
        <w:gridCol w:w="1701"/>
        <w:gridCol w:w="1701"/>
        <w:gridCol w:w="1020"/>
      </w:tblGrid>
      <w:tr w14:paraId="58DE9B71">
        <w:trPr>
          <w:trHeight w:val="680" w:hRule="atLeast"/>
          <w:jc w:val="center"/>
        </w:trPr>
        <w:tc>
          <w:tcPr>
            <w:tcW w:w="201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518546BF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Bold" w:hAnsi="Times New Roman Bold" w:eastAsia="宋体" w:cs="Times New Roman Bold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Models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E0D1E2E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95F461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Standalone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788467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Hybrid-reasoner Framework</w:t>
            </w:r>
          </w:p>
        </w:tc>
        <w:tc>
          <w:tcPr>
            <w:tcW w:w="102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1E08CC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P value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7038618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E76DF2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Standalone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3C9296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Hybrid-reasoner Framework </w:t>
            </w:r>
          </w:p>
        </w:tc>
        <w:tc>
          <w:tcPr>
            <w:tcW w:w="102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1242AC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P value</w:t>
            </w:r>
          </w:p>
        </w:tc>
      </w:tr>
      <w:tr w14:paraId="24C445F0">
        <w:trPr>
          <w:trHeight w:val="510" w:hRule="atLeast"/>
          <w:jc w:val="center"/>
        </w:trPr>
        <w:tc>
          <w:tcPr>
            <w:tcW w:w="2017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5BBA39">
            <w:pP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Baichuan-M1-14B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03BB3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Treatment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58ED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0.595 (0.559, 0.631)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F11A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0.684 (0.652, 0.718)</w:t>
            </w:r>
          </w:p>
        </w:tc>
        <w:tc>
          <w:tcPr>
            <w:tcW w:w="102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93D8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386737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Treatment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9BE75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0.746(0.717, 0.774)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F395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0.812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(0.789, 0.836)</w:t>
            </w:r>
          </w:p>
        </w:tc>
        <w:tc>
          <w:tcPr>
            <w:tcW w:w="102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A46AB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0.190</w:t>
            </w:r>
          </w:p>
        </w:tc>
      </w:tr>
      <w:tr w14:paraId="4E92E89C">
        <w:trPr>
          <w:trHeight w:val="510" w:hRule="atLeast"/>
          <w:jc w:val="center"/>
        </w:trPr>
        <w:tc>
          <w:tcPr>
            <w:tcW w:w="2017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C94838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1670A9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0C2BD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0.583 (0.545, 0.623)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F2417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0.620 (0.581, 0.656)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FE019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58818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7867A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0.267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(0.229, 0.308)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A744F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0.262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(0.223, 0.302)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B05D1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0.044</w:t>
            </w:r>
          </w:p>
        </w:tc>
      </w:tr>
      <w:tr w14:paraId="11A9537B">
        <w:trPr>
          <w:trHeight w:val="510" w:hRule="atLeast"/>
          <w:jc w:val="center"/>
        </w:trPr>
        <w:tc>
          <w:tcPr>
            <w:tcW w:w="20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B6CD77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GPT-OSS-20B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6DE722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136A9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0.459 (0.423, 0.499)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6067A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0.592 (0.555, 0.632)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27531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FB3CF5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8BF30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0.629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(0.594, 0.665)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87A9A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0.744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(0.714, 0.775)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2A02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4404B296">
        <w:trPr>
          <w:trHeight w:val="510" w:hRule="atLeast"/>
          <w:jc w:val="center"/>
        </w:trPr>
        <w:tc>
          <w:tcPr>
            <w:tcW w:w="2017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433E6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05543D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C3CB7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0.576 (0.534, 0.616)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9981A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0.686 (0.651, 0.723)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8255A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36C743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FD93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0.232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0.263)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28BD3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(0.228, 0.316)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895B4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2408E3A5">
        <w:trPr>
          <w:trHeight w:val="510" w:hRule="atLeast"/>
          <w:jc w:val="center"/>
        </w:trPr>
        <w:tc>
          <w:tcPr>
            <w:tcW w:w="20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5F005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Qwen2.5-32B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31A9F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E1564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0.587 (0.551, 0.623)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EC912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0.671 (0.638, 0.706)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D10DF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771D4A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765F7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0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(0.71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0.768)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CD6BC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0.803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(0.779, 0.828)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DDFF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0.110</w:t>
            </w:r>
          </w:p>
        </w:tc>
      </w:tr>
      <w:tr w14:paraId="16B7C292">
        <w:trPr>
          <w:trHeight w:val="510" w:hRule="atLeast"/>
          <w:jc w:val="center"/>
        </w:trPr>
        <w:tc>
          <w:tcPr>
            <w:tcW w:w="2017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F5BABC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3F0153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F4FEE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0.633 (0.592, 0.674)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E4D61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0.694 (0.656, 0.728)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E4FF4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89E51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F7FA5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0.28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0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(0.228, 0.335)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97C2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0.296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(0.247, 0.344)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7A8DE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0.204</w:t>
            </w:r>
          </w:p>
        </w:tc>
      </w:tr>
      <w:tr w14:paraId="47EC269A">
        <w:trPr>
          <w:trHeight w:val="510" w:hRule="atLeast"/>
          <w:jc w:val="center"/>
        </w:trPr>
        <w:tc>
          <w:tcPr>
            <w:tcW w:w="20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E61041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DeepSeek-Distill-Qwen-32B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B96AA6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C0073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0.587 (0.551, 0.623)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766A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0.678 (0.644, 0.714)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603F6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885B39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256E1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0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(0.71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0.768)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6E4C4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0.808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(0.783, 0.833)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974FB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1F4DD256">
        <w:trPr>
          <w:trHeight w:val="510" w:hRule="atLeast"/>
          <w:jc w:val="center"/>
        </w:trPr>
        <w:tc>
          <w:tcPr>
            <w:tcW w:w="2017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EC646F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11F84B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FA2E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0.593 (0.554, 0.629)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718B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0.627 (0.591, 0.664)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0C88E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606BA1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C622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0.309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(0.252, 0.365)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42D77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0.26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(0.225, 0.294)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4F56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0.004</w:t>
            </w:r>
          </w:p>
        </w:tc>
      </w:tr>
      <w:tr w14:paraId="4998FE2C">
        <w:trPr>
          <w:trHeight w:val="510" w:hRule="atLeast"/>
          <w:jc w:val="center"/>
        </w:trPr>
        <w:tc>
          <w:tcPr>
            <w:tcW w:w="20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3B123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GPT-OSS-120B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30271B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41956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0.699 (0.667, 0.732)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57DBD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0.798 (0.77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0.828)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0F367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58BFD8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4C8A1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0.823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(0.8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0.845)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B5653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0.887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(0.87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0.906)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AD8F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0.042</w:t>
            </w:r>
          </w:p>
        </w:tc>
      </w:tr>
      <w:tr w14:paraId="35A0D954">
        <w:trPr>
          <w:trHeight w:val="510" w:hRule="atLeast"/>
          <w:jc w:val="center"/>
        </w:trPr>
        <w:tc>
          <w:tcPr>
            <w:tcW w:w="2017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AA02A9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FF6C9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FE9BE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0.622 (0.583, 0.658)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032B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0.676 (0.64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0.712)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0357D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CC21F4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FAB8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0.315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(0.269, 0.359)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F6AE0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0.353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(0.3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E3C2B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0.004</w:t>
            </w:r>
          </w:p>
        </w:tc>
      </w:tr>
      <w:tr w14:paraId="4B9F7946">
        <w:trPr>
          <w:trHeight w:val="510" w:hRule="atLeast"/>
          <w:jc w:val="center"/>
        </w:trPr>
        <w:tc>
          <w:tcPr>
            <w:tcW w:w="2017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6D33E9ED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DeepSeek-R1-671B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67F5B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14D06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0.671 (0.638, 0.705)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E5604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0.813 (0.785, 0.841)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3DEC4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8B8A87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F3D5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0.803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(0.779, 0.827)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40F88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0.897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(0.88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0.913)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BA6D1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0.176</w:t>
            </w:r>
          </w:p>
        </w:tc>
      </w:tr>
      <w:tr w14:paraId="70093F16">
        <w:trPr>
          <w:trHeight w:val="510" w:hRule="atLeast"/>
          <w:jc w:val="center"/>
        </w:trPr>
        <w:tc>
          <w:tcPr>
            <w:tcW w:w="2017" w:type="dxa"/>
            <w:vMerge w:val="continue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6E17D8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95228A0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TOAST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3C1996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0.600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(0.562, 0.634)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BD4E83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0.679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(0.646, 0.715)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FA0AE9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0.131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97BB246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 of TOAST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34F136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0.351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(0.288, 0.404)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811D6A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0.39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(0.334, 0.442)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607B78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</w:tbl>
    <w:p w14:paraId="26BFBDF4">
      <w:pPr>
        <w:widowControl/>
        <w:jc w:val="left"/>
        <w:textAlignment w:val="top"/>
        <w:rPr>
          <w:rFonts w:ascii="Times New Roman Regular" w:hAnsi="Times New Roman Regular" w:eastAsia="宋体" w:cs="Times New Roman Regular"/>
          <w:kern w:val="0"/>
          <w:sz w:val="20"/>
          <w:szCs w:val="20"/>
          <w:lang w:bidi="ar"/>
        </w:rPr>
      </w:pPr>
      <w:r>
        <w:rPr>
          <w:rFonts w:ascii="Times New Roman Regular" w:hAnsi="Times New Roman Regular" w:eastAsia="宋体" w:cs="Times New Roman Regular"/>
          <w:kern w:val="0"/>
          <w:sz w:val="20"/>
          <w:szCs w:val="20"/>
          <w:lang w:bidi="ar"/>
        </w:rPr>
        <w:t xml:space="preserve">The table reports </w:t>
      </w:r>
      <w:r>
        <w:rPr>
          <w:rFonts w:hint="eastAsia" w:ascii="Times New Roman Regular" w:hAnsi="Times New Roman Regular" w:eastAsia="宋体" w:cs="Times New Roman Regular"/>
          <w:kern w:val="0"/>
          <w:sz w:val="20"/>
          <w:szCs w:val="20"/>
          <w:lang w:bidi="ar"/>
        </w:rPr>
        <w:t>ACC</w:t>
      </w:r>
      <w:r>
        <w:rPr>
          <w:rFonts w:ascii="Times New Roman Regular" w:hAnsi="Times New Roman Regular" w:eastAsia="宋体" w:cs="Times New Roman Regular"/>
          <w:kern w:val="0"/>
          <w:sz w:val="20"/>
          <w:szCs w:val="20"/>
          <w:lang w:bidi="ar"/>
        </w:rPr>
        <w:t xml:space="preserve"> and F1 scores for standalone and framework-augmented LLMs in Group B, with corresponding P values for paired comparisons. Values are presented as point estimates, with 95% CIs</w:t>
      </w:r>
      <w:r>
        <w:rPr>
          <w:rFonts w:hint="eastAsia" w:ascii="Times New Roman Regular" w:hAnsi="Times New Roman Regular" w:eastAsia="宋体" w:cs="Times New Roman Regular"/>
          <w:kern w:val="0"/>
          <w:sz w:val="20"/>
          <w:szCs w:val="20"/>
          <w:lang w:bidi="ar"/>
        </w:rPr>
        <w:t xml:space="preserve"> </w:t>
      </w:r>
      <w:r>
        <w:rPr>
          <w:rFonts w:ascii="Times New Roman Regular" w:hAnsi="Times New Roman Regular" w:eastAsia="宋体" w:cs="Times New Roman Regular"/>
          <w:kern w:val="0"/>
          <w:sz w:val="20"/>
          <w:szCs w:val="20"/>
          <w:lang w:bidi="ar"/>
        </w:rPr>
        <w:t>shown in parentheses.</w:t>
      </w:r>
    </w:p>
    <w:p w14:paraId="7E380F51">
      <w:pPr>
        <w:widowControl/>
        <w:jc w:val="left"/>
        <w:textAlignment w:val="top"/>
        <w:rPr>
          <w:rFonts w:ascii="Times New Roman Regular" w:hAnsi="Times New Roman Regular" w:eastAsia="宋体" w:cs="Times New Roman Regular"/>
          <w:color w:val="000000"/>
          <w:kern w:val="0"/>
          <w:sz w:val="20"/>
          <w:szCs w:val="20"/>
          <w:lang w:bidi="ar"/>
        </w:rPr>
      </w:pPr>
      <w:r>
        <w:rPr>
          <w:rFonts w:ascii="Times New Roman Regular" w:hAnsi="Times New Roman Regular" w:eastAsia="宋体" w:cs="Times New Roman Regular"/>
          <w:kern w:val="0"/>
          <w:sz w:val="22"/>
          <w:szCs w:val="22"/>
          <w:lang w:bidi="ar"/>
        </w:rPr>
        <w:br w:type="page"/>
      </w:r>
      <w:r>
        <w:rPr>
          <w:rFonts w:ascii="Times New Roman Regular" w:hAnsi="Times New Roman Regular" w:eastAsia="宋体" w:cs="Times New Roman Regular"/>
          <w:kern w:val="0"/>
          <w:sz w:val="22"/>
          <w:szCs w:val="22"/>
          <w:lang w:bidi="ar"/>
        </w:rPr>
        <w:t xml:space="preserve">Supplementary </w:t>
      </w:r>
      <w:r>
        <w:rPr>
          <w:rFonts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 xml:space="preserve">Table </w:t>
      </w:r>
      <w:r>
        <w:rPr>
          <w:rFonts w:hint="eastAsia"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>S</w:t>
      </w:r>
      <w:r>
        <w:rPr>
          <w:rFonts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 xml:space="preserve">3. </w:t>
      </w:r>
      <w:r>
        <w:rPr>
          <w:rFonts w:ascii="Times New Roman Regular" w:hAnsi="Times New Roman Regular" w:eastAsia="宋体" w:cs="Times New Roman Regular"/>
          <w:kern w:val="0"/>
          <w:sz w:val="22"/>
          <w:szCs w:val="22"/>
          <w:lang w:bidi="ar"/>
        </w:rPr>
        <w:t>Performance of LLMs in treatment recommendation and TOAST classification in Group C.</w:t>
      </w:r>
    </w:p>
    <w:tbl>
      <w:tblPr>
        <w:tblStyle w:val="5"/>
        <w:tblpPr w:leftFromText="180" w:rightFromText="180" w:vertAnchor="text" w:horzAnchor="page" w:tblpXSpec="center" w:tblpY="294"/>
        <w:tblOverlap w:val="never"/>
        <w:tblW w:w="147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701"/>
        <w:gridCol w:w="1701"/>
        <w:gridCol w:w="1701"/>
        <w:gridCol w:w="1020"/>
        <w:gridCol w:w="1866"/>
        <w:gridCol w:w="1880"/>
        <w:gridCol w:w="1880"/>
        <w:gridCol w:w="1020"/>
      </w:tblGrid>
      <w:tr w14:paraId="39809ADD">
        <w:trPr>
          <w:trHeight w:val="680" w:hRule="atLeast"/>
          <w:jc w:val="center"/>
        </w:trPr>
        <w:tc>
          <w:tcPr>
            <w:tcW w:w="198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2E92366A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Bold" w:hAnsi="Times New Roman Bold" w:eastAsia="宋体" w:cs="Times New Roman Bold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Models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3F97BE7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0433A6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Standalone LLM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452845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Hybrid-reasoner Framework</w:t>
            </w:r>
          </w:p>
        </w:tc>
        <w:tc>
          <w:tcPr>
            <w:tcW w:w="102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75F2D1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P value</w:t>
            </w:r>
          </w:p>
        </w:tc>
        <w:tc>
          <w:tcPr>
            <w:tcW w:w="18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731B8D2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</w:t>
            </w:r>
          </w:p>
        </w:tc>
        <w:tc>
          <w:tcPr>
            <w:tcW w:w="188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8C5369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Standalone LLM</w:t>
            </w:r>
          </w:p>
        </w:tc>
        <w:tc>
          <w:tcPr>
            <w:tcW w:w="188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55EF19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Hybrid-reasoner Framework</w:t>
            </w:r>
          </w:p>
        </w:tc>
        <w:tc>
          <w:tcPr>
            <w:tcW w:w="102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665909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P value</w:t>
            </w:r>
          </w:p>
        </w:tc>
      </w:tr>
      <w:tr w14:paraId="769E30D1">
        <w:trPr>
          <w:trHeight w:val="510" w:hRule="atLeast"/>
          <w:jc w:val="center"/>
        </w:trPr>
        <w:tc>
          <w:tcPr>
            <w:tcW w:w="1984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F4FF5D">
            <w:pP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Baichuan-M1-14B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A1808B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Treatment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62987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0.507 (0.424, 0.59)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D7002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0.667 (0.583, 0.743)</w:t>
            </w:r>
          </w:p>
        </w:tc>
        <w:tc>
          <w:tcPr>
            <w:tcW w:w="102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8254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0.011</w:t>
            </w:r>
          </w:p>
        </w:tc>
        <w:tc>
          <w:tcPr>
            <w:tcW w:w="18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3E4C6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 of Treatment</w:t>
            </w:r>
          </w:p>
        </w:tc>
        <w:tc>
          <w:tcPr>
            <w:tcW w:w="188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13FF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0.673 (0.595, 0.742)</w:t>
            </w:r>
          </w:p>
        </w:tc>
        <w:tc>
          <w:tcPr>
            <w:tcW w:w="188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FD376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(0.737, 0.853)</w:t>
            </w:r>
          </w:p>
        </w:tc>
        <w:tc>
          <w:tcPr>
            <w:tcW w:w="102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5AE1F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0.872</w:t>
            </w:r>
          </w:p>
        </w:tc>
      </w:tr>
      <w:tr w14:paraId="24E34587">
        <w:trPr>
          <w:trHeight w:val="510" w:hRule="atLeast"/>
          <w:jc w:val="center"/>
        </w:trPr>
        <w:tc>
          <w:tcPr>
            <w:tcW w:w="198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7D7B52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2AFA14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31069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0.549 (0.459, 0.631)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30927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0.568 (0.48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0.656)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7BC0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0.480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805E77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 of TOAST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1AE27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0.444 (0.362, 0.517)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0BCA1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0.474 (0.374, 0.581)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DBF8E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0.942</w:t>
            </w:r>
          </w:p>
        </w:tc>
      </w:tr>
      <w:tr w14:paraId="781077C5">
        <w:trPr>
          <w:trHeight w:val="510" w:hRule="atLeast"/>
          <w:jc w:val="center"/>
        </w:trPr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9BCEC8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GPT-OSS-20B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17B49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DD7C5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0.497 (0.42, 0.573)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81D53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0.671 (0.594, 0.748)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6DD64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0.111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962A35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 of Treatment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D3270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0.664 (0.591, 0.729)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7859D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0.803 (0.745, 0.856)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2A38C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0.044</w:t>
            </w:r>
          </w:p>
        </w:tc>
      </w:tr>
      <w:tr w14:paraId="5229EE6E">
        <w:trPr>
          <w:trHeight w:val="510" w:hRule="atLeast"/>
          <w:jc w:val="center"/>
        </w:trPr>
        <w:tc>
          <w:tcPr>
            <w:tcW w:w="198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724D5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1F80A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5E61F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(0.317, 0.483)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D56AF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0.468 (0.387, 0.565)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75AD9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1.0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DB5EF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 of TOAST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F118B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(0.232, 0.361)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E3B50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0.419 (0.332, 0.507)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D2F46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0.378</w:t>
            </w:r>
          </w:p>
        </w:tc>
      </w:tr>
      <w:tr w14:paraId="1E7BD382">
        <w:trPr>
          <w:trHeight w:val="510" w:hRule="atLeast"/>
          <w:jc w:val="center"/>
        </w:trPr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6DA6A4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Qwen2.5-32B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41073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55D83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0.618 (0.542, 0.701)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83C4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0.674 (0.59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0.743)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3A510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0.689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D492F5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 of Treatment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6BE5E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0.764 (0.703, 0.824)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F0244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0.805 (0.742, 0.853)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26132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0.018</w:t>
            </w:r>
          </w:p>
        </w:tc>
      </w:tr>
      <w:tr w14:paraId="59272547">
        <w:trPr>
          <w:trHeight w:val="510" w:hRule="atLeast"/>
          <w:jc w:val="center"/>
        </w:trPr>
        <w:tc>
          <w:tcPr>
            <w:tcW w:w="198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54AC5E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A11382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DE97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0.488 (0.4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0.576)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2627B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0.656 (0.576, 0.736)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A7832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0.480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29A337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 of TOAST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55CC0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0.369 (0.296, 0.441)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F5020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0.56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(0.447, 0.667)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3CCD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0.126</w:t>
            </w:r>
          </w:p>
        </w:tc>
      </w:tr>
      <w:tr w14:paraId="15BF3AB1">
        <w:trPr>
          <w:trHeight w:val="510" w:hRule="atLeast"/>
          <w:jc w:val="center"/>
        </w:trPr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7A22D5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DeepSeek-Distill-Qwen-32B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C86013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260F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0.528 (0.451, 0.611)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85E38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0.688 (0.604, 0.764)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FAD0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0.153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0D60BE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 of Treatment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0233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0.691 (0.622, 0.759)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DFE92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0.815 (0.753, 0.866)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89780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0.042</w:t>
            </w:r>
          </w:p>
        </w:tc>
      </w:tr>
      <w:tr w14:paraId="02BB9DB2">
        <w:trPr>
          <w:trHeight w:val="510" w:hRule="atLeast"/>
          <w:jc w:val="center"/>
        </w:trPr>
        <w:tc>
          <w:tcPr>
            <w:tcW w:w="198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6AED55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96260B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B990E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0.496 (0.415, 0.585)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3A4F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0.664 (0.584, 0.744)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A18A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1.0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A793C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 of TOAST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ADBB6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0.393 (0.316, 0.467)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14C9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0.534 (0.452, 0.608)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A7959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0.498</w:t>
            </w:r>
          </w:p>
        </w:tc>
      </w:tr>
      <w:tr w14:paraId="6CF1CAAA">
        <w:trPr>
          <w:trHeight w:val="510" w:hRule="atLeast"/>
          <w:jc w:val="center"/>
        </w:trPr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D0B259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GPT-OSS-120B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49692F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6B5B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0.597 (0.514, 0.674)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F7588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0.75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(0.681, 0.826)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AFC4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0.677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AA34AC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 of Treatment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EE8EF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0.748 (0.679, 0.805)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5362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0.857 (0.81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0.905)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525BB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0.002</w:t>
            </w:r>
          </w:p>
        </w:tc>
      </w:tr>
      <w:tr w14:paraId="75F87CC9">
        <w:trPr>
          <w:trHeight w:val="510" w:hRule="atLeast"/>
          <w:jc w:val="center"/>
        </w:trPr>
        <w:tc>
          <w:tcPr>
            <w:tcW w:w="198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C670AA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A59F0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93E0E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0.608 (0.528, 0.688)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8C74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0.688 (0.616, 0.768)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13950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1.0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7170F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 of TOAST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E3035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0.513 (0.413, 0.613)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591FE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0.59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(0.483, 0.696)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2B46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0.852</w:t>
            </w:r>
          </w:p>
        </w:tc>
      </w:tr>
      <w:tr w14:paraId="073A654B">
        <w:trPr>
          <w:trHeight w:val="510" w:hRule="atLeast"/>
          <w:jc w:val="center"/>
        </w:trPr>
        <w:tc>
          <w:tcPr>
            <w:tcW w:w="1984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3C73146E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DeepSeek-R1-671B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55DF5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866E3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0.646 (0.562, 0.722)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F08F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0.729 (0.653, 0.799)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9146D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0.844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ABBD2A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 of Treatment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99763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0.785 (0.72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0.839)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AA961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0.843 (0.79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0.888)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3E2B1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0.022</w:t>
            </w:r>
          </w:p>
        </w:tc>
      </w:tr>
      <w:tr w14:paraId="5DBAD404">
        <w:trPr>
          <w:trHeight w:val="510" w:hRule="atLeast"/>
          <w:jc w:val="center"/>
        </w:trPr>
        <w:tc>
          <w:tcPr>
            <w:tcW w:w="1984" w:type="dxa"/>
            <w:vMerge w:val="continue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799E5314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BB4E7C2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TOAST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6E798F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0.648 (0.568, 0.728)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6927A7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0.768 (0.696, 0.84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FF96B6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1.0</w:t>
            </w:r>
          </w:p>
        </w:tc>
        <w:tc>
          <w:tcPr>
            <w:tcW w:w="186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FE045E1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 of TOAST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8D68E4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0.558 (0.443, 0.663)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18B987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0.708 (0.556, 0.814)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69BB7B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0.460</w:t>
            </w:r>
          </w:p>
        </w:tc>
      </w:tr>
    </w:tbl>
    <w:p w14:paraId="1D5E5CBE">
      <w:pPr>
        <w:widowControl/>
        <w:jc w:val="left"/>
        <w:rPr>
          <w:rFonts w:ascii="Times New Roman Regular" w:hAnsi="Times New Roman Regular" w:eastAsia="宋体" w:cs="Times New Roman Regular"/>
          <w:kern w:val="0"/>
          <w:sz w:val="20"/>
          <w:szCs w:val="20"/>
          <w:lang w:bidi="ar"/>
        </w:rPr>
      </w:pPr>
      <w:r>
        <w:rPr>
          <w:rFonts w:ascii="Times New Roman Regular" w:hAnsi="Times New Roman Regular" w:eastAsia="宋体" w:cs="Times New Roman Regular"/>
          <w:kern w:val="0"/>
          <w:sz w:val="20"/>
          <w:szCs w:val="20"/>
          <w:lang w:bidi="ar"/>
        </w:rPr>
        <w:t xml:space="preserve">The table summarizes </w:t>
      </w:r>
      <w:r>
        <w:rPr>
          <w:rFonts w:hint="eastAsia" w:ascii="Times New Roman Regular" w:hAnsi="Times New Roman Regular" w:eastAsia="宋体" w:cs="Times New Roman Regular"/>
          <w:kern w:val="0"/>
          <w:sz w:val="20"/>
          <w:szCs w:val="20"/>
          <w:lang w:bidi="ar"/>
        </w:rPr>
        <w:t>ACC</w:t>
      </w:r>
      <w:r>
        <w:rPr>
          <w:rFonts w:ascii="Times New Roman Regular" w:hAnsi="Times New Roman Regular" w:eastAsia="宋体" w:cs="Times New Roman Regular"/>
          <w:kern w:val="0"/>
          <w:sz w:val="20"/>
          <w:szCs w:val="20"/>
          <w:lang w:bidi="ar"/>
        </w:rPr>
        <w:t xml:space="preserve"> and F1 scores for standalone and framework-augmented LLMs in Group C, with corresponding </w:t>
      </w:r>
      <w:r>
        <w:rPr>
          <w:rStyle w:val="7"/>
          <w:rFonts w:ascii="Times New Roman Regular" w:hAnsi="Times New Roman Regular" w:eastAsia="宋体" w:cs="Times New Roman Regular"/>
          <w:i w:val="0"/>
          <w:iCs/>
          <w:kern w:val="0"/>
          <w:sz w:val="20"/>
          <w:szCs w:val="20"/>
          <w:lang w:bidi="ar"/>
        </w:rPr>
        <w:t>P</w:t>
      </w:r>
      <w:r>
        <w:rPr>
          <w:rFonts w:ascii="Times New Roman Regular" w:hAnsi="Times New Roman Regular" w:eastAsia="宋体" w:cs="Times New Roman Regular"/>
          <w:kern w:val="0"/>
          <w:sz w:val="20"/>
          <w:szCs w:val="20"/>
          <w:lang w:bidi="ar"/>
        </w:rPr>
        <w:t xml:space="preserve"> values for paired comparisons. Values are reported as point estimates, with 95% CIs shown in parentheses.</w:t>
      </w:r>
    </w:p>
    <w:p w14:paraId="16CDEB9A">
      <w:pPr>
        <w:widowControl/>
        <w:spacing w:line="120" w:lineRule="auto"/>
        <w:jc w:val="left"/>
        <w:rPr>
          <w:rFonts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</w:pPr>
      <w:r>
        <w:rPr>
          <w:rFonts w:ascii="Times New Roman Regular" w:hAnsi="Times New Roman Regular" w:eastAsia="宋体" w:cs="Times New Roman Regular"/>
          <w:kern w:val="0"/>
          <w:sz w:val="22"/>
          <w:szCs w:val="22"/>
          <w:lang w:bidi="ar"/>
        </w:rPr>
        <w:t xml:space="preserve">Supplementary </w:t>
      </w:r>
      <w:r>
        <w:rPr>
          <w:rFonts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 xml:space="preserve">Table </w:t>
      </w:r>
      <w:r>
        <w:rPr>
          <w:rFonts w:hint="eastAsia"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>S4</w:t>
      </w:r>
      <w:r>
        <w:rPr>
          <w:rFonts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 xml:space="preserve">. </w:t>
      </w:r>
      <w:r>
        <w:rPr>
          <w:rFonts w:ascii="Times New Roman Regular" w:hAnsi="Times New Roman Regular" w:eastAsia="宋体" w:cs="Times New Roman Regular"/>
          <w:kern w:val="0"/>
          <w:sz w:val="22"/>
          <w:szCs w:val="22"/>
          <w:lang w:bidi="ar"/>
        </w:rPr>
        <w:t>Performance of LLMs in treatment recommendation and TOAST classification in Group D.</w:t>
      </w:r>
    </w:p>
    <w:tbl>
      <w:tblPr>
        <w:tblStyle w:val="5"/>
        <w:tblpPr w:leftFromText="180" w:rightFromText="180" w:vertAnchor="text" w:horzAnchor="page" w:tblpXSpec="center" w:tblpY="294"/>
        <w:tblOverlap w:val="never"/>
        <w:tblW w:w="143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701"/>
        <w:gridCol w:w="1701"/>
        <w:gridCol w:w="1701"/>
        <w:gridCol w:w="1020"/>
        <w:gridCol w:w="1417"/>
        <w:gridCol w:w="1867"/>
        <w:gridCol w:w="1928"/>
        <w:gridCol w:w="1020"/>
      </w:tblGrid>
      <w:tr w14:paraId="11E606A7">
        <w:trPr>
          <w:trHeight w:val="680" w:hRule="atLeast"/>
          <w:jc w:val="center"/>
        </w:trPr>
        <w:tc>
          <w:tcPr>
            <w:tcW w:w="198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11DA22C8">
            <w:pPr>
              <w:widowControl/>
              <w:textAlignment w:val="top"/>
              <w:rPr>
                <w:rFonts w:ascii="Times New Roman Bold" w:hAnsi="Times New Roman Bold" w:eastAsia="宋体" w:cs="Times New Roman Bold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Bold" w:hAnsi="Times New Roman Bold" w:eastAsia="宋体" w:cs="Times New Roman Bold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Models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0472CD9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8ED3E9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Standalone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B4F9416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Hybrid-reasoner Framework</w:t>
            </w:r>
          </w:p>
        </w:tc>
        <w:tc>
          <w:tcPr>
            <w:tcW w:w="102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123FD2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P value</w:t>
            </w:r>
          </w:p>
        </w:tc>
        <w:tc>
          <w:tcPr>
            <w:tcW w:w="141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8186A87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score</w:t>
            </w:r>
          </w:p>
        </w:tc>
        <w:tc>
          <w:tcPr>
            <w:tcW w:w="186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70A431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Standalone</w:t>
            </w:r>
          </w:p>
        </w:tc>
        <w:tc>
          <w:tcPr>
            <w:tcW w:w="192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0372E3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Hybrid-reasoner Framework</w:t>
            </w:r>
          </w:p>
        </w:tc>
        <w:tc>
          <w:tcPr>
            <w:tcW w:w="102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F96A03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P value</w:t>
            </w:r>
          </w:p>
        </w:tc>
      </w:tr>
      <w:tr w14:paraId="55152237">
        <w:trPr>
          <w:trHeight w:val="510" w:hRule="atLeast"/>
          <w:jc w:val="center"/>
        </w:trPr>
        <w:tc>
          <w:tcPr>
            <w:tcW w:w="1984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F86F2">
            <w:pP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Baichuan-M1-14B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C6AF3E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Treatment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9CC05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0.665 (0.584, 0.739)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AC342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0.820 (0.758, 0.876)</w:t>
            </w:r>
          </w:p>
        </w:tc>
        <w:tc>
          <w:tcPr>
            <w:tcW w:w="102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F926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0.780</w:t>
            </w:r>
          </w:p>
        </w:tc>
        <w:tc>
          <w:tcPr>
            <w:tcW w:w="141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C9ADB0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Treatment</w:t>
            </w:r>
          </w:p>
        </w:tc>
        <w:tc>
          <w:tcPr>
            <w:tcW w:w="186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E7D56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0.799 (0.737, 0.85)</w:t>
            </w:r>
          </w:p>
        </w:tc>
        <w:tc>
          <w:tcPr>
            <w:tcW w:w="19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7C7F3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0.901 (0.862, 0.934)</w:t>
            </w:r>
          </w:p>
        </w:tc>
        <w:tc>
          <w:tcPr>
            <w:tcW w:w="102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EE344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0.228</w:t>
            </w:r>
          </w:p>
        </w:tc>
      </w:tr>
      <w:tr w14:paraId="64CFA93C">
        <w:trPr>
          <w:trHeight w:val="510" w:hRule="atLeast"/>
          <w:jc w:val="center"/>
        </w:trPr>
        <w:tc>
          <w:tcPr>
            <w:tcW w:w="198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45BEF5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88992E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651D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0.566 (0.491, 0.648)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1BE8F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0.629 (0.547, 0.704)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89671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1A0F4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TOAST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73AB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0.255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(0.211, 0.461)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04A0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0.271 (0.224, 0.41)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4C5D2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0.010</w:t>
            </w:r>
          </w:p>
        </w:tc>
      </w:tr>
      <w:tr w14:paraId="22EF6263">
        <w:trPr>
          <w:trHeight w:val="510" w:hRule="atLeast"/>
          <w:jc w:val="center"/>
        </w:trPr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64505B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GPT-OSS-20B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C3181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8D393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0.633 (0.557, 0.709)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9DAA3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0.547 (0.466, 0.627)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ACAA7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0.034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D0F2C2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Treatment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8DB95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0.775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(0.715, 0.83)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9FD7D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0.707 (0.636, 0.771)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D2A5A1">
            <w:pPr>
              <w:jc w:val="center"/>
              <w:rPr>
                <w:rFonts w:ascii="Times New Roman Regular" w:hAnsi="Times New Roman Regular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  <w:p w14:paraId="7670C77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E5A7A0F">
        <w:trPr>
          <w:trHeight w:val="510" w:hRule="atLeast"/>
          <w:jc w:val="center"/>
        </w:trPr>
        <w:tc>
          <w:tcPr>
            <w:tcW w:w="198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2DB0C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DABFA8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2BE26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0.597 (0.517, 0.671)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9CB9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0.654 (0.579, 0.73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28814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19F68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TOAST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9D6B5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0.312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(0.261, 0.455)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27F2F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0.249 (0.207, 0.329)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D81D2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0.474</w:t>
            </w:r>
          </w:p>
        </w:tc>
      </w:tr>
      <w:tr w14:paraId="7F3A0D27">
        <w:trPr>
          <w:trHeight w:val="510" w:hRule="atLeast"/>
          <w:jc w:val="center"/>
        </w:trPr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D7EA5F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Qwen2.5-32B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5DDE86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82F01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0.727 (0.652, 0.789)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B77C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0.783 (0.714, 0.851)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BE0C5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EF68E0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Treatment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32AA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0.842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(0.789, 0.882)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5DC92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0.878 (0.833, 0.919)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9DEF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0.014</w:t>
            </w:r>
          </w:p>
        </w:tc>
      </w:tr>
      <w:tr w14:paraId="2ACA3A80">
        <w:trPr>
          <w:trHeight w:val="510" w:hRule="atLeast"/>
          <w:jc w:val="center"/>
        </w:trPr>
        <w:tc>
          <w:tcPr>
            <w:tcW w:w="198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405DA4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60407B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FE758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0.604 (0.528, 0.679)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2371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0.635 (0.56, 0.711)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50B2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E55B7B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TOAST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5C39A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0.257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(0.216, 0.467)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285BD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0.306 (0.251, 0.548)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90A86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0.004</w:t>
            </w:r>
          </w:p>
        </w:tc>
      </w:tr>
      <w:tr w14:paraId="748421CC">
        <w:trPr>
          <w:trHeight w:val="510" w:hRule="atLeast"/>
          <w:jc w:val="center"/>
        </w:trPr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4BAC7E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DeepSeek-Distill-Qwen-32B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9E69C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DC7EA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0.652 (0.578, 0.727)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DF794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0.845 (0.789, 0.901)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2BE1B8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F26AA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Treatment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49FA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0.789 (0.732, 0.842)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10E46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0.916 (0.882, 0.948)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CFBF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0.258</w:t>
            </w:r>
          </w:p>
        </w:tc>
      </w:tr>
      <w:tr w14:paraId="1C519DB7">
        <w:trPr>
          <w:trHeight w:val="510" w:hRule="atLeast"/>
          <w:jc w:val="center"/>
        </w:trPr>
        <w:tc>
          <w:tcPr>
            <w:tcW w:w="198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5A2327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62DC12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9EDCD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0.624 (0.548, 0.694)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93F9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0.635 (0.56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, 0.711)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7524E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2B3DE2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TOAST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4B1F3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0.298 (0.25, 0.542)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9AAF4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0.371 (0.258, 0.548)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833D6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0.208</w:t>
            </w:r>
          </w:p>
        </w:tc>
      </w:tr>
      <w:tr w14:paraId="73D5266B">
        <w:trPr>
          <w:trHeight w:val="510" w:hRule="atLeast"/>
          <w:jc w:val="center"/>
        </w:trPr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0450F2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GPT-OSS-120B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A13352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22498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0.870 (0.814, 0.919)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5ED6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0.839 (0.776, 0.894)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5E4D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179532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Treatment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3657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0.93 (0.897, 0.958)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DBC8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0.912 (0.874, 0.944)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DEACE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0.968</w:t>
            </w:r>
          </w:p>
        </w:tc>
      </w:tr>
      <w:tr w14:paraId="61B98C4C">
        <w:trPr>
          <w:trHeight w:val="510" w:hRule="atLeast"/>
          <w:jc w:val="center"/>
        </w:trPr>
        <w:tc>
          <w:tcPr>
            <w:tcW w:w="198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7261E6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19BE3D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TOAST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59E2A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0.747 (0.682, 0.818)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68691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0.629 (0.553, 0.704)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3182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21108B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TOAST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68B92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0.422 (0.377, 0.698)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6938F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0.328 (0.263, 0.555)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5F081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0.638</w:t>
            </w:r>
          </w:p>
        </w:tc>
      </w:tr>
      <w:tr w14:paraId="5424C00C">
        <w:trPr>
          <w:trHeight w:val="510" w:hRule="atLeast"/>
          <w:jc w:val="center"/>
        </w:trPr>
        <w:tc>
          <w:tcPr>
            <w:tcW w:w="1984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27107247">
            <w:pPr>
              <w:widowControl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DeepSeek-R1-671B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89553E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Treatment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C6ABB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0.770 (0.702, 0.832)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6EE58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0.882 (0.826, 0.932)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73F3B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8AAF16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Treatment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4D2E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0.87 (0.825, 0.908)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2A4D6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0.937 (0.905, 0.965)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74879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14:paraId="0F9EC477">
        <w:trPr>
          <w:trHeight w:val="510" w:hRule="atLeast"/>
          <w:jc w:val="center"/>
        </w:trPr>
        <w:tc>
          <w:tcPr>
            <w:tcW w:w="1984" w:type="dxa"/>
            <w:vMerge w:val="continue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16567788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D6B8C73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ACC of TOAST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F240E4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0.679 (0.604, 0.748)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4A5463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0.818 (0.755, 0.881)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29201E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0.683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6A80246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F1 of TOAST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1AEB11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0.395 (0.35, 0.644)</w:t>
            </w:r>
          </w:p>
        </w:tc>
        <w:tc>
          <w:tcPr>
            <w:tcW w:w="192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C5310B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0.479 (0.431, 0.628)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EF9469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0.016</w:t>
            </w:r>
          </w:p>
        </w:tc>
      </w:tr>
    </w:tbl>
    <w:p w14:paraId="31985B31">
      <w:pPr>
        <w:widowControl/>
        <w:jc w:val="left"/>
        <w:rPr>
          <w:rFonts w:ascii="Times New Roman Regular" w:hAnsi="Times New Roman Regular" w:eastAsia="宋体" w:cs="Times New Roman Regular"/>
          <w:kern w:val="0"/>
          <w:sz w:val="20"/>
          <w:szCs w:val="20"/>
          <w:lang w:bidi="ar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ascii="Times New Roman Regular" w:hAnsi="Times New Roman Regular" w:eastAsia="宋体" w:cs="Times New Roman Regular"/>
          <w:kern w:val="0"/>
          <w:sz w:val="20"/>
          <w:szCs w:val="20"/>
          <w:lang w:bidi="ar"/>
        </w:rPr>
        <w:t xml:space="preserve">The table shows </w:t>
      </w:r>
      <w:r>
        <w:rPr>
          <w:rFonts w:hint="eastAsia" w:ascii="Times New Roman Regular" w:hAnsi="Times New Roman Regular" w:eastAsia="宋体" w:cs="Times New Roman Regular"/>
          <w:kern w:val="0"/>
          <w:sz w:val="20"/>
          <w:szCs w:val="20"/>
          <w:lang w:bidi="ar"/>
        </w:rPr>
        <w:t>ACC</w:t>
      </w:r>
      <w:r>
        <w:rPr>
          <w:rFonts w:ascii="Times New Roman Regular" w:hAnsi="Times New Roman Regular" w:eastAsia="宋体" w:cs="Times New Roman Regular"/>
          <w:kern w:val="0"/>
          <w:sz w:val="20"/>
          <w:szCs w:val="20"/>
          <w:lang w:bidi="ar"/>
        </w:rPr>
        <w:t xml:space="preserve"> (</w:t>
      </w:r>
      <w:r>
        <w:rPr>
          <w:rFonts w:hint="eastAsia" w:ascii="Times New Roman Regular" w:hAnsi="Times New Roman Regular" w:eastAsia="宋体" w:cs="Times New Roman Regular"/>
          <w:kern w:val="0"/>
          <w:sz w:val="20"/>
          <w:szCs w:val="20"/>
          <w:lang w:bidi="ar"/>
        </w:rPr>
        <w:t>Accuracy</w:t>
      </w:r>
      <w:r>
        <w:rPr>
          <w:rFonts w:ascii="Times New Roman Regular" w:hAnsi="Times New Roman Regular" w:eastAsia="宋体" w:cs="Times New Roman Regular"/>
          <w:kern w:val="0"/>
          <w:sz w:val="20"/>
          <w:szCs w:val="20"/>
          <w:lang w:bidi="ar"/>
        </w:rPr>
        <w:t xml:space="preserve">) and F1 scores for standalone and framework-augmented LLMs in Group D, with corresponding </w:t>
      </w:r>
      <w:r>
        <w:rPr>
          <w:rStyle w:val="7"/>
          <w:rFonts w:ascii="Times New Roman Regular" w:hAnsi="Times New Roman Regular" w:eastAsia="宋体" w:cs="Times New Roman Regular"/>
          <w:i w:val="0"/>
          <w:kern w:val="0"/>
          <w:sz w:val="20"/>
          <w:szCs w:val="20"/>
          <w:lang w:bidi="ar"/>
        </w:rPr>
        <w:t>P</w:t>
      </w:r>
      <w:r>
        <w:rPr>
          <w:rFonts w:ascii="Times New Roman Regular" w:hAnsi="Times New Roman Regular" w:eastAsia="宋体" w:cs="Times New Roman Regular"/>
          <w:kern w:val="0"/>
          <w:sz w:val="20"/>
          <w:szCs w:val="20"/>
          <w:lang w:bidi="ar"/>
        </w:rPr>
        <w:t xml:space="preserve"> values for paired comparisons. Values are presented as point estimates, with 95% CIs shown in parentheses.</w:t>
      </w:r>
    </w:p>
    <w:p w14:paraId="43B8F877">
      <w:pPr>
        <w:widowControl/>
        <w:jc w:val="left"/>
        <w:textAlignment w:val="top"/>
        <w:rPr>
          <w:rFonts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</w:pPr>
      <w:r>
        <w:rPr>
          <w:rFonts w:ascii="Times New Roman Regular" w:hAnsi="Times New Roman Regular" w:eastAsia="宋体" w:cs="Times New Roman Regular"/>
          <w:kern w:val="0"/>
          <w:sz w:val="22"/>
          <w:szCs w:val="22"/>
          <w:lang w:bidi="ar"/>
        </w:rPr>
        <w:t xml:space="preserve">Supplementary </w:t>
      </w:r>
      <w:r>
        <w:rPr>
          <w:rFonts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 xml:space="preserve">Table </w:t>
      </w:r>
      <w:r>
        <w:rPr>
          <w:rFonts w:hint="eastAsia"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>S5</w:t>
      </w:r>
      <w:r>
        <w:rPr>
          <w:rFonts w:ascii="Times New Roman Regular" w:hAnsi="Times New Roman Regular" w:eastAsia="宋体" w:cs="Times New Roman Regular"/>
          <w:color w:val="000000"/>
          <w:kern w:val="0"/>
          <w:sz w:val="22"/>
          <w:szCs w:val="22"/>
          <w:lang w:bidi="ar"/>
        </w:rPr>
        <w:t>. Clinical safety indicators of LLMs during preliminary deployment.</w:t>
      </w:r>
    </w:p>
    <w:tbl>
      <w:tblPr>
        <w:tblStyle w:val="4"/>
        <w:tblW w:w="145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1531"/>
        <w:gridCol w:w="1531"/>
        <w:gridCol w:w="1531"/>
        <w:gridCol w:w="1531"/>
        <w:gridCol w:w="1531"/>
        <w:gridCol w:w="1531"/>
        <w:gridCol w:w="1531"/>
        <w:gridCol w:w="1531"/>
      </w:tblGrid>
      <w:tr w14:paraId="3C5B3E6C">
        <w:trPr>
          <w:trHeight w:val="680" w:hRule="atLeast"/>
          <w:jc w:val="center"/>
        </w:trPr>
        <w:tc>
          <w:tcPr>
            <w:tcW w:w="226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4B61960B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Bold" w:hAnsi="Times New Roman Bold" w:eastAsia="宋体" w:cs="Times New Roman Bold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Model</w:t>
            </w:r>
            <w:r>
              <w:rPr>
                <w:rFonts w:hint="eastAsia" w:ascii="Times New Roman Bold" w:hAnsi="Times New Roman Bold" w:eastAsia="宋体" w:cs="Times New Roman Bold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s</w:t>
            </w:r>
          </w:p>
        </w:tc>
        <w:tc>
          <w:tcPr>
            <w:tcW w:w="15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95F93C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Setting</w:t>
            </w:r>
          </w:p>
        </w:tc>
        <w:tc>
          <w:tcPr>
            <w:tcW w:w="15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3918EC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Instruction coherent</w:t>
            </w:r>
          </w:p>
        </w:tc>
        <w:tc>
          <w:tcPr>
            <w:tcW w:w="15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7EE88B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1: Factual Accuracy</w:t>
            </w:r>
          </w:p>
        </w:tc>
        <w:tc>
          <w:tcPr>
            <w:tcW w:w="15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8CBA84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2: Logical Consistency</w:t>
            </w:r>
          </w:p>
        </w:tc>
        <w:tc>
          <w:tcPr>
            <w:tcW w:w="15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5B7736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3: Clinical Relevance</w:t>
            </w:r>
          </w:p>
        </w:tc>
        <w:tc>
          <w:tcPr>
            <w:tcW w:w="15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C56676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Overall Evaluation Score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 xml:space="preserve"> of 1-3</w:t>
            </w:r>
          </w:p>
        </w:tc>
        <w:tc>
          <w:tcPr>
            <w:tcW w:w="15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AFF3A3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Hallucination</w:t>
            </w:r>
          </w:p>
        </w:tc>
        <w:tc>
          <w:tcPr>
            <w:tcW w:w="15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6A3314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Omission</w:t>
            </w:r>
          </w:p>
        </w:tc>
      </w:tr>
      <w:tr w14:paraId="03954534">
        <w:trPr>
          <w:trHeight w:val="510" w:hRule="atLeast"/>
          <w:jc w:val="center"/>
        </w:trPr>
        <w:tc>
          <w:tcPr>
            <w:tcW w:w="2268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8D52D6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Baichuan-M1-14B</w:t>
            </w:r>
          </w:p>
        </w:tc>
        <w:tc>
          <w:tcPr>
            <w:tcW w:w="15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A5426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Framework</w:t>
            </w:r>
          </w:p>
        </w:tc>
        <w:tc>
          <w:tcPr>
            <w:tcW w:w="15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DAAAF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0.994</w:t>
            </w:r>
          </w:p>
        </w:tc>
        <w:tc>
          <w:tcPr>
            <w:tcW w:w="15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A493F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3.995</w:t>
            </w:r>
          </w:p>
        </w:tc>
        <w:tc>
          <w:tcPr>
            <w:tcW w:w="15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9A81A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4.390</w:t>
            </w:r>
          </w:p>
        </w:tc>
        <w:tc>
          <w:tcPr>
            <w:tcW w:w="15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9880E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3.696</w:t>
            </w:r>
          </w:p>
        </w:tc>
        <w:tc>
          <w:tcPr>
            <w:tcW w:w="15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11C1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4.027</w:t>
            </w:r>
          </w:p>
        </w:tc>
        <w:tc>
          <w:tcPr>
            <w:tcW w:w="15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A6B3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18.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9%</w:t>
            </w:r>
          </w:p>
        </w:tc>
        <w:tc>
          <w:tcPr>
            <w:tcW w:w="153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1930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24.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3%</w:t>
            </w:r>
          </w:p>
        </w:tc>
      </w:tr>
      <w:tr w14:paraId="79DC38A7">
        <w:trPr>
          <w:trHeight w:val="510" w:hRule="atLeast"/>
          <w:jc w:val="center"/>
        </w:trPr>
        <w:tc>
          <w:tcPr>
            <w:tcW w:w="226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377796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1EE73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Standalone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A4742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0.889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C143A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3.576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3D160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4.143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49475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3.320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DC23F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3.680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8681B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38.3%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8BD1B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42.5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%</w:t>
            </w:r>
          </w:p>
        </w:tc>
      </w:tr>
      <w:tr w14:paraId="317D06AD">
        <w:trPr>
          <w:trHeight w:val="510" w:hRule="atLeast"/>
          <w:jc w:val="center"/>
        </w:trPr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6BF78C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GPT-OSS-20B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55EAE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Framework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8B6B6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0.801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933DF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3.491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B513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3.723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8D73C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2.853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C555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3.356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61DF0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33.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6%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4F633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40.4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%</w:t>
            </w:r>
          </w:p>
        </w:tc>
      </w:tr>
      <w:tr w14:paraId="6BD31D78">
        <w:trPr>
          <w:trHeight w:val="510" w:hRule="atLeast"/>
          <w:jc w:val="center"/>
        </w:trPr>
        <w:tc>
          <w:tcPr>
            <w:tcW w:w="226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9C9830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DC157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Standalone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256BC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0.573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AEAF3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2.895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0687F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3.296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48D9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2.578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19982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2.923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28FCC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53.2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29967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61.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6%</w:t>
            </w:r>
          </w:p>
        </w:tc>
      </w:tr>
      <w:tr w14:paraId="670D2C01">
        <w:trPr>
          <w:trHeight w:val="510" w:hRule="atLeast"/>
          <w:jc w:val="center"/>
        </w:trPr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889A80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Qwen2.5-32B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3ADD8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Framework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69EC3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0.997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C014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4.002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1D76F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4.383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7263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3.627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0AFC4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4.004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AB88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26.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1%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C2E41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29.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8%</w:t>
            </w:r>
          </w:p>
        </w:tc>
      </w:tr>
      <w:tr w14:paraId="3D0998B3">
        <w:trPr>
          <w:trHeight w:val="510" w:hRule="atLeast"/>
          <w:jc w:val="center"/>
        </w:trPr>
        <w:tc>
          <w:tcPr>
            <w:tcW w:w="226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AABC71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D9DD1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Standalone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FFC8B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0.916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F5063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3.697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660C5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4.189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1086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3.321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649CD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3.736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70AE3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34.6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311B9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39.0%</w:t>
            </w:r>
          </w:p>
        </w:tc>
      </w:tr>
      <w:tr w14:paraId="3AB186B1">
        <w:trPr>
          <w:trHeight w:val="510" w:hRule="atLeast"/>
          <w:jc w:val="center"/>
        </w:trPr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630003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DeepSeek-R1-Distill-Qwen32B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FB56B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Framework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F4A25B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0.994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4963E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3.988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85FCB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4.422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BA5B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3.616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82AF2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4.007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595C5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22.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FF96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23.7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%</w:t>
            </w:r>
          </w:p>
        </w:tc>
      </w:tr>
      <w:tr w14:paraId="637C45FB">
        <w:trPr>
          <w:trHeight w:val="510" w:hRule="atLeast"/>
          <w:jc w:val="center"/>
        </w:trPr>
        <w:tc>
          <w:tcPr>
            <w:tcW w:w="226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76D154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37183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Standalone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59681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0.928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E094A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3.596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960DA6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4.193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65701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3.317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28185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3.702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A3E50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35.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2%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7505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37.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5%</w:t>
            </w:r>
          </w:p>
        </w:tc>
      </w:tr>
      <w:tr w14:paraId="5FD12FF6">
        <w:trPr>
          <w:trHeight w:val="510" w:hRule="atLeast"/>
          <w:jc w:val="center"/>
        </w:trPr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F1AFCB">
            <w:pP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GPT-OSS-120B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C6A72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Framework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0059E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0.998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6E228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4.227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A3641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4.666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C02EB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3969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4.298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07E21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11.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7%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16DC2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14.0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%</w:t>
            </w:r>
          </w:p>
        </w:tc>
      </w:tr>
      <w:tr w14:paraId="34D72BBB">
        <w:trPr>
          <w:trHeight w:val="510" w:hRule="atLeast"/>
          <w:jc w:val="center"/>
        </w:trPr>
        <w:tc>
          <w:tcPr>
            <w:tcW w:w="226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61945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710F0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Standalone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AFD77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0.978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27460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4.044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EC08E2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4.622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A90B4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3.833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E58C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4.166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C519E7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20.0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D1DEA0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23.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4%</w:t>
            </w:r>
          </w:p>
        </w:tc>
      </w:tr>
      <w:tr w14:paraId="13273B85">
        <w:trPr>
          <w:trHeight w:val="510" w:hRule="atLeast"/>
          <w:jc w:val="center"/>
        </w:trPr>
        <w:tc>
          <w:tcPr>
            <w:tcW w:w="2268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11550162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DeepSeek-R1-671B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7FE25C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Framework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63E30A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0.998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D33F6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4.280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33581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4.760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4E21FD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4.027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4A0D3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4.355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9ECE35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10.9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FB1F49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14.7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%</w:t>
            </w:r>
          </w:p>
        </w:tc>
      </w:tr>
      <w:tr w14:paraId="474D490D">
        <w:trPr>
          <w:trHeight w:val="510" w:hRule="atLeast"/>
          <w:jc w:val="center"/>
        </w:trPr>
        <w:tc>
          <w:tcPr>
            <w:tcW w:w="2268" w:type="dxa"/>
            <w:vMerge w:val="continue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E781F7A">
            <w:pPr>
              <w:widowControl/>
              <w:jc w:val="left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58978E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Standalone</w:t>
            </w:r>
          </w:p>
        </w:tc>
        <w:tc>
          <w:tcPr>
            <w:tcW w:w="15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58CF791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0.966</w:t>
            </w:r>
          </w:p>
        </w:tc>
        <w:tc>
          <w:tcPr>
            <w:tcW w:w="15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A305A9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3.903</w:t>
            </w:r>
          </w:p>
        </w:tc>
        <w:tc>
          <w:tcPr>
            <w:tcW w:w="15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946439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4.484</w:t>
            </w:r>
          </w:p>
        </w:tc>
        <w:tc>
          <w:tcPr>
            <w:tcW w:w="15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BCC545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3.677</w:t>
            </w:r>
          </w:p>
        </w:tc>
        <w:tc>
          <w:tcPr>
            <w:tcW w:w="15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E43E00F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4.021</w:t>
            </w:r>
          </w:p>
        </w:tc>
        <w:tc>
          <w:tcPr>
            <w:tcW w:w="15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1779438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20.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4%</w:t>
            </w:r>
          </w:p>
        </w:tc>
        <w:tc>
          <w:tcPr>
            <w:tcW w:w="15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C4557A4">
            <w:pPr>
              <w:widowControl/>
              <w:jc w:val="center"/>
              <w:textAlignment w:val="top"/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26.9</w:t>
            </w:r>
            <w:r>
              <w:rPr>
                <w:rFonts w:hint="eastAsia" w:ascii="Times New Roman Regular" w:hAnsi="Times New Roman Regular" w:eastAsia="宋体" w:cs="Times New Roman Regular"/>
                <w:color w:val="000000"/>
                <w:kern w:val="0"/>
                <w:sz w:val="18"/>
                <w:szCs w:val="18"/>
                <w:lang w:bidi="ar"/>
              </w:rPr>
              <w:t>%</w:t>
            </w:r>
          </w:p>
        </w:tc>
      </w:tr>
    </w:tbl>
    <w:p w14:paraId="666141A1">
      <w:pPr>
        <w:widowControl/>
        <w:jc w:val="left"/>
        <w:rPr>
          <w:rFonts w:ascii="Times New Roman Regular" w:hAnsi="Times New Roman Regular" w:eastAsia="宋体" w:cs="Times New Roman Regular"/>
          <w:color w:val="000000"/>
          <w:kern w:val="0"/>
          <w:sz w:val="20"/>
          <w:szCs w:val="20"/>
          <w:lang w:bidi="ar"/>
        </w:rPr>
      </w:pPr>
      <w:r>
        <w:rPr>
          <w:rFonts w:ascii="Times New Roman Regular" w:hAnsi="Times New Roman Regular" w:eastAsia="宋体" w:cs="Times New Roman Regular"/>
          <w:color w:val="000000"/>
          <w:kern w:val="0"/>
          <w:sz w:val="20"/>
          <w:szCs w:val="20"/>
          <w:lang w:bidi="ar"/>
        </w:rPr>
        <w:t>Safety metrics of LLMs in standalone and augmented settings. Overall score is the mean of factual accuracy, logical consistency, and clinical relevance. Hallucination and omission were also assessed.</w:t>
      </w:r>
    </w:p>
    <w:tbl>
      <w:tblPr>
        <w:tblStyle w:val="5"/>
        <w:tblpPr w:leftFromText="180" w:rightFromText="180" w:vertAnchor="text" w:horzAnchor="page" w:tblpX="1603" w:tblpY="638"/>
        <w:tblOverlap w:val="never"/>
        <w:tblW w:w="13777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1"/>
        <w:gridCol w:w="1361"/>
        <w:gridCol w:w="1361"/>
        <w:gridCol w:w="1361"/>
        <w:gridCol w:w="1361"/>
        <w:gridCol w:w="1361"/>
        <w:gridCol w:w="1361"/>
        <w:gridCol w:w="4250"/>
      </w:tblGrid>
      <w:tr w14:paraId="21669A1F">
        <w:trPr>
          <w:trHeight w:val="624" w:hRule="atLeast"/>
        </w:trPr>
        <w:tc>
          <w:tcPr>
            <w:tcW w:w="1361" w:type="dxa"/>
            <w:tcBorders>
              <w:top w:val="single" w:color="000000" w:sz="12" w:space="0"/>
              <w:bottom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2C22174B">
            <w:pP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kern w:val="0"/>
                <w:sz w:val="20"/>
                <w:szCs w:val="20"/>
                <w:lang w:bidi="ar"/>
              </w:rPr>
              <w:br w:type="page"/>
            </w:r>
            <w:r>
              <w:rPr>
                <w:rFonts w:ascii="Times New Roman Regular" w:hAnsi="Times New Roman Regular" w:cs="Times New Roman Regular"/>
                <w:sz w:val="24"/>
              </w:rPr>
              <w:br w:type="page"/>
            </w:r>
            <w:r>
              <w:rPr>
                <w:rFonts w:ascii="Times New Roman Bold" w:hAnsi="Times New Roman Bold" w:eastAsia="宋体" w:cs="Times New Roman Bold"/>
                <w:b/>
                <w:bCs/>
                <w:color w:val="000000"/>
                <w:sz w:val="18"/>
                <w:szCs w:val="18"/>
              </w:rPr>
              <w:t>Models</w:t>
            </w:r>
          </w:p>
        </w:tc>
        <w:tc>
          <w:tcPr>
            <w:tcW w:w="1361" w:type="dxa"/>
            <w:tcBorders>
              <w:top w:val="single" w:color="000000" w:sz="12" w:space="0"/>
              <w:bottom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6EE2EC7D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Model size</w:t>
            </w:r>
          </w:p>
        </w:tc>
        <w:tc>
          <w:tcPr>
            <w:tcW w:w="1361" w:type="dxa"/>
            <w:tcBorders>
              <w:top w:val="single" w:color="000000" w:sz="12" w:space="0"/>
              <w:bottom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0C2F81D1">
            <w:pPr>
              <w:jc w:val="center"/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Developer</w:t>
            </w:r>
          </w:p>
        </w:tc>
        <w:tc>
          <w:tcPr>
            <w:tcW w:w="1361" w:type="dxa"/>
            <w:tcBorders>
              <w:top w:val="single" w:color="000000" w:sz="12" w:space="0"/>
              <w:bottom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6C819506">
            <w:pPr>
              <w:jc w:val="center"/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1361" w:type="dxa"/>
            <w:tcBorders>
              <w:top w:val="single" w:color="000000" w:sz="12" w:space="0"/>
              <w:bottom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5A053D13">
            <w:pPr>
              <w:jc w:val="center"/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Licence</w:t>
            </w:r>
          </w:p>
        </w:tc>
        <w:tc>
          <w:tcPr>
            <w:tcW w:w="1361" w:type="dxa"/>
            <w:tcBorders>
              <w:top w:val="single" w:color="000000" w:sz="12" w:space="0"/>
              <w:bottom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53A29C7B">
            <w:pPr>
              <w:jc w:val="center"/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Language support</w:t>
            </w:r>
          </w:p>
        </w:tc>
        <w:tc>
          <w:tcPr>
            <w:tcW w:w="1361" w:type="dxa"/>
            <w:tcBorders>
              <w:top w:val="single" w:color="000000" w:sz="12" w:space="0"/>
              <w:bottom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01164618">
            <w:pPr>
              <w:jc w:val="center"/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Version date</w:t>
            </w:r>
          </w:p>
        </w:tc>
        <w:tc>
          <w:tcPr>
            <w:tcW w:w="4250" w:type="dxa"/>
            <w:tcBorders>
              <w:top w:val="single" w:color="000000" w:sz="12" w:space="0"/>
              <w:bottom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286E216E">
            <w:pPr>
              <w:ind w:firstLine="180" w:firstLineChars="100"/>
              <w:jc w:val="center"/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Reference</w:t>
            </w:r>
          </w:p>
        </w:tc>
      </w:tr>
      <w:tr w14:paraId="6A142D25">
        <w:trPr>
          <w:trHeight w:val="624" w:hRule="atLeast"/>
        </w:trPr>
        <w:tc>
          <w:tcPr>
            <w:tcW w:w="1361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1C5A4CA8">
            <w:pPr>
              <w:jc w:val="left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Baichuan-M1</w:t>
            </w:r>
            <w:r>
              <w:rPr>
                <w:rFonts w:hint="eastAsia" w:ascii="Times New Roman Regular" w:hAnsi="Times New Roman Regular" w:cs="Times New Roman Regular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361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12F495C7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14B</w:t>
            </w:r>
          </w:p>
        </w:tc>
        <w:tc>
          <w:tcPr>
            <w:tcW w:w="1361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68261735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Baichuan-Inc</w:t>
            </w:r>
          </w:p>
        </w:tc>
        <w:tc>
          <w:tcPr>
            <w:tcW w:w="1361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74E7A46E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Medical</w:t>
            </w:r>
          </w:p>
        </w:tc>
        <w:tc>
          <w:tcPr>
            <w:tcW w:w="1361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01BF7C48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Apache License 2.0</w:t>
            </w:r>
          </w:p>
        </w:tc>
        <w:tc>
          <w:tcPr>
            <w:tcW w:w="1361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4B8F5390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Chinese, English</w:t>
            </w:r>
          </w:p>
        </w:tc>
        <w:tc>
          <w:tcPr>
            <w:tcW w:w="1361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4E9CC5AA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2025.2</w:t>
            </w:r>
          </w:p>
        </w:tc>
        <w:tc>
          <w:tcPr>
            <w:tcW w:w="4250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1C467DBA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https://arxiv.org/abs/2502.12671</w:t>
            </w:r>
          </w:p>
        </w:tc>
      </w:tr>
      <w:tr w14:paraId="1C256670">
        <w:trPr>
          <w:trHeight w:val="624" w:hRule="atLeast"/>
        </w:trPr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661617">
            <w:pPr>
              <w:jc w:val="left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GPT-OSS</w:t>
            </w:r>
            <w:r>
              <w:rPr>
                <w:rFonts w:hint="eastAsia" w:ascii="Times New Roman Regular" w:hAnsi="Times New Roman Regular" w:cs="Times New Roman Regular"/>
                <w:sz w:val="20"/>
                <w:szCs w:val="20"/>
                <w:vertAlign w:val="superscript"/>
              </w:rPr>
              <w:t>&amp;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F293693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20B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8EB54A4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OpenAI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6519E3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General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F864BE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Apache License 2.0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30ABB7C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Chinese, English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DC7BB77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2025.8</w:t>
            </w:r>
          </w:p>
        </w:tc>
        <w:tc>
          <w:tcPr>
            <w:tcW w:w="42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CCDEC4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https://cdn.openai.com/pdf/419b6906-9da6-406c-a19d-1bb078ac7637/oai_gpt-oss_model_card.pdf</w:t>
            </w:r>
          </w:p>
        </w:tc>
      </w:tr>
      <w:tr w14:paraId="4C4EFFE9">
        <w:trPr>
          <w:trHeight w:val="624" w:hRule="atLeast"/>
        </w:trPr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86F0158">
            <w:pPr>
              <w:jc w:val="left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Qwen2.5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2882F2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32B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40224A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Alibaba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434D9C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General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FB6C21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Apache License 2.0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87D1AF7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Chinese, English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4B31809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2024.9</w:t>
            </w:r>
          </w:p>
        </w:tc>
        <w:tc>
          <w:tcPr>
            <w:tcW w:w="42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61D64E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https://arxiv.org/abs/2412.15115</w:t>
            </w:r>
          </w:p>
        </w:tc>
      </w:tr>
      <w:tr w14:paraId="3ACF3AF7">
        <w:trPr>
          <w:trHeight w:val="624" w:hRule="atLeast"/>
        </w:trPr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8C68CF4">
            <w:pPr>
              <w:jc w:val="left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DeepSeek-R1-Distill-Qwen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1AE26B1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32B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2A357C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DeepSeek-AI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0AA6118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General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270338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MIT License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F1239AE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Chinese, English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42A374B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2025.2</w:t>
            </w:r>
          </w:p>
        </w:tc>
        <w:tc>
          <w:tcPr>
            <w:tcW w:w="42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CD4BE5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https://arxiv.org/abs/2501.12948</w:t>
            </w:r>
          </w:p>
        </w:tc>
      </w:tr>
      <w:tr w14:paraId="27910016">
        <w:trPr>
          <w:trHeight w:val="624" w:hRule="atLeast"/>
        </w:trPr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A7BC569">
            <w:pPr>
              <w:jc w:val="left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GPT-OSS</w:t>
            </w:r>
            <w:r>
              <w:rPr>
                <w:rFonts w:hint="eastAsia" w:ascii="Times New Roman Regular" w:hAnsi="Times New Roman Regular" w:cs="Times New Roman Regular"/>
                <w:sz w:val="20"/>
                <w:szCs w:val="20"/>
                <w:vertAlign w:val="superscript"/>
              </w:rPr>
              <w:t>&amp;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46FF50E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120B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C8EEA94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OpenAI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E33E595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General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211CA7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Apache License 2.0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E6E388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Chinese, English</w:t>
            </w:r>
          </w:p>
        </w:tc>
        <w:tc>
          <w:tcPr>
            <w:tcW w:w="13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344277C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2025.8</w:t>
            </w:r>
          </w:p>
        </w:tc>
        <w:tc>
          <w:tcPr>
            <w:tcW w:w="42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8089609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https://cdn.openai.com/pdf/419b6906-9da6-406c-a19d-1bb078ac7637/oai_gpt-oss_model_card.pdf</w:t>
            </w:r>
          </w:p>
        </w:tc>
      </w:tr>
      <w:tr w14:paraId="5669305C">
        <w:trPr>
          <w:trHeight w:val="624" w:hRule="atLeast"/>
        </w:trPr>
        <w:tc>
          <w:tcPr>
            <w:tcW w:w="1361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  <w:vAlign w:val="center"/>
          </w:tcPr>
          <w:p w14:paraId="075E49D1">
            <w:pPr>
              <w:jc w:val="left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Deepseek-R1</w:t>
            </w:r>
            <w:r>
              <w:rPr>
                <w:rFonts w:ascii="Times New Roman Regular" w:hAnsi="Times New Roman Regular" w:cs="Times New Roman Regular"/>
                <w:sz w:val="24"/>
                <w:vertAlign w:val="superscript"/>
              </w:rPr>
              <w:t>†</w:t>
            </w:r>
          </w:p>
        </w:tc>
        <w:tc>
          <w:tcPr>
            <w:tcW w:w="1361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  <w:vAlign w:val="center"/>
          </w:tcPr>
          <w:p w14:paraId="6F4B3D57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DengXian" w:cs="Times New Roman Regular"/>
                <w:color w:val="000000"/>
                <w:sz w:val="18"/>
                <w:szCs w:val="18"/>
              </w:rPr>
              <w:t>671B</w:t>
            </w:r>
          </w:p>
        </w:tc>
        <w:tc>
          <w:tcPr>
            <w:tcW w:w="1361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  <w:vAlign w:val="center"/>
          </w:tcPr>
          <w:p w14:paraId="3A50EA07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 xml:space="preserve">DeepSeek‑AI </w:t>
            </w:r>
          </w:p>
        </w:tc>
        <w:tc>
          <w:tcPr>
            <w:tcW w:w="1361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  <w:vAlign w:val="center"/>
          </w:tcPr>
          <w:p w14:paraId="4FE70AB4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General</w:t>
            </w:r>
          </w:p>
        </w:tc>
        <w:tc>
          <w:tcPr>
            <w:tcW w:w="1361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  <w:vAlign w:val="center"/>
          </w:tcPr>
          <w:p w14:paraId="7B46203E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MIT License</w:t>
            </w:r>
          </w:p>
        </w:tc>
        <w:tc>
          <w:tcPr>
            <w:tcW w:w="1361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  <w:vAlign w:val="center"/>
          </w:tcPr>
          <w:p w14:paraId="32ACA208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Chinese, English</w:t>
            </w:r>
          </w:p>
        </w:tc>
        <w:tc>
          <w:tcPr>
            <w:tcW w:w="1361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  <w:vAlign w:val="center"/>
          </w:tcPr>
          <w:p w14:paraId="6141EB12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2025.5</w:t>
            </w:r>
          </w:p>
        </w:tc>
        <w:tc>
          <w:tcPr>
            <w:tcW w:w="4250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  <w:vAlign w:val="center"/>
          </w:tcPr>
          <w:p w14:paraId="795E4F8F">
            <w:pPr>
              <w:jc w:val="center"/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</w:pPr>
            <w:r>
              <w:rPr>
                <w:rFonts w:ascii="Times New Roman Regular" w:hAnsi="Times New Roman Regular" w:eastAsia="宋体" w:cs="Times New Roman Regular"/>
                <w:color w:val="000000"/>
                <w:sz w:val="18"/>
                <w:szCs w:val="18"/>
              </w:rPr>
              <w:t>https://arxiv.org/abs/2501.12948</w:t>
            </w:r>
          </w:p>
        </w:tc>
      </w:tr>
    </w:tbl>
    <w:p w14:paraId="5F45F1B7">
      <w:pPr>
        <w:spacing w:line="480" w:lineRule="auto"/>
        <w:rPr>
          <w:rFonts w:ascii="Times New Roman Regular" w:hAnsi="Times New Roman Regular" w:eastAsia="宋体" w:cs="Times New Roman Regular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2"/>
          <w:szCs w:val="22"/>
        </w:rPr>
        <w:t>Supplementary Table S6. The detailed information on the six LLMs used in this study.</w:t>
      </w:r>
    </w:p>
    <w:p w14:paraId="39256124">
      <w:pPr>
        <w:rPr>
          <w:rFonts w:ascii="Times New Roman Regular" w:hAnsi="Times New Roman Regular" w:cs="Times New Roman Regular"/>
          <w:sz w:val="20"/>
          <w:szCs w:val="20"/>
        </w:rPr>
      </w:pPr>
      <w:r>
        <w:rPr>
          <w:rFonts w:ascii="Times New Roman Regular" w:hAnsi="Times New Roman Regular" w:cs="Times New Roman Regular"/>
          <w:sz w:val="20"/>
          <w:szCs w:val="20"/>
        </w:rPr>
        <w:t>Detailed information on the six LLMs evaluated in this study, including model size, developer, application type, license, language support, version date, and reference source.</w:t>
      </w:r>
    </w:p>
    <w:p w14:paraId="5936E7B1">
      <w:pPr>
        <w:rPr>
          <w:rFonts w:ascii="Times New Roman Regular" w:hAnsi="Times New Roman Regular" w:cs="Times New Roman Regular"/>
          <w:sz w:val="20"/>
          <w:szCs w:val="20"/>
        </w:rPr>
      </w:pPr>
      <w:r>
        <w:rPr>
          <w:rFonts w:hint="eastAsia" w:ascii="Times New Roman Regular" w:hAnsi="Times New Roman Regular" w:cs="Times New Roman Regular"/>
          <w:sz w:val="20"/>
          <w:szCs w:val="20"/>
          <w:vertAlign w:val="superscript"/>
        </w:rPr>
        <w:t>#</w:t>
      </w:r>
      <w:r>
        <w:rPr>
          <w:rFonts w:ascii="Times New Roman Regular" w:hAnsi="Times New Roman Regular" w:cs="Times New Roman Regular"/>
          <w:sz w:val="20"/>
          <w:szCs w:val="20"/>
        </w:rPr>
        <w:t>Baichuan-M1 was released as a medical-domain–oriented model.</w:t>
      </w:r>
    </w:p>
    <w:p w14:paraId="69639EBF">
      <w:pPr>
        <w:rPr>
          <w:rFonts w:ascii="Times New Roman Regular" w:hAnsi="Times New Roman Regular" w:cs="Times New Roman Regular"/>
          <w:sz w:val="20"/>
          <w:szCs w:val="20"/>
        </w:rPr>
      </w:pPr>
      <w:r>
        <w:rPr>
          <w:rFonts w:hint="eastAsia" w:ascii="Times New Roman Regular" w:hAnsi="Times New Roman Regular" w:cs="Times New Roman Regular"/>
          <w:sz w:val="20"/>
          <w:szCs w:val="20"/>
          <w:vertAlign w:val="superscript"/>
        </w:rPr>
        <w:t>&amp;</w:t>
      </w:r>
      <w:r>
        <w:rPr>
          <w:rFonts w:ascii="Times New Roman Regular" w:hAnsi="Times New Roman Regular" w:cs="Times New Roman Regular"/>
          <w:sz w:val="20"/>
          <w:szCs w:val="20"/>
        </w:rPr>
        <w:t>GPT-OSS models (20B and 120B) were released by OpenAI with official model cards as technical references.</w:t>
      </w:r>
    </w:p>
    <w:p w14:paraId="35119E2E">
      <w:pPr>
        <w:rPr>
          <w:rFonts w:ascii="Times New Roman Regular" w:hAnsi="Times New Roman Regular" w:cs="Times New Roman Regular"/>
          <w:sz w:val="20"/>
          <w:szCs w:val="20"/>
        </w:rPr>
      </w:pPr>
      <w:r>
        <w:rPr>
          <w:rFonts w:ascii="Times New Roman Regular" w:hAnsi="Times New Roman Regular" w:cs="Times New Roman Regular"/>
          <w:sz w:val="20"/>
          <w:szCs w:val="20"/>
          <w:vertAlign w:val="superscript"/>
        </w:rPr>
        <w:t>†</w:t>
      </w:r>
      <w:r>
        <w:rPr>
          <w:rFonts w:ascii="Times New Roman Regular" w:hAnsi="Times New Roman Regular" w:cs="Times New Roman Regular"/>
          <w:sz w:val="20"/>
          <w:szCs w:val="20"/>
        </w:rPr>
        <w:t xml:space="preserve"> DeepSeek-R1 and DeepSeek-R1-Distill-Qwen were developed under the MIT licence, providing large-scale general-domain models with bilingual support.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5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FFD7F8"/>
    <w:rsid w:val="00374DD9"/>
    <w:rsid w:val="00D24FE2"/>
    <w:rsid w:val="0A2D1F03"/>
    <w:rsid w:val="1FDF5D34"/>
    <w:rsid w:val="2D799BEA"/>
    <w:rsid w:val="2FDBEB59"/>
    <w:rsid w:val="36DB9099"/>
    <w:rsid w:val="3DBF3E41"/>
    <w:rsid w:val="3FBDBC7E"/>
    <w:rsid w:val="3FEF7375"/>
    <w:rsid w:val="53DFF082"/>
    <w:rsid w:val="544FD2E7"/>
    <w:rsid w:val="577F549A"/>
    <w:rsid w:val="5B7FFFF8"/>
    <w:rsid w:val="5FBF7DD8"/>
    <w:rsid w:val="66F685FC"/>
    <w:rsid w:val="6FFB4576"/>
    <w:rsid w:val="71FFF6AD"/>
    <w:rsid w:val="75BAE8F1"/>
    <w:rsid w:val="75F84764"/>
    <w:rsid w:val="76FB3E36"/>
    <w:rsid w:val="783FA26B"/>
    <w:rsid w:val="7A6F2A16"/>
    <w:rsid w:val="7B7FEB52"/>
    <w:rsid w:val="7DD5CF86"/>
    <w:rsid w:val="7E96EB78"/>
    <w:rsid w:val="7F3F7F01"/>
    <w:rsid w:val="7FF68DEB"/>
    <w:rsid w:val="7FFFA023"/>
    <w:rsid w:val="8BFD9505"/>
    <w:rsid w:val="979F9335"/>
    <w:rsid w:val="9BED977D"/>
    <w:rsid w:val="AB06E7BE"/>
    <w:rsid w:val="BEFB23A7"/>
    <w:rsid w:val="BFF742F4"/>
    <w:rsid w:val="C13EBF51"/>
    <w:rsid w:val="CEF68E2B"/>
    <w:rsid w:val="DEE4368D"/>
    <w:rsid w:val="DF35DCDF"/>
    <w:rsid w:val="DFFFD7F8"/>
    <w:rsid w:val="E635B239"/>
    <w:rsid w:val="E7CFEA85"/>
    <w:rsid w:val="E8DF2690"/>
    <w:rsid w:val="EBB4D346"/>
    <w:rsid w:val="EDF3C4DA"/>
    <w:rsid w:val="F7CF923F"/>
    <w:rsid w:val="F7FF31B9"/>
    <w:rsid w:val="F9F68EDD"/>
    <w:rsid w:val="F9FFC3B2"/>
    <w:rsid w:val="FBFED8E5"/>
    <w:rsid w:val="FDD38CAE"/>
    <w:rsid w:val="FE2F5EF0"/>
    <w:rsid w:val="FF4364F0"/>
    <w:rsid w:val="FFCF33DC"/>
    <w:rsid w:val="FFFDB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Normal (Web)"/>
    <w:basedOn w:val="1"/>
    <w:uiPriority w:val="0"/>
    <w:rPr>
      <w:sz w:val="24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7">
    <w:name w:val="Emphasis"/>
    <w:basedOn w:val="6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2014</Words>
  <Characters>11484</Characters>
  <Lines>95</Lines>
  <Paragraphs>26</Paragraphs>
  <TotalTime>33</TotalTime>
  <ScaleCrop>false</ScaleCrop>
  <LinksUpToDate>false</LinksUpToDate>
  <CharactersWithSpaces>13472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2025-03-10T16:38:00Z</dcterms:created>
  <dc:creator>ACE</dc:creator>
  <cp:lastModifiedBy>ACE</cp:lastModifiedBy>
  <dcterms:modified xsi:type="dcterms:W3CDTF">2025-10-31T19:39:49Z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8BA67C4C7C08FCD8F3BBC66744121B68_41</vt:lpwstr>
  </property>
</Properties>
</file>