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E51E0" w14:textId="4A34612F" w:rsidR="00D118CC" w:rsidRPr="00D17E60" w:rsidRDefault="003E7009" w:rsidP="00D17E60">
      <w:pPr>
        <w:spacing w:line="480" w:lineRule="auto"/>
        <w:jc w:val="center"/>
        <w:rPr>
          <w:rFonts w:ascii="Arial" w:hAnsi="Arial" w:cs="Arial" w:hint="eastAsia"/>
          <w:b/>
          <w:bCs/>
          <w:sz w:val="28"/>
          <w:szCs w:val="28"/>
        </w:rPr>
      </w:pPr>
      <w:r w:rsidRPr="003E7009">
        <w:rPr>
          <w:rFonts w:ascii="Arial" w:hAnsi="Arial" w:cs="Arial"/>
          <w:b/>
          <w:bCs/>
          <w:sz w:val="28"/>
          <w:szCs w:val="28"/>
        </w:rPr>
        <w:t>Supplemental Information</w:t>
      </w:r>
      <w:bookmarkStart w:id="0" w:name="_Hlk206754842"/>
      <w:bookmarkStart w:id="1" w:name="OLE_LINK32"/>
    </w:p>
    <w:bookmarkEnd w:id="0"/>
    <w:bookmarkEnd w:id="1"/>
    <w:p w14:paraId="0B4A2380" w14:textId="568128A8" w:rsidR="00D118CC" w:rsidRPr="00D17E60" w:rsidRDefault="005158E9" w:rsidP="00CD05FB">
      <w:pPr>
        <w:spacing w:line="480" w:lineRule="auto"/>
        <w:rPr>
          <w:rFonts w:ascii="Arial" w:hAnsi="Arial" w:cs="Arial" w:hint="eastAsia"/>
          <w:b/>
          <w:bCs/>
          <w:sz w:val="30"/>
          <w:szCs w:val="30"/>
        </w:rPr>
      </w:pPr>
      <w:r w:rsidRPr="005158E9">
        <w:rPr>
          <w:rFonts w:ascii="Arial" w:hAnsi="Arial" w:cs="Arial"/>
          <w:b/>
          <w:bCs/>
          <w:sz w:val="30"/>
          <w:szCs w:val="30"/>
        </w:rPr>
        <w:t xml:space="preserve">3D Structural Hijacking of Pathological α-Synuclein Fibrillar Architectures by Carbon Dot </w:t>
      </w:r>
      <w:proofErr w:type="spellStart"/>
      <w:r w:rsidRPr="005158E9">
        <w:rPr>
          <w:rFonts w:ascii="Arial" w:hAnsi="Arial" w:cs="Arial"/>
          <w:b/>
          <w:bCs/>
          <w:sz w:val="30"/>
          <w:szCs w:val="30"/>
        </w:rPr>
        <w:t>Nanoeraser</w:t>
      </w:r>
      <w:proofErr w:type="spellEnd"/>
      <w:r w:rsidRPr="005158E9">
        <w:rPr>
          <w:rFonts w:ascii="Arial" w:hAnsi="Arial" w:cs="Arial"/>
          <w:b/>
          <w:bCs/>
          <w:sz w:val="30"/>
          <w:szCs w:val="30"/>
        </w:rPr>
        <w:t xml:space="preserve"> Prevents Neurodegeneration</w:t>
      </w:r>
    </w:p>
    <w:p w14:paraId="3D139D57" w14:textId="06447506" w:rsidR="00C04CCB" w:rsidRDefault="006601D4" w:rsidP="00CD05FB">
      <w:pPr>
        <w:spacing w:line="480" w:lineRule="auto"/>
        <w:rPr>
          <w:rFonts w:ascii="Arial" w:hAnsi="Arial" w:cs="Arial"/>
          <w:b/>
          <w:bCs/>
          <w:sz w:val="28"/>
          <w:szCs w:val="28"/>
        </w:rPr>
      </w:pPr>
      <w:r w:rsidRPr="006601D4">
        <w:rPr>
          <w:rFonts w:ascii="Arial" w:hAnsi="Arial" w:cs="Arial" w:hint="eastAsia"/>
          <w:b/>
          <w:bCs/>
          <w:sz w:val="28"/>
          <w:szCs w:val="28"/>
        </w:rPr>
        <w:t>Supplementary Methods</w:t>
      </w:r>
    </w:p>
    <w:p w14:paraId="63B5A637" w14:textId="63850F66" w:rsidR="00735048" w:rsidRDefault="00735048" w:rsidP="00CD05FB">
      <w:pPr>
        <w:spacing w:line="480" w:lineRule="auto"/>
        <w:rPr>
          <w:rFonts w:ascii="Arial" w:hAnsi="Arial" w:cs="Arial"/>
          <w:sz w:val="24"/>
          <w:szCs w:val="24"/>
        </w:rPr>
      </w:pPr>
      <w:r w:rsidRPr="00202F82">
        <w:rPr>
          <w:rFonts w:ascii="Arial" w:hAnsi="Arial" w:cs="Arial"/>
          <w:b/>
          <w:bCs/>
          <w:sz w:val="24"/>
          <w:szCs w:val="24"/>
        </w:rPr>
        <w:t xml:space="preserve">Characterization of CDs. </w:t>
      </w:r>
      <w:r w:rsidRPr="00D93187">
        <w:rPr>
          <w:rFonts w:ascii="Arial" w:hAnsi="Arial" w:cs="Arial" w:hint="eastAsia"/>
          <w:sz w:val="24"/>
          <w:szCs w:val="24"/>
        </w:rPr>
        <w:t>The morphological and structural characteristics of the P-CDs were examined with a Talos F200S Transmission Electron Microscope (TEM) (FEI, OR, USA) at 200 kV. Additionally, the thickness of the P-CDs was measured by the Atomic Force Microscope (AFM) (Bruker, Karlsruhe, Germany). Fourier transform infrared (FTIR) spectra were recorded from 400 to 4000 cm-1 on a Thermo Scientific spectrophotometer (Thermo Scientific, USA) to identify the functional groups present in the P-CDs. The chemical states and elemental composition of the P-CDs were analyzed by X-ray photoelectron spectroscopy (XPS) using a K-Alpha spectrometer (Thermo Scientific, USA). The X-ray diffraction (XRD) patterns were collected on a Rigaku D/MAX-2600 diffractometer (Japan).</w:t>
      </w:r>
    </w:p>
    <w:p w14:paraId="4AFA9C74" w14:textId="66B8554C" w:rsidR="005B3AB9" w:rsidRPr="00562E40" w:rsidRDefault="005B3AB9" w:rsidP="00CD05FB">
      <w:pPr>
        <w:spacing w:line="480" w:lineRule="auto"/>
        <w:rPr>
          <w:rFonts w:ascii="Arial" w:hAnsi="Arial" w:cs="Arial"/>
          <w:b/>
          <w:bCs/>
          <w:sz w:val="24"/>
          <w:szCs w:val="24"/>
        </w:rPr>
      </w:pPr>
      <w:r w:rsidRPr="005B3AB9">
        <w:rPr>
          <w:rFonts w:ascii="Arial" w:hAnsi="Arial" w:cs="Arial" w:hint="eastAsia"/>
          <w:b/>
          <w:bCs/>
          <w:sz w:val="24"/>
          <w:szCs w:val="24"/>
        </w:rPr>
        <w:t>Synthesis of P-CDs-A</w:t>
      </w:r>
      <w:r>
        <w:rPr>
          <w:rFonts w:ascii="Arial" w:hAnsi="Arial" w:cs="Arial" w:hint="eastAsia"/>
          <w:b/>
          <w:bCs/>
          <w:sz w:val="24"/>
          <w:szCs w:val="24"/>
        </w:rPr>
        <w:t xml:space="preserve">. </w:t>
      </w:r>
      <w:r w:rsidR="00056EF5" w:rsidRPr="00562E40">
        <w:rPr>
          <w:rFonts w:ascii="Arial" w:hAnsi="Arial" w:cs="Arial"/>
          <w:sz w:val="24"/>
          <w:szCs w:val="24"/>
        </w:rPr>
        <w:t>A mixture containing 20 mL of P-CDs solution (5 mg/mL), 1 g of</w:t>
      </w:r>
      <w:r w:rsidR="00562E40" w:rsidRPr="00562E40">
        <w:rPr>
          <w:rFonts w:ascii="Arial" w:hAnsi="Arial" w:cs="Arial"/>
        </w:rPr>
        <w:t xml:space="preserve"> </w:t>
      </w:r>
      <w:r w:rsidR="00562E40" w:rsidRPr="00562E40">
        <w:rPr>
          <w:rFonts w:ascii="Arial" w:hAnsi="Arial" w:cs="Arial"/>
          <w:sz w:val="24"/>
          <w:szCs w:val="24"/>
        </w:rPr>
        <w:t>1, 3-propanesultone (PS)</w:t>
      </w:r>
      <w:r w:rsidR="00056EF5" w:rsidRPr="00562E40">
        <w:rPr>
          <w:rFonts w:ascii="Arial" w:hAnsi="Arial" w:cs="Arial"/>
          <w:sz w:val="24"/>
          <w:szCs w:val="24"/>
        </w:rPr>
        <w:t xml:space="preserve">, 20 mL of 1,4-dioxane, and 2 mL of triethylamine was stirred in a sealed beaker at 40 °C for 24 h. The solvent was subsequently removed by rotary evaporation. The product was redissolved in water and dialyzed using a 500 Da dialysis bag against 0.1 M NaCl solution at room temperature for 24 h, followed by ultrapure water for 3 days. The resulting </w:t>
      </w:r>
      <w:r w:rsidR="00056EF5" w:rsidRPr="00562E40">
        <w:rPr>
          <w:rFonts w:ascii="Arial" w:hAnsi="Arial" w:cs="Arial"/>
          <w:sz w:val="24"/>
          <w:szCs w:val="24"/>
        </w:rPr>
        <w:lastRenderedPageBreak/>
        <w:t>material was then freeze-dried.</w:t>
      </w:r>
      <w:r w:rsidR="00562E40">
        <w:rPr>
          <w:rFonts w:ascii="Arial" w:hAnsi="Arial" w:cs="Arial" w:hint="eastAsia"/>
          <w:sz w:val="24"/>
          <w:szCs w:val="24"/>
        </w:rPr>
        <w:t xml:space="preserve"> </w:t>
      </w:r>
      <w:r w:rsidR="00056EF5" w:rsidRPr="00562E40">
        <w:rPr>
          <w:rFonts w:ascii="Arial" w:hAnsi="Arial" w:cs="Arial"/>
          <w:sz w:val="24"/>
          <w:szCs w:val="24"/>
        </w:rPr>
        <w:t>The obtained product was stirred with 20 mL of 0.5 M NaOH at 40 °C for 24 h. The pH was adjusted to neutral using HCl, followed by dialysis against ultrapure water for 3 days and subsequent freeze-drying, yielding the final product P-CDs-A.</w:t>
      </w:r>
    </w:p>
    <w:p w14:paraId="6A97A54F" w14:textId="46FF59D3" w:rsidR="00602FCB" w:rsidRPr="002018AC" w:rsidRDefault="00602FCB" w:rsidP="00CD05FB">
      <w:pPr>
        <w:spacing w:line="480" w:lineRule="auto"/>
        <w:rPr>
          <w:rFonts w:ascii="Arial" w:hAnsi="Arial" w:cs="Arial"/>
          <w:sz w:val="24"/>
          <w:szCs w:val="24"/>
        </w:rPr>
      </w:pPr>
      <w:r w:rsidRPr="00202F82">
        <w:rPr>
          <w:rFonts w:ascii="Arial" w:hAnsi="Arial" w:cs="Arial"/>
          <w:b/>
          <w:bCs/>
          <w:sz w:val="24"/>
          <w:szCs w:val="24"/>
        </w:rPr>
        <w:t xml:space="preserve">Cell culture. </w:t>
      </w:r>
      <w:r w:rsidRPr="00202F82">
        <w:rPr>
          <w:rFonts w:ascii="Arial" w:hAnsi="Arial" w:cs="Arial"/>
          <w:sz w:val="24"/>
          <w:szCs w:val="24"/>
        </w:rPr>
        <w:t>Rat pheochromocytoma (PC12) cells</w:t>
      </w:r>
      <w:r w:rsidRPr="00202F82">
        <w:rPr>
          <w:rFonts w:ascii="Arial" w:hAnsi="Arial" w:cs="Arial"/>
          <w:b/>
          <w:bCs/>
          <w:sz w:val="24"/>
          <w:szCs w:val="24"/>
        </w:rPr>
        <w:t xml:space="preserve"> </w:t>
      </w:r>
      <w:r w:rsidRPr="00202F82">
        <w:rPr>
          <w:rFonts w:ascii="Arial" w:hAnsi="Arial" w:cs="Arial"/>
          <w:sz w:val="24"/>
          <w:szCs w:val="24"/>
        </w:rPr>
        <w:t xml:space="preserve">and </w:t>
      </w:r>
      <w:r>
        <w:rPr>
          <w:rFonts w:ascii="Arial" w:hAnsi="Arial" w:cs="Arial" w:hint="eastAsia"/>
          <w:sz w:val="24"/>
          <w:szCs w:val="24"/>
        </w:rPr>
        <w:t>SH-SY5Y</w:t>
      </w:r>
      <w:r w:rsidRPr="00202F82">
        <w:rPr>
          <w:rFonts w:ascii="Arial" w:hAnsi="Arial" w:cs="Arial"/>
          <w:sz w:val="24"/>
          <w:szCs w:val="24"/>
        </w:rPr>
        <w:t xml:space="preserve"> cells were purchased from the Cell Bank of the Chinese Academy of Science (Shanghai, China). HEK293T cells stably expressing YFP-labeled human α-synuclein (HEK293-α-Syn-YFP) were kindly gifted from Jichun Zhang lab (Shandong First Medical University, China). BV2 cells and 293T cells were cultured in Dulbecco’s Modified Eagle’s Medium (DMEM) supplemented with 10</w:t>
      </w:r>
      <w:r>
        <w:rPr>
          <w:rFonts w:ascii="Arial" w:hAnsi="Arial" w:cs="Arial" w:hint="eastAsia"/>
          <w:sz w:val="24"/>
          <w:szCs w:val="24"/>
        </w:rPr>
        <w:t xml:space="preserve"> </w:t>
      </w:r>
      <w:r w:rsidRPr="00202F82">
        <w:rPr>
          <w:rFonts w:ascii="Arial" w:hAnsi="Arial" w:cs="Arial"/>
          <w:sz w:val="24"/>
          <w:szCs w:val="24"/>
        </w:rPr>
        <w:t>% fetal bovine serum (FBS, Pricella), and 1% penicillin/streptomycin (Solarbio). PC12 cells were maintained in Roswell Park Memorial Institute (RPMI) 1640 containing 10</w:t>
      </w:r>
      <w:r>
        <w:rPr>
          <w:rFonts w:ascii="Arial" w:hAnsi="Arial" w:cs="Arial" w:hint="eastAsia"/>
          <w:sz w:val="24"/>
          <w:szCs w:val="24"/>
        </w:rPr>
        <w:t xml:space="preserve"> </w:t>
      </w:r>
      <w:r w:rsidRPr="00202F82">
        <w:rPr>
          <w:rFonts w:ascii="Arial" w:hAnsi="Arial" w:cs="Arial"/>
          <w:sz w:val="24"/>
          <w:szCs w:val="24"/>
        </w:rPr>
        <w:t>% fetal bovine serum (FBS, Pricella), and 1</w:t>
      </w:r>
      <w:r>
        <w:rPr>
          <w:rFonts w:ascii="Arial" w:hAnsi="Arial" w:cs="Arial" w:hint="eastAsia"/>
          <w:sz w:val="24"/>
          <w:szCs w:val="24"/>
        </w:rPr>
        <w:t xml:space="preserve"> </w:t>
      </w:r>
      <w:r w:rsidRPr="00202F82">
        <w:rPr>
          <w:rFonts w:ascii="Arial" w:hAnsi="Arial" w:cs="Arial"/>
          <w:sz w:val="24"/>
          <w:szCs w:val="24"/>
        </w:rPr>
        <w:t>% penicillin/streptomycin (Solarbio). Cells were incubated at 37°C in a humidified chamber containing 5</w:t>
      </w:r>
      <w:r>
        <w:rPr>
          <w:rFonts w:ascii="Arial" w:hAnsi="Arial" w:cs="Arial" w:hint="eastAsia"/>
          <w:sz w:val="24"/>
          <w:szCs w:val="24"/>
        </w:rPr>
        <w:t xml:space="preserve"> </w:t>
      </w:r>
      <w:r w:rsidRPr="00202F82">
        <w:rPr>
          <w:rFonts w:ascii="Arial" w:hAnsi="Arial" w:cs="Arial"/>
          <w:sz w:val="24"/>
          <w:szCs w:val="24"/>
        </w:rPr>
        <w:t>% CO</w:t>
      </w:r>
      <w:r w:rsidRPr="00202F82">
        <w:rPr>
          <w:rFonts w:ascii="Arial" w:hAnsi="Arial" w:cs="Arial"/>
          <w:sz w:val="24"/>
          <w:szCs w:val="24"/>
          <w:vertAlign w:val="subscript"/>
        </w:rPr>
        <w:t>2</w:t>
      </w:r>
      <w:r w:rsidRPr="00202F82">
        <w:rPr>
          <w:rFonts w:ascii="Arial" w:hAnsi="Arial" w:cs="Arial"/>
          <w:sz w:val="24"/>
          <w:szCs w:val="24"/>
        </w:rPr>
        <w:t>.</w:t>
      </w:r>
    </w:p>
    <w:p w14:paraId="1E0ECA49" w14:textId="5D496507" w:rsidR="006601D4" w:rsidRDefault="006601D4" w:rsidP="00CD05FB">
      <w:pPr>
        <w:spacing w:line="480" w:lineRule="auto"/>
        <w:rPr>
          <w:rFonts w:ascii="Arial" w:hAnsi="Arial" w:cs="Arial"/>
          <w:b/>
          <w:bCs/>
          <w:sz w:val="24"/>
          <w:szCs w:val="24"/>
        </w:rPr>
      </w:pPr>
      <w:r w:rsidRPr="00202F82">
        <w:rPr>
          <w:rFonts w:ascii="Arial" w:hAnsi="Arial" w:cs="Arial"/>
          <w:b/>
          <w:bCs/>
          <w:sz w:val="24"/>
          <w:szCs w:val="24"/>
        </w:rPr>
        <w:t xml:space="preserve">Cell viability assays. </w:t>
      </w:r>
    </w:p>
    <w:p w14:paraId="65589502" w14:textId="75A6DF43" w:rsidR="006601D4" w:rsidRDefault="006601D4" w:rsidP="00CD05FB">
      <w:pPr>
        <w:spacing w:line="480" w:lineRule="auto"/>
        <w:rPr>
          <w:rFonts w:ascii="Arial" w:hAnsi="Arial" w:cs="Arial"/>
          <w:sz w:val="24"/>
          <w:szCs w:val="24"/>
        </w:rPr>
      </w:pPr>
      <w:r w:rsidRPr="00202F82">
        <w:rPr>
          <w:rFonts w:ascii="Arial" w:hAnsi="Arial" w:cs="Arial"/>
          <w:sz w:val="24"/>
          <w:szCs w:val="24"/>
        </w:rPr>
        <w:t>PC12 cells were plated on 96-well plate at a density 10,000 cells/well and cultured for 24 h to ensure full stretch. The cells were treated with α-syn PFFs (5 μg/mL) in the absence and presence of different concentrations of P-CDs. After 24 hours of culture, 10 μL of CCK8 solution (Target</w:t>
      </w:r>
      <w:r w:rsidR="00787568">
        <w:rPr>
          <w:rFonts w:ascii="Arial" w:hAnsi="Arial" w:cs="Arial" w:hint="eastAsia"/>
          <w:sz w:val="24"/>
          <w:szCs w:val="24"/>
        </w:rPr>
        <w:t xml:space="preserve"> </w:t>
      </w:r>
      <w:r w:rsidRPr="00202F82">
        <w:rPr>
          <w:rFonts w:ascii="Arial" w:hAnsi="Arial" w:cs="Arial"/>
          <w:sz w:val="24"/>
          <w:szCs w:val="24"/>
        </w:rPr>
        <w:t xml:space="preserve">Mol) was added to each well and continued to incubate in the incubator for 2h. The absorbance was measured at 450 nm by a microplate reader (Bio-Rad). The cell viability </w:t>
      </w:r>
      <w:r w:rsidRPr="00202F82">
        <w:rPr>
          <w:rFonts w:ascii="Arial" w:hAnsi="Arial" w:cs="Arial"/>
          <w:sz w:val="24"/>
          <w:szCs w:val="24"/>
        </w:rPr>
        <w:lastRenderedPageBreak/>
        <w:t>was calculated by the absorbance.</w:t>
      </w:r>
    </w:p>
    <w:p w14:paraId="01C3491E" w14:textId="53523B63" w:rsidR="006315BD" w:rsidRPr="006315BD" w:rsidRDefault="006315BD" w:rsidP="00CD05FB">
      <w:pPr>
        <w:spacing w:line="480" w:lineRule="auto"/>
        <w:rPr>
          <w:rFonts w:ascii="Arial" w:hAnsi="Arial" w:cs="Arial"/>
          <w:sz w:val="24"/>
          <w:szCs w:val="24"/>
        </w:rPr>
      </w:pPr>
      <w:r w:rsidRPr="00202F82">
        <w:rPr>
          <w:rFonts w:ascii="Arial" w:hAnsi="Arial" w:cs="Arial"/>
          <w:b/>
          <w:bCs/>
          <w:sz w:val="24"/>
          <w:szCs w:val="24"/>
        </w:rPr>
        <w:t xml:space="preserve">Detection of the efficiency of </w:t>
      </w:r>
      <w:r>
        <w:rPr>
          <w:rFonts w:ascii="Arial" w:hAnsi="Arial" w:cs="Arial"/>
          <w:b/>
          <w:bCs/>
          <w:sz w:val="24"/>
          <w:szCs w:val="24"/>
        </w:rPr>
        <w:t>P-CDs</w:t>
      </w:r>
      <w:r w:rsidRPr="00202F82">
        <w:rPr>
          <w:rFonts w:ascii="Arial" w:hAnsi="Arial" w:cs="Arial"/>
          <w:b/>
          <w:bCs/>
          <w:sz w:val="24"/>
          <w:szCs w:val="24"/>
        </w:rPr>
        <w:t xml:space="preserve"> entry cells. </w:t>
      </w:r>
      <w:r w:rsidRPr="00202F82">
        <w:rPr>
          <w:rFonts w:ascii="Arial" w:hAnsi="Arial" w:cs="Arial"/>
          <w:sz w:val="24"/>
          <w:szCs w:val="24"/>
        </w:rPr>
        <w:t xml:space="preserve">PC12 cells were inoculated in confocal dishes and incubated with </w:t>
      </w:r>
      <w:r>
        <w:rPr>
          <w:rFonts w:ascii="Arial" w:hAnsi="Arial" w:cs="Arial"/>
          <w:sz w:val="24"/>
          <w:szCs w:val="24"/>
        </w:rPr>
        <w:t>P-CDs</w:t>
      </w:r>
      <w:r w:rsidRPr="00202F82">
        <w:rPr>
          <w:rFonts w:ascii="Arial" w:hAnsi="Arial" w:cs="Arial"/>
          <w:sz w:val="24"/>
          <w:szCs w:val="24"/>
        </w:rPr>
        <w:t xml:space="preserve">. The distribution of </w:t>
      </w:r>
      <w:r>
        <w:rPr>
          <w:rFonts w:ascii="Arial" w:hAnsi="Arial" w:cs="Arial"/>
          <w:sz w:val="24"/>
          <w:szCs w:val="24"/>
        </w:rPr>
        <w:t>P-CDs</w:t>
      </w:r>
      <w:r w:rsidRPr="00202F82">
        <w:rPr>
          <w:rFonts w:ascii="Arial" w:hAnsi="Arial" w:cs="Arial"/>
          <w:sz w:val="24"/>
          <w:szCs w:val="24"/>
        </w:rPr>
        <w:t xml:space="preserve"> in the cells was observed by confocal microscopy (ZEISS LSM980).</w:t>
      </w:r>
    </w:p>
    <w:p w14:paraId="31A28353" w14:textId="77777777" w:rsidR="006601D4" w:rsidRDefault="006601D4" w:rsidP="00CD05FB">
      <w:pPr>
        <w:spacing w:line="480" w:lineRule="auto"/>
        <w:rPr>
          <w:rFonts w:ascii="Arial" w:hAnsi="Arial" w:cs="Arial"/>
          <w:b/>
          <w:bCs/>
          <w:sz w:val="24"/>
          <w:szCs w:val="24"/>
        </w:rPr>
      </w:pPr>
      <w:r w:rsidRPr="00202F82">
        <w:rPr>
          <w:rFonts w:ascii="Arial" w:hAnsi="Arial" w:cs="Arial"/>
          <w:b/>
          <w:bCs/>
          <w:sz w:val="24"/>
          <w:szCs w:val="24"/>
        </w:rPr>
        <w:t xml:space="preserve">Calcein/PI Staining. </w:t>
      </w:r>
    </w:p>
    <w:p w14:paraId="125951C2" w14:textId="1DCFFC16" w:rsidR="006601D4" w:rsidRDefault="006601D4" w:rsidP="00CD05FB">
      <w:pPr>
        <w:spacing w:line="480" w:lineRule="auto"/>
        <w:rPr>
          <w:rFonts w:ascii="Arial" w:hAnsi="Arial" w:cs="Arial"/>
          <w:sz w:val="24"/>
          <w:szCs w:val="24"/>
        </w:rPr>
      </w:pPr>
      <w:r w:rsidRPr="00202F82">
        <w:rPr>
          <w:rFonts w:ascii="Arial" w:hAnsi="Arial" w:cs="Arial"/>
          <w:sz w:val="24"/>
          <w:szCs w:val="24"/>
        </w:rPr>
        <w:t>The Calcein/PI Cell Viability/Cytotoxicity Assay Kit (C2015S, Beyotime) was used to detect cell viability. Living cells were stained with Calcein AM and showed green fluorescence, while dead cells were stained with Propidium Iodide (PI) and showed red fluorescence. PC12 cells were treated with α-syn PFFs (5 μg/mL) in the absence and presence of different concentrations of P-CDs for 24 h. The cells were stained with a Calcein/PI Cell Viability/CytotoxicityAssay Kit, following the manufacturers’ instructions. Representative images were captured by fluorescence microscopy. Fluorescence intensity was quantified using Image</w:t>
      </w:r>
      <w:r>
        <w:rPr>
          <w:rFonts w:ascii="Arial" w:hAnsi="Arial" w:cs="Arial" w:hint="eastAsia"/>
          <w:sz w:val="24"/>
          <w:szCs w:val="24"/>
        </w:rPr>
        <w:t xml:space="preserve"> </w:t>
      </w:r>
      <w:r w:rsidRPr="00202F82">
        <w:rPr>
          <w:rFonts w:ascii="Arial" w:hAnsi="Arial" w:cs="Arial"/>
          <w:sz w:val="24"/>
          <w:szCs w:val="24"/>
        </w:rPr>
        <w:t>J software.</w:t>
      </w:r>
    </w:p>
    <w:p w14:paraId="17D80A3D" w14:textId="4A15736A" w:rsidR="00AA4978" w:rsidRPr="00AA4978" w:rsidRDefault="00AA4978" w:rsidP="00CD05FB">
      <w:pPr>
        <w:spacing w:line="480" w:lineRule="auto"/>
        <w:rPr>
          <w:rFonts w:ascii="Arial" w:hAnsi="Arial" w:cs="Arial"/>
          <w:b/>
          <w:bCs/>
          <w:sz w:val="24"/>
          <w:szCs w:val="24"/>
        </w:rPr>
      </w:pPr>
      <w:r w:rsidRPr="00AA4978">
        <w:rPr>
          <w:rFonts w:ascii="Arial" w:hAnsi="Arial" w:cs="Arial"/>
          <w:b/>
          <w:bCs/>
          <w:sz w:val="24"/>
          <w:szCs w:val="24"/>
        </w:rPr>
        <w:t xml:space="preserve">Mitochondrial membrane potential measurement. </w:t>
      </w:r>
      <w:r w:rsidRPr="00AA4978">
        <w:rPr>
          <w:rFonts w:ascii="Arial" w:hAnsi="Arial" w:cs="Arial"/>
          <w:sz w:val="24"/>
          <w:szCs w:val="24"/>
        </w:rPr>
        <w:t xml:space="preserve">JC-1 (C2003S, Beyotime) is an ideal fluorescent probe for detecting ∆Ψm of mitochondrial membrane potential. PC12 cells were plated on 6-well plate and cultured for 24 h to ensure full stretch. The cells were treated with α-syn PFFs (5 μg/mL) in the absence and presence of different concentrations of P-CDs for 24 h. The cells were stained with JC-1 solution for 20 min. After incubation, fluorescence intensity values were captured using a fluorescence microscopy and quantified using ImageJ software, as a measure of mitochondrial membrane potential based on </w:t>
      </w:r>
      <w:r w:rsidRPr="00AA4978">
        <w:rPr>
          <w:rFonts w:ascii="Arial" w:hAnsi="Arial" w:cs="Arial"/>
          <w:sz w:val="24"/>
          <w:szCs w:val="24"/>
        </w:rPr>
        <w:lastRenderedPageBreak/>
        <w:t>the ratio of JC-1 aggregates (red) to monomers (green).</w:t>
      </w:r>
    </w:p>
    <w:p w14:paraId="3C431AEC" w14:textId="77777777" w:rsidR="006601D4" w:rsidRDefault="006601D4" w:rsidP="00CD05FB">
      <w:pPr>
        <w:spacing w:line="480" w:lineRule="auto"/>
        <w:rPr>
          <w:rFonts w:ascii="Arial" w:hAnsi="Arial" w:cs="Arial"/>
          <w:b/>
          <w:bCs/>
          <w:sz w:val="24"/>
          <w:szCs w:val="24"/>
        </w:rPr>
      </w:pPr>
      <w:r w:rsidRPr="00202F82">
        <w:rPr>
          <w:rFonts w:ascii="Arial" w:hAnsi="Arial" w:cs="Arial"/>
          <w:b/>
          <w:bCs/>
          <w:sz w:val="24"/>
          <w:szCs w:val="24"/>
        </w:rPr>
        <w:t xml:space="preserve">Western blot. </w:t>
      </w:r>
    </w:p>
    <w:p w14:paraId="5F53CAF9" w14:textId="06B72CEC" w:rsidR="006601D4" w:rsidRDefault="006601D4" w:rsidP="00CD05FB">
      <w:pPr>
        <w:spacing w:line="480" w:lineRule="auto"/>
        <w:rPr>
          <w:rFonts w:ascii="Arial" w:hAnsi="Arial" w:cs="Arial"/>
          <w:sz w:val="24"/>
          <w:szCs w:val="24"/>
        </w:rPr>
      </w:pPr>
      <w:r w:rsidRPr="00202F82">
        <w:rPr>
          <w:rFonts w:ascii="Arial" w:hAnsi="Arial" w:cs="Arial"/>
          <w:sz w:val="24"/>
          <w:szCs w:val="24"/>
        </w:rPr>
        <w:t>Cells and brain tissue samples were lysed using RIPA buffer containing PMSF,</w:t>
      </w:r>
      <w:r w:rsidRPr="00202F82">
        <w:rPr>
          <w:rFonts w:ascii="Arial" w:hAnsi="Arial" w:cs="Arial"/>
        </w:rPr>
        <w:t xml:space="preserve"> </w:t>
      </w:r>
      <w:r w:rsidRPr="00202F82">
        <w:rPr>
          <w:rFonts w:ascii="Arial" w:hAnsi="Arial" w:cs="Arial"/>
          <w:sz w:val="24"/>
          <w:szCs w:val="24"/>
        </w:rPr>
        <w:t>phosphatase inhibitor, and protease inhibitor.</w:t>
      </w:r>
      <w:r w:rsidRPr="00202F82">
        <w:rPr>
          <w:rFonts w:ascii="Arial" w:hAnsi="Arial" w:cs="Arial"/>
        </w:rPr>
        <w:t xml:space="preserve"> </w:t>
      </w:r>
      <w:r w:rsidRPr="00202F82">
        <w:rPr>
          <w:rFonts w:ascii="Arial" w:hAnsi="Arial" w:cs="Arial"/>
          <w:sz w:val="24"/>
          <w:szCs w:val="24"/>
        </w:rPr>
        <w:t>Total protein was quantified with a BCA</w:t>
      </w:r>
      <w:r w:rsidRPr="00202F82">
        <w:rPr>
          <w:rFonts w:ascii="Arial" w:hAnsi="Arial" w:cs="Arial"/>
        </w:rPr>
        <w:t xml:space="preserve"> </w:t>
      </w:r>
      <w:r w:rsidRPr="00202F82">
        <w:rPr>
          <w:rFonts w:ascii="Arial" w:hAnsi="Arial" w:cs="Arial"/>
          <w:sz w:val="24"/>
          <w:szCs w:val="24"/>
        </w:rPr>
        <w:t>Protein Assay Kit (P0012, Beyotime) and adjusted to a consistent concentration. The protein samples (20 μg) were separated by electrophoresis on 10% or 15% sodium dodecyl sulfate-polyacrylamide gels, and then transferred onto PVDF</w:t>
      </w:r>
      <w:r w:rsidRPr="00202F82">
        <w:rPr>
          <w:rFonts w:ascii="Arial" w:hAnsi="Arial" w:cs="Arial"/>
        </w:rPr>
        <w:t xml:space="preserve"> </w:t>
      </w:r>
      <w:r w:rsidRPr="00202F82">
        <w:rPr>
          <w:rFonts w:ascii="Arial" w:hAnsi="Arial" w:cs="Arial"/>
          <w:sz w:val="24"/>
          <w:szCs w:val="24"/>
        </w:rPr>
        <w:t>membrane (Merck Millipore, Billerica, MA, USA). The PVDF membranes were then blocked with 5%</w:t>
      </w:r>
      <w:r w:rsidRPr="00202F82">
        <w:rPr>
          <w:rFonts w:ascii="Arial" w:hAnsi="Arial" w:cs="Arial"/>
        </w:rPr>
        <w:t xml:space="preserve"> </w:t>
      </w:r>
      <w:r w:rsidRPr="00202F82">
        <w:rPr>
          <w:rFonts w:ascii="Arial" w:hAnsi="Arial" w:cs="Arial"/>
          <w:sz w:val="24"/>
          <w:szCs w:val="24"/>
        </w:rPr>
        <w:t>bovine serum albumin solution for one hour at room temperature. The PVDF membranes were then incubated overnight at 4°C with primary antibody: Anti-Bax antibody (Cat. #2772, 1:1000, CST), Anti-Bcl-2 antibody (Cat. #3498, 1:1000, CST), Anti-Cleaved Caspase-3 antibody (Cat. #9664,1:1000, CST), Anti-GAPDH antibody (Cat. #2118, 1:1000, CST),</w:t>
      </w:r>
      <w:r w:rsidRPr="00202F82">
        <w:rPr>
          <w:rFonts w:ascii="Arial" w:hAnsi="Arial" w:cs="Arial"/>
        </w:rPr>
        <w:t xml:space="preserve"> </w:t>
      </w:r>
      <w:r w:rsidRPr="00202F82">
        <w:rPr>
          <w:rFonts w:ascii="Arial" w:hAnsi="Arial" w:cs="Arial"/>
          <w:sz w:val="24"/>
          <w:szCs w:val="24"/>
        </w:rPr>
        <w:t xml:space="preserve">Anti-Alpha-synuclein antibody (ab212184, 1:1000, abcam), </w:t>
      </w:r>
      <w:r>
        <w:rPr>
          <w:rFonts w:ascii="Arial" w:hAnsi="Arial" w:cs="Arial" w:hint="eastAsia"/>
          <w:sz w:val="24"/>
          <w:szCs w:val="24"/>
        </w:rPr>
        <w:t>a</w:t>
      </w:r>
      <w:r w:rsidRPr="00202F82">
        <w:rPr>
          <w:rFonts w:ascii="Arial" w:hAnsi="Arial" w:cs="Arial"/>
          <w:sz w:val="24"/>
          <w:szCs w:val="24"/>
        </w:rPr>
        <w:t>nti-Tyrosine Hydroxylase antibody (ab137869, 1:1000, abcam), Anti-Alpha-synuclein (phospho S129)</w:t>
      </w:r>
      <w:r w:rsidRPr="00202F82">
        <w:rPr>
          <w:rFonts w:ascii="Arial" w:hAnsi="Arial" w:cs="Arial"/>
        </w:rPr>
        <w:t xml:space="preserve"> </w:t>
      </w:r>
      <w:r w:rsidRPr="00202F82">
        <w:rPr>
          <w:rFonts w:ascii="Arial" w:hAnsi="Arial" w:cs="Arial"/>
          <w:sz w:val="24"/>
          <w:szCs w:val="24"/>
        </w:rPr>
        <w:t>antibody (ab51253, 1:1000, abcam). The PVDF membranes were washed three times with TBST for 5 minutes each time, and then incubated with secondary antibody. The target protein signal was detected by enhanced chemiluminescence (ECL) solution (cat. no. 180-5001, Tanon™). The gray value was analyzed with Image J.</w:t>
      </w:r>
    </w:p>
    <w:p w14:paraId="61F0A65B" w14:textId="77777777" w:rsidR="00E17258" w:rsidRPr="00202F82" w:rsidRDefault="00E17258" w:rsidP="00CD05FB">
      <w:pPr>
        <w:spacing w:line="480" w:lineRule="auto"/>
        <w:rPr>
          <w:rFonts w:ascii="Arial" w:hAnsi="Arial" w:cs="Arial"/>
          <w:sz w:val="24"/>
          <w:szCs w:val="24"/>
        </w:rPr>
      </w:pPr>
      <w:r w:rsidRPr="00202F82">
        <w:rPr>
          <w:rFonts w:ascii="Arial" w:hAnsi="Arial" w:cs="Arial"/>
          <w:b/>
          <w:bCs/>
          <w:sz w:val="24"/>
          <w:szCs w:val="24"/>
        </w:rPr>
        <w:t xml:space="preserve">Immunofluorescence staining. </w:t>
      </w:r>
      <w:r w:rsidRPr="00202F82">
        <w:rPr>
          <w:rFonts w:ascii="Arial" w:hAnsi="Arial" w:cs="Arial"/>
          <w:sz w:val="24"/>
          <w:szCs w:val="24"/>
        </w:rPr>
        <w:t>The cells or brain sections from mice were fixed in 4</w:t>
      </w:r>
      <w:r>
        <w:rPr>
          <w:rFonts w:ascii="Arial" w:hAnsi="Arial" w:cs="Arial" w:hint="eastAsia"/>
          <w:sz w:val="24"/>
          <w:szCs w:val="24"/>
        </w:rPr>
        <w:t xml:space="preserve"> </w:t>
      </w:r>
      <w:r w:rsidRPr="00202F82">
        <w:rPr>
          <w:rFonts w:ascii="Arial" w:hAnsi="Arial" w:cs="Arial"/>
          <w:sz w:val="24"/>
          <w:szCs w:val="24"/>
        </w:rPr>
        <w:t xml:space="preserve">% PFA for 15 min at room temperature, and then washed three times </w:t>
      </w:r>
      <w:r w:rsidRPr="00202F82">
        <w:rPr>
          <w:rFonts w:ascii="Arial" w:hAnsi="Arial" w:cs="Arial"/>
          <w:sz w:val="24"/>
          <w:szCs w:val="24"/>
        </w:rPr>
        <w:lastRenderedPageBreak/>
        <w:t>with PBS buffer. The cells or brain sections were permeabilized in PBS with 0.3</w:t>
      </w:r>
      <w:r>
        <w:rPr>
          <w:rFonts w:ascii="Arial" w:hAnsi="Arial" w:cs="Arial" w:hint="eastAsia"/>
          <w:sz w:val="24"/>
          <w:szCs w:val="24"/>
        </w:rPr>
        <w:t xml:space="preserve"> </w:t>
      </w:r>
      <w:r w:rsidRPr="00202F82">
        <w:rPr>
          <w:rFonts w:ascii="Arial" w:hAnsi="Arial" w:cs="Arial"/>
          <w:sz w:val="24"/>
          <w:szCs w:val="24"/>
        </w:rPr>
        <w:t>% Triton X-100 for 20 min, and then blocked with 5</w:t>
      </w:r>
      <w:r>
        <w:rPr>
          <w:rFonts w:ascii="Arial" w:hAnsi="Arial" w:cs="Arial" w:hint="eastAsia"/>
          <w:sz w:val="24"/>
          <w:szCs w:val="24"/>
        </w:rPr>
        <w:t xml:space="preserve"> </w:t>
      </w:r>
      <w:r w:rsidRPr="00202F82">
        <w:rPr>
          <w:rFonts w:ascii="Arial" w:hAnsi="Arial" w:cs="Arial"/>
          <w:sz w:val="24"/>
          <w:szCs w:val="24"/>
        </w:rPr>
        <w:t>% bovine serum albumin and 5</w:t>
      </w:r>
      <w:r>
        <w:rPr>
          <w:rFonts w:ascii="Arial" w:hAnsi="Arial" w:cs="Arial" w:hint="eastAsia"/>
          <w:sz w:val="24"/>
          <w:szCs w:val="24"/>
        </w:rPr>
        <w:t xml:space="preserve"> </w:t>
      </w:r>
      <w:r w:rsidRPr="00202F82">
        <w:rPr>
          <w:rFonts w:ascii="Arial" w:hAnsi="Arial" w:cs="Arial"/>
          <w:sz w:val="24"/>
          <w:szCs w:val="24"/>
        </w:rPr>
        <w:t>% normal goat serum for 2 h</w:t>
      </w:r>
      <w:r w:rsidRPr="00202F82">
        <w:rPr>
          <w:rFonts w:ascii="Arial" w:hAnsi="Arial" w:cs="Arial"/>
        </w:rPr>
        <w:t xml:space="preserve"> </w:t>
      </w:r>
      <w:r w:rsidRPr="00202F82">
        <w:rPr>
          <w:rFonts w:ascii="Arial" w:hAnsi="Arial" w:cs="Arial"/>
          <w:sz w:val="24"/>
          <w:szCs w:val="24"/>
        </w:rPr>
        <w:t>at room temperature. The cells or brain sections were incubated for 24 h at 4</w:t>
      </w:r>
      <w:r>
        <w:rPr>
          <w:rFonts w:ascii="Arial" w:hAnsi="Arial" w:cs="Arial" w:hint="eastAsia"/>
          <w:sz w:val="24"/>
          <w:szCs w:val="24"/>
        </w:rPr>
        <w:t xml:space="preserve"> </w:t>
      </w:r>
      <w:r w:rsidRPr="00202F82">
        <w:rPr>
          <w:rFonts w:ascii="Arial" w:hAnsi="Arial" w:cs="Arial"/>
          <w:sz w:val="24"/>
          <w:szCs w:val="24"/>
        </w:rPr>
        <w:t>°C with primary antibody: Anti-Alpha-synuclein (phospho S129) (ab51253, 1:500, abcam), Anti-Tyrosine Hydroxylase antibody (GTX10372, 1:500, GeneTex). Cell or tissue samples were washed three times with PBS and then incubated with Alexa Fluor® 488/594 secondary antibody (ab150077 and ab150116) for 2 h at 4</w:t>
      </w:r>
      <w:r>
        <w:rPr>
          <w:rFonts w:ascii="Arial" w:hAnsi="Arial" w:cs="Arial" w:hint="eastAsia"/>
          <w:sz w:val="24"/>
          <w:szCs w:val="24"/>
        </w:rPr>
        <w:t xml:space="preserve"> </w:t>
      </w:r>
      <w:r w:rsidRPr="00202F82">
        <w:rPr>
          <w:rFonts w:ascii="Arial" w:hAnsi="Arial" w:cs="Arial"/>
          <w:sz w:val="24"/>
          <w:szCs w:val="24"/>
        </w:rPr>
        <w:t>°C, followed by staining with Hoechst 33342 to visualize the nuclei for 10 minutes.</w:t>
      </w:r>
      <w:r w:rsidRPr="00202F82">
        <w:rPr>
          <w:rFonts w:ascii="Arial" w:hAnsi="Arial" w:cs="Arial"/>
        </w:rPr>
        <w:t xml:space="preserve"> </w:t>
      </w:r>
      <w:r w:rsidRPr="00202F82">
        <w:rPr>
          <w:rFonts w:ascii="Arial" w:hAnsi="Arial" w:cs="Arial"/>
          <w:sz w:val="24"/>
          <w:szCs w:val="24"/>
        </w:rPr>
        <w:t>Representative images were taken by confocal microscopy (ZEISS LSM980).</w:t>
      </w:r>
    </w:p>
    <w:p w14:paraId="18251704" w14:textId="1AACF7FF" w:rsidR="00E17258" w:rsidRDefault="00C81CA1" w:rsidP="00CD05FB">
      <w:pPr>
        <w:spacing w:line="480" w:lineRule="auto"/>
        <w:rPr>
          <w:rFonts w:ascii="Arial" w:hAnsi="Arial" w:cs="Arial"/>
          <w:sz w:val="24"/>
          <w:szCs w:val="24"/>
        </w:rPr>
      </w:pPr>
      <w:r>
        <w:rPr>
          <w:rFonts w:ascii="Arial" w:hAnsi="Arial" w:cs="Arial"/>
          <w:b/>
          <w:bCs/>
          <w:sz w:val="24"/>
          <w:szCs w:val="24"/>
        </w:rPr>
        <w:t>TEM imaging.</w:t>
      </w:r>
      <w:r>
        <w:rPr>
          <w:rFonts w:ascii="Arial" w:hAnsi="Arial" w:cs="Arial"/>
          <w:sz w:val="24"/>
          <w:szCs w:val="24"/>
        </w:rPr>
        <w:t xml:space="preserve"> The α-syn fibrils were diluted with PBS (1:10), and then added to glow discharge grids (EMCN, 400 mesh carbon-coated copper grids) for 1 min, and carefully washed twice with Tris-HCl (50 mM, pH 7.4). The</w:t>
      </w:r>
      <w:r>
        <w:rPr>
          <w:rFonts w:ascii="Arial" w:hAnsi="Arial" w:cs="Arial"/>
        </w:rPr>
        <w:t xml:space="preserve"> </w:t>
      </w:r>
      <w:r>
        <w:rPr>
          <w:rFonts w:ascii="Arial" w:hAnsi="Arial" w:cs="Arial"/>
          <w:sz w:val="24"/>
          <w:szCs w:val="24"/>
        </w:rPr>
        <w:t xml:space="preserve">grids were stained with 1 drop of 0.75 % uranyl </w:t>
      </w:r>
      <w:proofErr w:type="spellStart"/>
      <w:r>
        <w:rPr>
          <w:rFonts w:ascii="Arial" w:hAnsi="Arial" w:cs="Arial"/>
          <w:sz w:val="24"/>
          <w:szCs w:val="24"/>
        </w:rPr>
        <w:t>formate</w:t>
      </w:r>
      <w:proofErr w:type="spellEnd"/>
      <w:r>
        <w:rPr>
          <w:rFonts w:ascii="Arial" w:hAnsi="Arial" w:cs="Arial"/>
          <w:sz w:val="24"/>
          <w:szCs w:val="24"/>
        </w:rPr>
        <w:t xml:space="preserve"> for 1 minute. After the</w:t>
      </w:r>
      <w:r>
        <w:rPr>
          <w:rFonts w:ascii="Arial" w:hAnsi="Arial" w:cs="Arial"/>
        </w:rPr>
        <w:t xml:space="preserve"> </w:t>
      </w:r>
      <w:r>
        <w:rPr>
          <w:rFonts w:ascii="Arial" w:hAnsi="Arial" w:cs="Arial"/>
          <w:sz w:val="24"/>
          <w:szCs w:val="24"/>
        </w:rPr>
        <w:t>grids were naturally dried, the images were observed by transmission electron microscopy (Talos™ F200i TEM).</w:t>
      </w:r>
    </w:p>
    <w:p w14:paraId="3B9929C3" w14:textId="77777777" w:rsidR="00D17E60" w:rsidRDefault="00D17E60" w:rsidP="00CD05FB">
      <w:pPr>
        <w:spacing w:line="480" w:lineRule="auto"/>
        <w:rPr>
          <w:rFonts w:ascii="Arial" w:hAnsi="Arial" w:cs="Arial"/>
          <w:sz w:val="24"/>
          <w:szCs w:val="24"/>
        </w:rPr>
      </w:pPr>
    </w:p>
    <w:p w14:paraId="2B31DBF3" w14:textId="77777777" w:rsidR="00D17E60" w:rsidRDefault="00D17E60" w:rsidP="00CD05FB">
      <w:pPr>
        <w:spacing w:line="480" w:lineRule="auto"/>
        <w:rPr>
          <w:rFonts w:ascii="Arial" w:hAnsi="Arial" w:cs="Arial"/>
          <w:sz w:val="24"/>
          <w:szCs w:val="24"/>
        </w:rPr>
      </w:pPr>
    </w:p>
    <w:p w14:paraId="65DDE5DE" w14:textId="77777777" w:rsidR="00D17E60" w:rsidRDefault="00D17E60" w:rsidP="00CD05FB">
      <w:pPr>
        <w:spacing w:line="480" w:lineRule="auto"/>
        <w:rPr>
          <w:rFonts w:ascii="Arial" w:hAnsi="Arial" w:cs="Arial"/>
          <w:sz w:val="24"/>
          <w:szCs w:val="24"/>
        </w:rPr>
      </w:pPr>
    </w:p>
    <w:p w14:paraId="7E2DA298" w14:textId="77777777" w:rsidR="00D17E60" w:rsidRDefault="00D17E60" w:rsidP="00CD05FB">
      <w:pPr>
        <w:spacing w:line="480" w:lineRule="auto"/>
        <w:rPr>
          <w:rFonts w:ascii="Arial" w:hAnsi="Arial" w:cs="Arial"/>
          <w:sz w:val="24"/>
          <w:szCs w:val="24"/>
        </w:rPr>
      </w:pPr>
    </w:p>
    <w:p w14:paraId="642EDF58" w14:textId="77777777" w:rsidR="00D17E60" w:rsidRDefault="00D17E60" w:rsidP="00CD05FB">
      <w:pPr>
        <w:spacing w:line="480" w:lineRule="auto"/>
        <w:rPr>
          <w:rFonts w:ascii="Arial" w:hAnsi="Arial" w:cs="Arial"/>
          <w:sz w:val="24"/>
          <w:szCs w:val="24"/>
        </w:rPr>
      </w:pPr>
    </w:p>
    <w:p w14:paraId="7A7D5849" w14:textId="77777777" w:rsidR="00D17E60" w:rsidRPr="00C81CA1" w:rsidRDefault="00D17E60" w:rsidP="00CD05FB">
      <w:pPr>
        <w:spacing w:line="480" w:lineRule="auto"/>
        <w:rPr>
          <w:rFonts w:ascii="Arial" w:hAnsi="Arial" w:cs="Arial" w:hint="eastAsia"/>
          <w:sz w:val="24"/>
          <w:szCs w:val="24"/>
        </w:rPr>
      </w:pPr>
    </w:p>
    <w:p w14:paraId="13575A20" w14:textId="78B2B90A" w:rsidR="00A14A14" w:rsidRPr="00CD05FB" w:rsidRDefault="00B0146A" w:rsidP="00CD05FB">
      <w:pPr>
        <w:spacing w:line="480" w:lineRule="auto"/>
        <w:rPr>
          <w:rFonts w:ascii="Arial" w:hAnsi="Arial" w:cs="Arial"/>
          <w:b/>
          <w:bCs/>
          <w:sz w:val="28"/>
          <w:szCs w:val="28"/>
        </w:rPr>
      </w:pPr>
      <w:r w:rsidRPr="00B0146A">
        <w:rPr>
          <w:rFonts w:ascii="Arial" w:hAnsi="Arial" w:cs="Arial" w:hint="eastAsia"/>
          <w:b/>
          <w:bCs/>
          <w:sz w:val="28"/>
          <w:szCs w:val="28"/>
        </w:rPr>
        <w:lastRenderedPageBreak/>
        <w:t>Supplementary Figures</w:t>
      </w:r>
    </w:p>
    <w:p w14:paraId="54EA837C" w14:textId="78F2BD5C" w:rsidR="003E7009" w:rsidRDefault="00C04CCB" w:rsidP="00CD05FB">
      <w:pPr>
        <w:spacing w:line="480" w:lineRule="auto"/>
        <w:rPr>
          <w:rFonts w:ascii="Arial" w:hAnsi="Arial" w:cs="Arial"/>
          <w:b/>
          <w:bCs/>
          <w:sz w:val="28"/>
          <w:szCs w:val="28"/>
        </w:rPr>
      </w:pPr>
      <w:r>
        <w:rPr>
          <w:noProof/>
        </w:rPr>
        <w:drawing>
          <wp:inline distT="0" distB="0" distL="0" distR="0" wp14:anchorId="5C4FB97B" wp14:editId="252AB703">
            <wp:extent cx="5200650" cy="2919413"/>
            <wp:effectExtent l="0" t="0" r="0" b="0"/>
            <wp:docPr id="15932273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27308"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l="2431" r="2431"/>
                    <a:stretch>
                      <a:fillRect/>
                    </a:stretch>
                  </pic:blipFill>
                  <pic:spPr bwMode="auto">
                    <a:xfrm>
                      <a:off x="0" y="0"/>
                      <a:ext cx="5200650" cy="2919413"/>
                    </a:xfrm>
                    <a:prstGeom prst="rect">
                      <a:avLst/>
                    </a:prstGeom>
                    <a:noFill/>
                    <a:ln>
                      <a:noFill/>
                    </a:ln>
                    <a:extLst>
                      <a:ext uri="{53640926-AAD7-44D8-BBD7-CCE9431645EC}">
                        <a14:shadowObscured xmlns:a14="http://schemas.microsoft.com/office/drawing/2010/main"/>
                      </a:ext>
                    </a:extLst>
                  </pic:spPr>
                </pic:pic>
              </a:graphicData>
            </a:graphic>
          </wp:inline>
        </w:drawing>
      </w:r>
    </w:p>
    <w:p w14:paraId="5E8C6A40" w14:textId="42F0886E" w:rsidR="00A14A14" w:rsidRPr="00CD05FB" w:rsidRDefault="00A14A14" w:rsidP="00CD05FB">
      <w:pPr>
        <w:spacing w:line="480" w:lineRule="auto"/>
        <w:rPr>
          <w:rFonts w:ascii="Arial" w:hAnsi="Arial" w:cs="Arial"/>
          <w:sz w:val="24"/>
          <w:szCs w:val="24"/>
        </w:rPr>
      </w:pPr>
      <w:r w:rsidRPr="00FF590C">
        <w:rPr>
          <w:rFonts w:ascii="Arial" w:hAnsi="Arial" w:cs="Arial"/>
          <w:sz w:val="24"/>
          <w:szCs w:val="24"/>
        </w:rPr>
        <w:t xml:space="preserve">Figure S1. </w:t>
      </w:r>
      <w:bookmarkStart w:id="2" w:name="_Hlk205911977"/>
      <w:r w:rsidRPr="00FF590C">
        <w:rPr>
          <w:rFonts w:ascii="Arial" w:hAnsi="Arial" w:cs="Arial"/>
          <w:sz w:val="24"/>
          <w:szCs w:val="24"/>
        </w:rPr>
        <w:t>Cellular uptake of P-CDs</w:t>
      </w:r>
      <w:bookmarkEnd w:id="2"/>
      <w:r w:rsidRPr="00FF590C">
        <w:rPr>
          <w:rFonts w:ascii="Arial" w:hAnsi="Arial" w:cs="Arial"/>
          <w:sz w:val="24"/>
          <w:szCs w:val="24"/>
        </w:rPr>
        <w:t xml:space="preserve">. Laser confocal scanning microscopy images of PC-12 cells incubated with P-CDs for 1 hour and imaged under 405 nm. Scale bar: 20 </w:t>
      </w:r>
      <w:proofErr w:type="spellStart"/>
      <w:r w:rsidRPr="00FF590C">
        <w:rPr>
          <w:rFonts w:ascii="Arial" w:hAnsi="Arial" w:cs="Arial"/>
          <w:sz w:val="24"/>
          <w:szCs w:val="24"/>
        </w:rPr>
        <w:t>μm</w:t>
      </w:r>
      <w:proofErr w:type="spellEnd"/>
      <w:r w:rsidRPr="00FF590C">
        <w:rPr>
          <w:rFonts w:ascii="Arial" w:hAnsi="Arial" w:cs="Arial"/>
          <w:sz w:val="24"/>
          <w:szCs w:val="24"/>
        </w:rPr>
        <w:t>.</w:t>
      </w:r>
    </w:p>
    <w:p w14:paraId="7BB7533B" w14:textId="70ECF50E" w:rsidR="00A14A14" w:rsidRDefault="00A14A14" w:rsidP="00CD05FB">
      <w:pPr>
        <w:spacing w:line="480" w:lineRule="auto"/>
        <w:rPr>
          <w:rFonts w:ascii="Arial" w:hAnsi="Arial" w:cs="Arial"/>
          <w:b/>
          <w:bCs/>
          <w:sz w:val="28"/>
          <w:szCs w:val="28"/>
        </w:rPr>
      </w:pPr>
      <w:r>
        <w:rPr>
          <w:noProof/>
        </w:rPr>
        <w:drawing>
          <wp:inline distT="0" distB="0" distL="0" distR="0" wp14:anchorId="4D82186A" wp14:editId="7188B8E9">
            <wp:extent cx="5274310" cy="1665885"/>
            <wp:effectExtent l="0" t="0" r="2540" b="0"/>
            <wp:docPr id="8655514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51405" name="图片 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274310" cy="1665885"/>
                    </a:xfrm>
                    <a:prstGeom prst="rect">
                      <a:avLst/>
                    </a:prstGeom>
                    <a:noFill/>
                    <a:ln>
                      <a:noFill/>
                    </a:ln>
                  </pic:spPr>
                </pic:pic>
              </a:graphicData>
            </a:graphic>
          </wp:inline>
        </w:drawing>
      </w:r>
    </w:p>
    <w:p w14:paraId="40B10C1E" w14:textId="20AEAFDE" w:rsidR="00A14A14" w:rsidRDefault="00A14A14" w:rsidP="00CD05FB">
      <w:pPr>
        <w:spacing w:line="480" w:lineRule="auto"/>
        <w:rPr>
          <w:rFonts w:ascii="Arial" w:hAnsi="Arial" w:cs="Arial"/>
          <w:sz w:val="24"/>
          <w:szCs w:val="24"/>
        </w:rPr>
      </w:pPr>
      <w:r>
        <w:rPr>
          <w:rFonts w:ascii="Arial" w:hAnsi="Arial" w:cs="Arial" w:hint="eastAsia"/>
          <w:sz w:val="24"/>
          <w:szCs w:val="24"/>
        </w:rPr>
        <w:t xml:space="preserve">Figure S2. </w:t>
      </w:r>
      <w:bookmarkStart w:id="3" w:name="_Hlk205911993"/>
      <w:r w:rsidRPr="00E00F7D">
        <w:rPr>
          <w:rFonts w:ascii="Arial" w:hAnsi="Arial" w:cs="Arial" w:hint="eastAsia"/>
          <w:sz w:val="24"/>
          <w:szCs w:val="24"/>
        </w:rPr>
        <w:t>Stability of P-CDs</w:t>
      </w:r>
      <w:bookmarkEnd w:id="3"/>
      <w:r w:rsidRPr="00E00F7D">
        <w:rPr>
          <w:rFonts w:ascii="Arial" w:hAnsi="Arial" w:cs="Arial" w:hint="eastAsia"/>
          <w:sz w:val="24"/>
          <w:szCs w:val="24"/>
        </w:rPr>
        <w:t>. (A) The fluorescence intensity at different NaCl concentrations of P-CDs. (B) The fluorescence intensity at different pH values of P-CDs. (C) The fluorescence intensity at different time of P-CDs.</w:t>
      </w:r>
    </w:p>
    <w:p w14:paraId="632A9EB5" w14:textId="77777777" w:rsidR="00A14A14" w:rsidRDefault="00A14A14" w:rsidP="00CD05FB">
      <w:pPr>
        <w:spacing w:line="480" w:lineRule="auto"/>
        <w:jc w:val="center"/>
        <w:rPr>
          <w:rFonts w:ascii="Arial" w:hAnsi="Arial" w:cs="Arial"/>
          <w:sz w:val="24"/>
          <w:szCs w:val="24"/>
        </w:rPr>
      </w:pPr>
      <w:r>
        <w:rPr>
          <w:noProof/>
        </w:rPr>
        <w:lastRenderedPageBreak/>
        <w:drawing>
          <wp:inline distT="0" distB="0" distL="0" distR="0" wp14:anchorId="70EEEEC6" wp14:editId="194B1758">
            <wp:extent cx="2091055" cy="2119630"/>
            <wp:effectExtent l="0" t="0" r="4445" b="0"/>
            <wp:docPr id="1710252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1055" cy="2119630"/>
                    </a:xfrm>
                    <a:prstGeom prst="rect">
                      <a:avLst/>
                    </a:prstGeom>
                    <a:noFill/>
                    <a:ln>
                      <a:noFill/>
                    </a:ln>
                  </pic:spPr>
                </pic:pic>
              </a:graphicData>
            </a:graphic>
          </wp:inline>
        </w:drawing>
      </w:r>
    </w:p>
    <w:p w14:paraId="1EF1626A" w14:textId="35B0CEF3" w:rsidR="00A14A14" w:rsidRPr="00317CB5" w:rsidRDefault="00A14A14" w:rsidP="00CD05FB">
      <w:pPr>
        <w:spacing w:line="480" w:lineRule="auto"/>
        <w:rPr>
          <w:rFonts w:ascii="Arial" w:hAnsi="Arial" w:cs="Arial" w:hint="eastAsia"/>
          <w:sz w:val="24"/>
          <w:szCs w:val="24"/>
        </w:rPr>
      </w:pPr>
      <w:r>
        <w:rPr>
          <w:rFonts w:ascii="Arial" w:hAnsi="Arial" w:cs="Arial" w:hint="eastAsia"/>
          <w:sz w:val="24"/>
          <w:szCs w:val="24"/>
        </w:rPr>
        <w:t xml:space="preserve">Figure S3. </w:t>
      </w:r>
      <w:bookmarkStart w:id="4" w:name="_Hlk205912028"/>
      <w:r w:rsidRPr="00317CB5">
        <w:rPr>
          <w:rFonts w:ascii="Arial" w:hAnsi="Arial" w:cs="Arial" w:hint="eastAsia"/>
          <w:sz w:val="24"/>
          <w:szCs w:val="24"/>
        </w:rPr>
        <w:t xml:space="preserve">High-resolution N 1s XPS spectrum of </w:t>
      </w:r>
      <w:r>
        <w:rPr>
          <w:rFonts w:ascii="Arial" w:hAnsi="Arial" w:cs="Arial" w:hint="eastAsia"/>
          <w:sz w:val="24"/>
          <w:szCs w:val="24"/>
        </w:rPr>
        <w:t>P</w:t>
      </w:r>
      <w:r w:rsidRPr="00317CB5">
        <w:rPr>
          <w:rFonts w:ascii="Arial" w:hAnsi="Arial" w:cs="Arial" w:hint="eastAsia"/>
          <w:sz w:val="24"/>
          <w:szCs w:val="24"/>
        </w:rPr>
        <w:t>-CDs</w:t>
      </w:r>
      <w:bookmarkEnd w:id="4"/>
      <w:r w:rsidRPr="00317CB5">
        <w:rPr>
          <w:rFonts w:ascii="Arial" w:hAnsi="Arial" w:cs="Arial" w:hint="eastAsia"/>
          <w:sz w:val="24"/>
          <w:szCs w:val="24"/>
        </w:rPr>
        <w:t>.</w:t>
      </w:r>
    </w:p>
    <w:p w14:paraId="56557162" w14:textId="64DAA314" w:rsidR="00A14A14" w:rsidRPr="00317CB5" w:rsidRDefault="00F651E3" w:rsidP="00CD05FB">
      <w:pPr>
        <w:spacing w:line="480" w:lineRule="auto"/>
        <w:rPr>
          <w:rFonts w:ascii="Arial" w:hAnsi="Arial" w:cs="Arial"/>
          <w:sz w:val="24"/>
          <w:szCs w:val="24"/>
        </w:rPr>
      </w:pPr>
      <w:r>
        <w:rPr>
          <w:noProof/>
        </w:rPr>
        <w:drawing>
          <wp:inline distT="0" distB="0" distL="0" distR="0" wp14:anchorId="0D769330" wp14:editId="31CBC671">
            <wp:extent cx="5274310" cy="4364712"/>
            <wp:effectExtent l="0" t="0" r="2540" b="0"/>
            <wp:docPr id="318099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9920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74310" cy="4364712"/>
                    </a:xfrm>
                    <a:prstGeom prst="rect">
                      <a:avLst/>
                    </a:prstGeom>
                    <a:noFill/>
                    <a:ln>
                      <a:noFill/>
                    </a:ln>
                  </pic:spPr>
                </pic:pic>
              </a:graphicData>
            </a:graphic>
          </wp:inline>
        </w:drawing>
      </w:r>
    </w:p>
    <w:p w14:paraId="26EBA760" w14:textId="62F4671E" w:rsidR="00A14A14" w:rsidRPr="00F651E3" w:rsidRDefault="00F651E3" w:rsidP="00CD05FB">
      <w:pPr>
        <w:spacing w:line="480" w:lineRule="auto"/>
        <w:rPr>
          <w:rFonts w:ascii="Arial" w:hAnsi="Arial" w:cs="Arial"/>
          <w:sz w:val="24"/>
          <w:szCs w:val="24"/>
        </w:rPr>
      </w:pPr>
      <w:r w:rsidRPr="00317CB5">
        <w:rPr>
          <w:rFonts w:ascii="Arial" w:hAnsi="Arial" w:cs="Arial"/>
          <w:sz w:val="24"/>
          <w:szCs w:val="24"/>
        </w:rPr>
        <w:t>Figure S</w:t>
      </w:r>
      <w:r w:rsidRPr="00107E8A">
        <w:rPr>
          <w:rFonts w:ascii="Arial" w:hAnsi="Arial" w:cs="Arial"/>
          <w:sz w:val="24"/>
          <w:szCs w:val="24"/>
        </w:rPr>
        <w:t>4</w:t>
      </w:r>
      <w:r w:rsidRPr="00317CB5">
        <w:rPr>
          <w:rFonts w:ascii="Arial" w:hAnsi="Arial" w:cs="Arial"/>
          <w:sz w:val="24"/>
          <w:szCs w:val="24"/>
        </w:rPr>
        <w:t xml:space="preserve">. (A) Simulated dynamics of α-syn fibrils in aqueous solution over 200 ns, and 0, 50, 100, 150, 200 ns snapshot image. (B) Electrostatic distribution map of the simulation structure of </w:t>
      </w:r>
      <w:r>
        <w:rPr>
          <w:rFonts w:ascii="Arial" w:hAnsi="Arial" w:cs="Arial"/>
          <w:sz w:val="24"/>
          <w:szCs w:val="24"/>
        </w:rPr>
        <w:t>P-CDs</w:t>
      </w:r>
      <w:r w:rsidRPr="00317CB5">
        <w:rPr>
          <w:rFonts w:ascii="Arial" w:hAnsi="Arial" w:cs="Arial"/>
          <w:sz w:val="24"/>
          <w:szCs w:val="24"/>
        </w:rPr>
        <w:t xml:space="preserve"> and </w:t>
      </w:r>
      <w:r w:rsidRPr="00107E8A">
        <w:rPr>
          <w:rFonts w:ascii="Arial" w:hAnsi="Arial" w:cs="Arial"/>
          <w:sz w:val="24"/>
          <w:szCs w:val="24"/>
        </w:rPr>
        <w:t>α</w:t>
      </w:r>
      <w:r w:rsidRPr="00317CB5">
        <w:rPr>
          <w:rFonts w:ascii="Arial" w:hAnsi="Arial" w:cs="Arial"/>
          <w:sz w:val="24"/>
          <w:szCs w:val="24"/>
        </w:rPr>
        <w:t>-syn fibrils.</w:t>
      </w:r>
      <w:r w:rsidRPr="00C668AD">
        <w:rPr>
          <w:rFonts w:ascii="Arial" w:hAnsi="Arial" w:cs="Arial"/>
          <w:sz w:val="24"/>
          <w:szCs w:val="24"/>
        </w:rPr>
        <w:t xml:space="preserve"> </w:t>
      </w:r>
      <w:r w:rsidRPr="00317CB5">
        <w:rPr>
          <w:rFonts w:ascii="Arial" w:hAnsi="Arial" w:cs="Arial"/>
          <w:sz w:val="24"/>
          <w:szCs w:val="24"/>
        </w:rPr>
        <w:t>(</w:t>
      </w:r>
      <w:r>
        <w:rPr>
          <w:rFonts w:ascii="Arial" w:hAnsi="Arial" w:cs="Arial" w:hint="eastAsia"/>
          <w:sz w:val="24"/>
          <w:szCs w:val="24"/>
        </w:rPr>
        <w:t>C</w:t>
      </w:r>
      <w:r w:rsidRPr="00317CB5">
        <w:rPr>
          <w:rFonts w:ascii="Arial" w:hAnsi="Arial" w:cs="Arial"/>
          <w:sz w:val="24"/>
          <w:szCs w:val="24"/>
        </w:rPr>
        <w:t xml:space="preserve">) Calculation of the secondary structure plot over time using the DSSP algorithm in the α-syn </w:t>
      </w:r>
      <w:r w:rsidRPr="00317CB5">
        <w:rPr>
          <w:rFonts w:ascii="Arial" w:hAnsi="Arial" w:cs="Arial"/>
          <w:sz w:val="24"/>
          <w:szCs w:val="24"/>
        </w:rPr>
        <w:lastRenderedPageBreak/>
        <w:t>fibrils group.</w:t>
      </w:r>
      <w:r>
        <w:rPr>
          <w:rFonts w:ascii="Arial" w:hAnsi="Arial" w:cs="Arial" w:hint="eastAsia"/>
          <w:sz w:val="24"/>
          <w:szCs w:val="24"/>
        </w:rPr>
        <w:t xml:space="preserve"> (D</w:t>
      </w:r>
      <w:r w:rsidRPr="00E0495B">
        <w:rPr>
          <w:rFonts w:ascii="Arial" w:hAnsi="Arial" w:cs="Arial"/>
          <w:sz w:val="24"/>
          <w:szCs w:val="24"/>
        </w:rPr>
        <w:t>)</w:t>
      </w:r>
      <w:r w:rsidRPr="00E0495B">
        <w:rPr>
          <w:rFonts w:ascii="Arial" w:hAnsi="Arial" w:cs="Arial"/>
        </w:rPr>
        <w:t xml:space="preserve"> </w:t>
      </w:r>
      <w:r w:rsidRPr="00E0495B">
        <w:rPr>
          <w:rFonts w:ascii="Arial" w:hAnsi="Arial" w:cs="Arial"/>
          <w:sz w:val="24"/>
          <w:szCs w:val="24"/>
        </w:rPr>
        <w:t>Fractional secondary structure contents ratio of α-syn</w:t>
      </w:r>
      <w:r>
        <w:rPr>
          <w:rFonts w:ascii="Arial" w:hAnsi="Arial" w:cs="Arial" w:hint="eastAsia"/>
          <w:sz w:val="24"/>
          <w:szCs w:val="24"/>
        </w:rPr>
        <w:t xml:space="preserve"> </w:t>
      </w:r>
      <w:r w:rsidRPr="00E0495B">
        <w:rPr>
          <w:rFonts w:ascii="Arial" w:hAnsi="Arial" w:cs="Arial"/>
          <w:sz w:val="24"/>
          <w:szCs w:val="24"/>
        </w:rPr>
        <w:t>fibrils and α-syn fibrils disaggregated by P-CDs.</w:t>
      </w:r>
    </w:p>
    <w:p w14:paraId="3980E17F" w14:textId="4B1D6753" w:rsidR="00A14A14" w:rsidRDefault="000A11AA" w:rsidP="00CD05FB">
      <w:pPr>
        <w:spacing w:line="480" w:lineRule="auto"/>
        <w:jc w:val="center"/>
        <w:rPr>
          <w:rFonts w:ascii="Arial" w:hAnsi="Arial" w:cs="Arial"/>
          <w:sz w:val="24"/>
          <w:szCs w:val="24"/>
        </w:rPr>
      </w:pPr>
      <w:r>
        <w:rPr>
          <w:noProof/>
        </w:rPr>
        <w:drawing>
          <wp:inline distT="0" distB="0" distL="0" distR="0" wp14:anchorId="4211C2EE" wp14:editId="3E6FEDE4">
            <wp:extent cx="3025140" cy="2310130"/>
            <wp:effectExtent l="0" t="0" r="3810" b="0"/>
            <wp:docPr id="714744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5140" cy="2310130"/>
                    </a:xfrm>
                    <a:prstGeom prst="rect">
                      <a:avLst/>
                    </a:prstGeom>
                    <a:noFill/>
                    <a:ln>
                      <a:noFill/>
                    </a:ln>
                  </pic:spPr>
                </pic:pic>
              </a:graphicData>
            </a:graphic>
          </wp:inline>
        </w:drawing>
      </w:r>
    </w:p>
    <w:p w14:paraId="77447771" w14:textId="02A80A3F" w:rsidR="00965A03" w:rsidRDefault="00965A03" w:rsidP="00281D9B">
      <w:pPr>
        <w:spacing w:line="480" w:lineRule="auto"/>
        <w:jc w:val="left"/>
        <w:rPr>
          <w:rFonts w:ascii="Arial" w:hAnsi="Arial" w:cs="Arial"/>
          <w:sz w:val="24"/>
          <w:szCs w:val="24"/>
        </w:rPr>
      </w:pPr>
      <w:r w:rsidRPr="00965A03">
        <w:rPr>
          <w:rFonts w:ascii="Arial" w:hAnsi="Arial" w:cs="Arial" w:hint="eastAsia"/>
          <w:sz w:val="24"/>
          <w:szCs w:val="24"/>
        </w:rPr>
        <w:t>Figure S</w:t>
      </w:r>
      <w:r>
        <w:rPr>
          <w:rFonts w:ascii="Arial" w:hAnsi="Arial" w:cs="Arial" w:hint="eastAsia"/>
          <w:sz w:val="24"/>
          <w:szCs w:val="24"/>
        </w:rPr>
        <w:t>5.</w:t>
      </w:r>
      <w:r w:rsidRPr="00965A03">
        <w:rPr>
          <w:rFonts w:ascii="Arial" w:hAnsi="Arial" w:cs="Arial" w:hint="eastAsia"/>
          <w:sz w:val="24"/>
          <w:szCs w:val="24"/>
        </w:rPr>
        <w:t xml:space="preserve"> Zeta potential of P-CDs.</w:t>
      </w:r>
    </w:p>
    <w:p w14:paraId="205793E3" w14:textId="58CF3405" w:rsidR="00A14A14" w:rsidRDefault="00597149" w:rsidP="00CD05FB">
      <w:pPr>
        <w:spacing w:line="480" w:lineRule="auto"/>
        <w:rPr>
          <w:rFonts w:ascii="Arial" w:hAnsi="Arial" w:cs="Arial"/>
          <w:sz w:val="24"/>
          <w:szCs w:val="24"/>
        </w:rPr>
      </w:pPr>
      <w:r>
        <w:rPr>
          <w:noProof/>
        </w:rPr>
        <w:lastRenderedPageBreak/>
        <w:drawing>
          <wp:inline distT="0" distB="0" distL="0" distR="0" wp14:anchorId="05683C63" wp14:editId="269B6058">
            <wp:extent cx="5274310" cy="5639435"/>
            <wp:effectExtent l="0" t="0" r="2540" b="0"/>
            <wp:docPr id="17976213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639435"/>
                    </a:xfrm>
                    <a:prstGeom prst="rect">
                      <a:avLst/>
                    </a:prstGeom>
                    <a:noFill/>
                    <a:ln>
                      <a:noFill/>
                    </a:ln>
                  </pic:spPr>
                </pic:pic>
              </a:graphicData>
            </a:graphic>
          </wp:inline>
        </w:drawing>
      </w:r>
    </w:p>
    <w:p w14:paraId="28CFB959" w14:textId="689D8B32" w:rsidR="00A14A14" w:rsidRDefault="00A14A14" w:rsidP="00CD05FB">
      <w:pPr>
        <w:spacing w:line="480" w:lineRule="auto"/>
        <w:rPr>
          <w:rFonts w:ascii="Arial" w:hAnsi="Arial" w:cs="Arial"/>
          <w:sz w:val="24"/>
          <w:szCs w:val="24"/>
        </w:rPr>
      </w:pPr>
      <w:r>
        <w:rPr>
          <w:rFonts w:ascii="Arial" w:hAnsi="Arial" w:cs="Arial" w:hint="eastAsia"/>
          <w:sz w:val="24"/>
          <w:szCs w:val="24"/>
        </w:rPr>
        <w:t>Figu</w:t>
      </w:r>
      <w:r w:rsidRPr="00670C4C">
        <w:rPr>
          <w:rFonts w:ascii="Arial" w:hAnsi="Arial" w:cs="Arial"/>
          <w:sz w:val="24"/>
          <w:szCs w:val="24"/>
        </w:rPr>
        <w:t>re S</w:t>
      </w:r>
      <w:r w:rsidR="00AC42A4">
        <w:rPr>
          <w:rFonts w:ascii="Arial" w:hAnsi="Arial" w:cs="Arial" w:hint="eastAsia"/>
          <w:sz w:val="24"/>
          <w:szCs w:val="24"/>
        </w:rPr>
        <w:t>6</w:t>
      </w:r>
      <w:r w:rsidRPr="00670C4C">
        <w:rPr>
          <w:rFonts w:ascii="Arial" w:hAnsi="Arial" w:cs="Arial"/>
          <w:sz w:val="24"/>
          <w:szCs w:val="24"/>
        </w:rPr>
        <w:t>. Raman spectroscopy was performed to analyze the structural features of α-syn fibrils after P-CDs treatment. (A) Comparison of spontaneous Raman spectra of α -syn monomers, fibrils and P-CDs treated fibrils solutions. (B) Deconvolution of α-syn fibrils signal in amide I region</w:t>
      </w:r>
      <w:r w:rsidRPr="00670C4C">
        <w:rPr>
          <w:rFonts w:ascii="Arial" w:hAnsi="Arial" w:cs="Arial"/>
        </w:rPr>
        <w:t xml:space="preserve"> </w:t>
      </w:r>
      <w:r w:rsidRPr="00670C4C">
        <w:rPr>
          <w:rFonts w:ascii="Arial" w:hAnsi="Arial" w:cs="Arial"/>
          <w:sz w:val="24"/>
          <w:szCs w:val="24"/>
        </w:rPr>
        <w:t>(1600−1700 cm</w:t>
      </w:r>
      <w:r w:rsidRPr="00670C4C">
        <w:rPr>
          <w:rFonts w:ascii="Arial" w:hAnsi="Arial" w:cs="Arial"/>
          <w:sz w:val="24"/>
          <w:szCs w:val="24"/>
          <w:vertAlign w:val="superscript"/>
        </w:rPr>
        <w:t>−1</w:t>
      </w:r>
      <w:r w:rsidRPr="00670C4C">
        <w:rPr>
          <w:rFonts w:ascii="Arial" w:hAnsi="Arial" w:cs="Arial"/>
          <w:sz w:val="24"/>
          <w:szCs w:val="24"/>
        </w:rPr>
        <w:t>). (C)</w:t>
      </w:r>
      <w:r w:rsidRPr="00670C4C">
        <w:rPr>
          <w:rFonts w:ascii="Arial" w:hAnsi="Arial" w:cs="Arial"/>
        </w:rPr>
        <w:t xml:space="preserve"> </w:t>
      </w:r>
      <w:r w:rsidRPr="00670C4C">
        <w:rPr>
          <w:rFonts w:ascii="Arial" w:hAnsi="Arial" w:cs="Arial"/>
          <w:sz w:val="24"/>
          <w:szCs w:val="24"/>
        </w:rPr>
        <w:t>Deconvolution of α-syn fibrils signal in the presence of P-CDs in amide I region (1600−1700 cm</w:t>
      </w:r>
      <w:r w:rsidRPr="00670C4C">
        <w:rPr>
          <w:rFonts w:ascii="Arial" w:hAnsi="Arial" w:cs="Arial"/>
          <w:sz w:val="24"/>
          <w:szCs w:val="24"/>
          <w:vertAlign w:val="superscript"/>
        </w:rPr>
        <w:t>−1</w:t>
      </w:r>
      <w:r w:rsidRPr="00670C4C">
        <w:rPr>
          <w:rFonts w:ascii="Arial" w:hAnsi="Arial" w:cs="Arial"/>
          <w:sz w:val="24"/>
          <w:szCs w:val="24"/>
        </w:rPr>
        <w:t>). (D) Deconvolution of α-syn monomers signal in amide I region</w:t>
      </w:r>
      <w:r w:rsidRPr="00670C4C">
        <w:rPr>
          <w:rFonts w:ascii="Arial" w:hAnsi="Arial" w:cs="Arial"/>
        </w:rPr>
        <w:t xml:space="preserve"> </w:t>
      </w:r>
      <w:r w:rsidRPr="00670C4C">
        <w:rPr>
          <w:rFonts w:ascii="Arial" w:hAnsi="Arial" w:cs="Arial"/>
          <w:sz w:val="24"/>
          <w:szCs w:val="24"/>
        </w:rPr>
        <w:t>(1600−1700 cm</w:t>
      </w:r>
      <w:r w:rsidRPr="00670C4C">
        <w:rPr>
          <w:rFonts w:ascii="Arial" w:hAnsi="Arial" w:cs="Arial"/>
          <w:sz w:val="24"/>
          <w:szCs w:val="24"/>
          <w:vertAlign w:val="superscript"/>
        </w:rPr>
        <w:t>−1</w:t>
      </w:r>
      <w:r w:rsidRPr="00670C4C">
        <w:rPr>
          <w:rFonts w:ascii="Arial" w:hAnsi="Arial" w:cs="Arial"/>
          <w:sz w:val="24"/>
          <w:szCs w:val="24"/>
        </w:rPr>
        <w:t>). (E) The integral areas of the deconvoluted bands were used to estimate the ratio of these secondary structural components.</w:t>
      </w:r>
    </w:p>
    <w:p w14:paraId="40172C30" w14:textId="739D0D26" w:rsidR="00A14A14" w:rsidRDefault="00597149" w:rsidP="00CD05FB">
      <w:pPr>
        <w:spacing w:line="480" w:lineRule="auto"/>
        <w:rPr>
          <w:rFonts w:ascii="Arial" w:hAnsi="Arial" w:cs="Arial"/>
          <w:sz w:val="24"/>
          <w:szCs w:val="24"/>
        </w:rPr>
      </w:pPr>
      <w:r>
        <w:rPr>
          <w:noProof/>
        </w:rPr>
        <w:lastRenderedPageBreak/>
        <w:drawing>
          <wp:inline distT="0" distB="0" distL="0" distR="0" wp14:anchorId="2ACAC9C2" wp14:editId="476C7398">
            <wp:extent cx="5274310" cy="4566285"/>
            <wp:effectExtent l="0" t="0" r="2540" b="5715"/>
            <wp:docPr id="4328340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566285"/>
                    </a:xfrm>
                    <a:prstGeom prst="rect">
                      <a:avLst/>
                    </a:prstGeom>
                    <a:noFill/>
                    <a:ln>
                      <a:noFill/>
                    </a:ln>
                  </pic:spPr>
                </pic:pic>
              </a:graphicData>
            </a:graphic>
          </wp:inline>
        </w:drawing>
      </w:r>
    </w:p>
    <w:p w14:paraId="287DD593" w14:textId="7EF1FC2A" w:rsidR="00A14A14" w:rsidRDefault="00A14A14" w:rsidP="00CD05FB">
      <w:pPr>
        <w:spacing w:line="480" w:lineRule="auto"/>
        <w:rPr>
          <w:rFonts w:ascii="Arial" w:hAnsi="Arial" w:cs="Arial"/>
          <w:sz w:val="24"/>
          <w:szCs w:val="24"/>
        </w:rPr>
      </w:pPr>
      <w:r w:rsidRPr="006C430B">
        <w:rPr>
          <w:rFonts w:ascii="Arial" w:hAnsi="Arial" w:cs="Arial"/>
          <w:sz w:val="24"/>
          <w:szCs w:val="24"/>
        </w:rPr>
        <w:t>Figure S</w:t>
      </w:r>
      <w:r w:rsidR="00AC42A4">
        <w:rPr>
          <w:rFonts w:ascii="Arial" w:hAnsi="Arial" w:cs="Arial" w:hint="eastAsia"/>
          <w:sz w:val="24"/>
          <w:szCs w:val="24"/>
        </w:rPr>
        <w:t>7</w:t>
      </w:r>
      <w:r w:rsidRPr="006C430B">
        <w:rPr>
          <w:rFonts w:ascii="Arial" w:hAnsi="Arial" w:cs="Arial"/>
          <w:sz w:val="24"/>
          <w:szCs w:val="24"/>
        </w:rPr>
        <w:t>. Effect of P-CDs on α-syn PFFs-induced mitochondrial damage and neuronal death in PC12 cells. (A) Western blotting to detect changes in cleaved-Caspase-3, Bcl-2 and Bax protein levels. (B, C, D) Quantification of Bax, Bcl-2, and cleaved-Caspase-3 expression levels. (E) Representative images of PFFs-induced changes in mitochondrial membrane potential in PC12 cells in the presence or absence of P-CDs by JC-1 staining. (Scale bar: 100 μM). (F) Quantitative analysis of mitochondrial membrane potential. Data are expressed as means ± SD.</w:t>
      </w:r>
      <w:r w:rsidRPr="006C430B">
        <w:rPr>
          <w:rFonts w:ascii="Arial" w:hAnsi="Arial" w:cs="Arial"/>
          <w:sz w:val="24"/>
          <w:szCs w:val="24"/>
          <w:vertAlign w:val="superscript"/>
        </w:rPr>
        <w:t xml:space="preserve"> ###</w:t>
      </w:r>
      <w:r w:rsidRPr="006C430B">
        <w:rPr>
          <w:rFonts w:ascii="Arial" w:hAnsi="Arial" w:cs="Arial"/>
          <w:sz w:val="24"/>
          <w:szCs w:val="24"/>
        </w:rPr>
        <w:t xml:space="preserve">P&lt;0.001, vs. control group. *P&lt;0.05, **P&lt;0.01, ***P&lt;0.001, vs. PFFs group. </w:t>
      </w:r>
    </w:p>
    <w:p w14:paraId="7E772E62" w14:textId="64A812AA" w:rsidR="00A14A14" w:rsidRDefault="009D7732" w:rsidP="00CD05FB">
      <w:pPr>
        <w:spacing w:line="480" w:lineRule="auto"/>
        <w:rPr>
          <w:rFonts w:ascii="Arial" w:hAnsi="Arial" w:cs="Arial"/>
          <w:sz w:val="24"/>
          <w:szCs w:val="24"/>
        </w:rPr>
      </w:pPr>
      <w:r>
        <w:rPr>
          <w:noProof/>
        </w:rPr>
        <w:lastRenderedPageBreak/>
        <w:drawing>
          <wp:inline distT="0" distB="0" distL="0" distR="0" wp14:anchorId="1EE0DE93" wp14:editId="33C76693">
            <wp:extent cx="5273329" cy="1994535"/>
            <wp:effectExtent l="0" t="0" r="3810" b="5715"/>
            <wp:docPr id="4046735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73568"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3329" cy="1994535"/>
                    </a:xfrm>
                    <a:prstGeom prst="rect">
                      <a:avLst/>
                    </a:prstGeom>
                    <a:noFill/>
                    <a:ln>
                      <a:noFill/>
                    </a:ln>
                  </pic:spPr>
                </pic:pic>
              </a:graphicData>
            </a:graphic>
          </wp:inline>
        </w:drawing>
      </w:r>
    </w:p>
    <w:p w14:paraId="115FD0F4" w14:textId="5AFFFF71" w:rsidR="00A14A14" w:rsidRDefault="00A14A14" w:rsidP="00CD05FB">
      <w:pPr>
        <w:spacing w:line="480" w:lineRule="auto"/>
        <w:rPr>
          <w:rFonts w:ascii="Arial" w:hAnsi="Arial" w:cs="Arial" w:hint="eastAsia"/>
        </w:rPr>
      </w:pPr>
      <w:r>
        <w:rPr>
          <w:rFonts w:ascii="Arial" w:hAnsi="Arial" w:cs="Arial" w:hint="eastAsia"/>
          <w:sz w:val="24"/>
          <w:szCs w:val="24"/>
        </w:rPr>
        <w:t>Figure S</w:t>
      </w:r>
      <w:r w:rsidR="00AC42A4">
        <w:rPr>
          <w:rFonts w:ascii="Arial" w:hAnsi="Arial" w:cs="Arial" w:hint="eastAsia"/>
          <w:sz w:val="24"/>
          <w:szCs w:val="24"/>
        </w:rPr>
        <w:t>8</w:t>
      </w:r>
      <w:r>
        <w:rPr>
          <w:rFonts w:ascii="Arial" w:hAnsi="Arial" w:cs="Arial" w:hint="eastAsia"/>
          <w:sz w:val="24"/>
          <w:szCs w:val="24"/>
        </w:rPr>
        <w:t xml:space="preserve">. (A) </w:t>
      </w:r>
      <w:r w:rsidRPr="001B492E">
        <w:rPr>
          <w:rFonts w:ascii="Arial" w:hAnsi="Arial" w:cs="Arial" w:hint="eastAsia"/>
          <w:sz w:val="24"/>
          <w:szCs w:val="24"/>
        </w:rPr>
        <w:t>Quantitative analysis</w:t>
      </w:r>
      <w:r>
        <w:rPr>
          <w:rFonts w:ascii="Arial" w:hAnsi="Arial" w:cs="Arial" w:hint="eastAsia"/>
          <w:sz w:val="24"/>
          <w:szCs w:val="24"/>
        </w:rPr>
        <w:t xml:space="preserve"> of </w:t>
      </w:r>
      <w:r w:rsidRPr="007A21A5">
        <w:rPr>
          <w:rFonts w:ascii="Arial" w:hAnsi="Arial" w:cs="Arial"/>
          <w:sz w:val="24"/>
          <w:szCs w:val="24"/>
        </w:rPr>
        <w:t>p-α-syn and TH immunostaining micrographs in PC12 cells treated with α-syn PFFs in the absence and presence of P-CDs.</w:t>
      </w:r>
      <w:r w:rsidRPr="007A21A5">
        <w:rPr>
          <w:rFonts w:ascii="Arial" w:hAnsi="Arial" w:cs="Arial"/>
        </w:rPr>
        <w:t xml:space="preserve"> </w:t>
      </w:r>
      <w:r w:rsidRPr="00D20A02">
        <w:rPr>
          <w:rFonts w:ascii="Arial" w:hAnsi="Arial" w:cs="Arial" w:hint="eastAsia"/>
          <w:sz w:val="24"/>
          <w:szCs w:val="24"/>
        </w:rPr>
        <w:t>(B)</w:t>
      </w:r>
      <w:r>
        <w:rPr>
          <w:rFonts w:ascii="Arial" w:hAnsi="Arial" w:cs="Arial" w:hint="eastAsia"/>
          <w:sz w:val="24"/>
          <w:szCs w:val="24"/>
        </w:rPr>
        <w:t xml:space="preserve"> </w:t>
      </w:r>
      <w:r w:rsidRPr="00D20A02">
        <w:rPr>
          <w:rFonts w:ascii="Arial" w:hAnsi="Arial" w:cs="Arial" w:hint="eastAsia"/>
          <w:sz w:val="24"/>
          <w:szCs w:val="24"/>
        </w:rPr>
        <w:t>Quantitative analysis of</w:t>
      </w:r>
      <w:r>
        <w:rPr>
          <w:rFonts w:ascii="Arial" w:hAnsi="Arial" w:cs="Arial" w:hint="eastAsia"/>
          <w:sz w:val="24"/>
          <w:szCs w:val="24"/>
        </w:rPr>
        <w:t xml:space="preserve"> </w:t>
      </w:r>
      <w:r w:rsidRPr="007A21A5">
        <w:rPr>
          <w:rFonts w:ascii="Arial" w:hAnsi="Arial" w:cs="Arial"/>
          <w:sz w:val="24"/>
          <w:szCs w:val="24"/>
        </w:rPr>
        <w:t>p-α-syn immunostaining micrographs in primary neurons treated with α-syn PFFs in the absence and presence of P-CDs.</w:t>
      </w:r>
      <w:r w:rsidRPr="007A21A5">
        <w:rPr>
          <w:rFonts w:ascii="Arial" w:hAnsi="Arial" w:cs="Arial"/>
        </w:rPr>
        <w:t xml:space="preserve"> </w:t>
      </w:r>
    </w:p>
    <w:p w14:paraId="23DFCE6D" w14:textId="1F34DB67" w:rsidR="00A14A14" w:rsidRDefault="009D7732" w:rsidP="00CD05FB">
      <w:pPr>
        <w:spacing w:line="480" w:lineRule="auto"/>
        <w:jc w:val="center"/>
        <w:rPr>
          <w:rFonts w:ascii="Arial" w:hAnsi="Arial" w:cs="Arial"/>
        </w:rPr>
      </w:pPr>
      <w:r>
        <w:rPr>
          <w:noProof/>
        </w:rPr>
        <w:drawing>
          <wp:inline distT="0" distB="0" distL="0" distR="0" wp14:anchorId="60BC5B49" wp14:editId="07D66850">
            <wp:extent cx="2759313" cy="2118901"/>
            <wp:effectExtent l="0" t="0" r="3175" b="0"/>
            <wp:docPr id="15176970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5391" cy="2123568"/>
                    </a:xfrm>
                    <a:prstGeom prst="rect">
                      <a:avLst/>
                    </a:prstGeom>
                    <a:noFill/>
                    <a:ln>
                      <a:noFill/>
                    </a:ln>
                  </pic:spPr>
                </pic:pic>
              </a:graphicData>
            </a:graphic>
          </wp:inline>
        </w:drawing>
      </w:r>
    </w:p>
    <w:p w14:paraId="5BFEDE66" w14:textId="49D1B604" w:rsidR="00A14A14" w:rsidRPr="00107E8A" w:rsidRDefault="00A14A14" w:rsidP="00CD05FB">
      <w:pPr>
        <w:spacing w:line="480" w:lineRule="auto"/>
        <w:rPr>
          <w:rFonts w:ascii="Arial" w:hAnsi="Arial" w:cs="Arial"/>
          <w:sz w:val="24"/>
          <w:szCs w:val="24"/>
        </w:rPr>
      </w:pPr>
      <w:r w:rsidRPr="00107E8A">
        <w:rPr>
          <w:rFonts w:ascii="Arial" w:hAnsi="Arial" w:cs="Arial" w:hint="eastAsia"/>
          <w:sz w:val="24"/>
          <w:szCs w:val="24"/>
        </w:rPr>
        <w:t>Figure S</w:t>
      </w:r>
      <w:r w:rsidR="00AC42A4">
        <w:rPr>
          <w:rFonts w:ascii="Arial" w:hAnsi="Arial" w:cs="Arial" w:hint="eastAsia"/>
          <w:sz w:val="24"/>
          <w:szCs w:val="24"/>
        </w:rPr>
        <w:t>9</w:t>
      </w:r>
      <w:r w:rsidRPr="00107E8A">
        <w:rPr>
          <w:rFonts w:ascii="Arial" w:hAnsi="Arial" w:cs="Arial" w:hint="eastAsia"/>
          <w:sz w:val="24"/>
          <w:szCs w:val="24"/>
        </w:rPr>
        <w:t>.</w:t>
      </w:r>
      <w:r w:rsidRPr="00317CB5">
        <w:rPr>
          <w:rFonts w:ascii="Arial" w:hAnsi="Arial" w:cs="Arial"/>
          <w:sz w:val="24"/>
          <w:szCs w:val="24"/>
        </w:rPr>
        <w:t xml:space="preserve"> Body weight changes in mice treated with different concentrations of P-CDs.</w:t>
      </w:r>
    </w:p>
    <w:p w14:paraId="5BA6CEBD" w14:textId="77777777" w:rsidR="00A14A14" w:rsidRDefault="00A14A14" w:rsidP="00CD05FB">
      <w:pPr>
        <w:spacing w:line="480" w:lineRule="auto"/>
        <w:rPr>
          <w:rFonts w:ascii="Arial" w:hAnsi="Arial" w:cs="Arial"/>
          <w:sz w:val="24"/>
          <w:szCs w:val="24"/>
        </w:rPr>
      </w:pPr>
    </w:p>
    <w:p w14:paraId="54E40344" w14:textId="77777777" w:rsidR="00A14A14" w:rsidRDefault="00A14A14" w:rsidP="00CD05FB">
      <w:pPr>
        <w:spacing w:line="480" w:lineRule="auto"/>
        <w:rPr>
          <w:rFonts w:ascii="Arial" w:hAnsi="Arial" w:cs="Arial"/>
          <w:sz w:val="24"/>
          <w:szCs w:val="24"/>
        </w:rPr>
      </w:pPr>
    </w:p>
    <w:p w14:paraId="2F0FBBD5" w14:textId="4400E5BC" w:rsidR="00A14A14" w:rsidRDefault="00CD05FB" w:rsidP="00CD05FB">
      <w:pPr>
        <w:spacing w:line="480" w:lineRule="auto"/>
        <w:rPr>
          <w:rFonts w:ascii="Arial" w:hAnsi="Arial" w:cs="Arial"/>
          <w:sz w:val="24"/>
          <w:szCs w:val="24"/>
        </w:rPr>
      </w:pPr>
      <w:r>
        <w:rPr>
          <w:noProof/>
        </w:rPr>
        <w:lastRenderedPageBreak/>
        <w:drawing>
          <wp:inline distT="0" distB="0" distL="0" distR="0" wp14:anchorId="126079E8" wp14:editId="29F7709D">
            <wp:extent cx="5035242" cy="3747595"/>
            <wp:effectExtent l="0" t="0" r="0" b="5715"/>
            <wp:docPr id="6358392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39222"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041501" cy="3752254"/>
                    </a:xfrm>
                    <a:prstGeom prst="rect">
                      <a:avLst/>
                    </a:prstGeom>
                    <a:noFill/>
                    <a:ln>
                      <a:noFill/>
                    </a:ln>
                  </pic:spPr>
                </pic:pic>
              </a:graphicData>
            </a:graphic>
          </wp:inline>
        </w:drawing>
      </w:r>
    </w:p>
    <w:p w14:paraId="09A595F3" w14:textId="4956C551" w:rsidR="00A14A14" w:rsidRPr="00225014" w:rsidRDefault="00A14A14" w:rsidP="00CD05FB">
      <w:pPr>
        <w:spacing w:line="480" w:lineRule="auto"/>
        <w:rPr>
          <w:rFonts w:ascii="Arial" w:hAnsi="Arial" w:cs="Arial"/>
          <w:sz w:val="24"/>
          <w:szCs w:val="24"/>
        </w:rPr>
      </w:pPr>
      <w:r w:rsidRPr="00225014">
        <w:rPr>
          <w:rFonts w:ascii="Arial" w:hAnsi="Arial" w:cs="Arial"/>
          <w:sz w:val="24"/>
          <w:szCs w:val="24"/>
        </w:rPr>
        <w:t>Figure S</w:t>
      </w:r>
      <w:r w:rsidR="00AC42A4">
        <w:rPr>
          <w:rFonts w:ascii="Arial" w:hAnsi="Arial" w:cs="Arial" w:hint="eastAsia"/>
          <w:sz w:val="24"/>
          <w:szCs w:val="24"/>
        </w:rPr>
        <w:t>10</w:t>
      </w:r>
      <w:r w:rsidRPr="00225014">
        <w:rPr>
          <w:rFonts w:ascii="Arial" w:hAnsi="Arial" w:cs="Arial"/>
          <w:sz w:val="24"/>
          <w:szCs w:val="24"/>
        </w:rPr>
        <w:t xml:space="preserve">. Biosafety evaluation of P-CDs. Routine blood indicators including WBC (A), RBC (B), GREA (C), LYM (D), HGB (E), and PLT (F) in mice following administration of </w:t>
      </w:r>
      <w:r w:rsidR="002C6CA9">
        <w:rPr>
          <w:rFonts w:ascii="Arial" w:hAnsi="Arial" w:cs="Arial" w:hint="eastAsia"/>
          <w:sz w:val="24"/>
          <w:szCs w:val="24"/>
        </w:rPr>
        <w:t>P</w:t>
      </w:r>
      <w:r w:rsidRPr="00225014">
        <w:rPr>
          <w:rFonts w:ascii="Arial" w:hAnsi="Arial" w:cs="Arial"/>
          <w:sz w:val="24"/>
          <w:szCs w:val="24"/>
        </w:rPr>
        <w:t>-CDs for 7 days.</w:t>
      </w:r>
      <w:r w:rsidRPr="00225014">
        <w:rPr>
          <w:rFonts w:ascii="Arial" w:hAnsi="Arial" w:cs="Arial"/>
        </w:rPr>
        <w:t xml:space="preserve"> </w:t>
      </w:r>
      <w:r w:rsidRPr="00225014">
        <w:rPr>
          <w:rFonts w:ascii="Arial" w:hAnsi="Arial" w:cs="Arial"/>
          <w:sz w:val="24"/>
          <w:szCs w:val="24"/>
        </w:rPr>
        <w:t>The data are expressed as mean ± SD. NS indicates insignificant, n=6.</w:t>
      </w:r>
    </w:p>
    <w:p w14:paraId="30764E44" w14:textId="77777777" w:rsidR="00A14A14" w:rsidRDefault="00A14A14" w:rsidP="00CD05FB">
      <w:pPr>
        <w:spacing w:line="480" w:lineRule="auto"/>
        <w:rPr>
          <w:rFonts w:ascii="Arial" w:hAnsi="Arial" w:cs="Arial"/>
          <w:sz w:val="24"/>
          <w:szCs w:val="24"/>
        </w:rPr>
      </w:pPr>
    </w:p>
    <w:p w14:paraId="45A54904" w14:textId="77777777" w:rsidR="00A14A14" w:rsidRPr="00D86FC5" w:rsidRDefault="00A14A14" w:rsidP="00CD05FB">
      <w:pPr>
        <w:spacing w:line="480" w:lineRule="auto"/>
        <w:rPr>
          <w:rFonts w:ascii="Arial" w:hAnsi="Arial" w:cs="Arial"/>
          <w:sz w:val="24"/>
          <w:szCs w:val="24"/>
        </w:rPr>
      </w:pPr>
    </w:p>
    <w:p w14:paraId="4C7E3ECC" w14:textId="77777777" w:rsidR="00A14A14" w:rsidRPr="00A14A14" w:rsidRDefault="00A14A14" w:rsidP="00CD05FB">
      <w:pPr>
        <w:spacing w:line="480" w:lineRule="auto"/>
        <w:rPr>
          <w:rFonts w:ascii="Arial" w:hAnsi="Arial" w:cs="Arial"/>
          <w:b/>
          <w:bCs/>
          <w:sz w:val="28"/>
          <w:szCs w:val="28"/>
        </w:rPr>
      </w:pPr>
    </w:p>
    <w:sectPr w:rsidR="00A14A14" w:rsidRPr="00A14A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45801" w14:textId="77777777" w:rsidR="006232CE" w:rsidRDefault="006232CE" w:rsidP="007C5D76">
      <w:pPr>
        <w:rPr>
          <w:rFonts w:hint="eastAsia"/>
        </w:rPr>
      </w:pPr>
      <w:r>
        <w:separator/>
      </w:r>
    </w:p>
  </w:endnote>
  <w:endnote w:type="continuationSeparator" w:id="0">
    <w:p w14:paraId="71C83E93" w14:textId="77777777" w:rsidR="006232CE" w:rsidRDefault="006232CE" w:rsidP="007C5D7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0B4F5" w14:textId="77777777" w:rsidR="006232CE" w:rsidRDefault="006232CE" w:rsidP="007C5D76">
      <w:pPr>
        <w:rPr>
          <w:rFonts w:hint="eastAsia"/>
        </w:rPr>
      </w:pPr>
      <w:r>
        <w:separator/>
      </w:r>
    </w:p>
  </w:footnote>
  <w:footnote w:type="continuationSeparator" w:id="0">
    <w:p w14:paraId="2D8FDA4B" w14:textId="77777777" w:rsidR="006232CE" w:rsidRDefault="006232CE" w:rsidP="007C5D7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94E"/>
    <w:rsid w:val="0005486E"/>
    <w:rsid w:val="000557F1"/>
    <w:rsid w:val="00056EF5"/>
    <w:rsid w:val="000A11AA"/>
    <w:rsid w:val="000A77A6"/>
    <w:rsid w:val="000F6A99"/>
    <w:rsid w:val="00103E12"/>
    <w:rsid w:val="002018AC"/>
    <w:rsid w:val="002178F8"/>
    <w:rsid w:val="00233293"/>
    <w:rsid w:val="00281D9B"/>
    <w:rsid w:val="00287F5F"/>
    <w:rsid w:val="002C6CA9"/>
    <w:rsid w:val="003B3A1F"/>
    <w:rsid w:val="003E7009"/>
    <w:rsid w:val="004A173F"/>
    <w:rsid w:val="004C5E16"/>
    <w:rsid w:val="00503B50"/>
    <w:rsid w:val="005158E9"/>
    <w:rsid w:val="00550B9A"/>
    <w:rsid w:val="00562E40"/>
    <w:rsid w:val="005942FB"/>
    <w:rsid w:val="00597149"/>
    <w:rsid w:val="005B3AB9"/>
    <w:rsid w:val="00602FCB"/>
    <w:rsid w:val="006232CE"/>
    <w:rsid w:val="00630EB7"/>
    <w:rsid w:val="006315BD"/>
    <w:rsid w:val="006601D4"/>
    <w:rsid w:val="0069209D"/>
    <w:rsid w:val="006F2C46"/>
    <w:rsid w:val="00735048"/>
    <w:rsid w:val="00753A17"/>
    <w:rsid w:val="00756954"/>
    <w:rsid w:val="00763531"/>
    <w:rsid w:val="00763EF5"/>
    <w:rsid w:val="00767379"/>
    <w:rsid w:val="00787568"/>
    <w:rsid w:val="007A2880"/>
    <w:rsid w:val="007C5D76"/>
    <w:rsid w:val="007D394E"/>
    <w:rsid w:val="0082778D"/>
    <w:rsid w:val="008646D6"/>
    <w:rsid w:val="008D44FA"/>
    <w:rsid w:val="00930CA0"/>
    <w:rsid w:val="00933CFD"/>
    <w:rsid w:val="00965A03"/>
    <w:rsid w:val="009D7732"/>
    <w:rsid w:val="00A078BF"/>
    <w:rsid w:val="00A14A14"/>
    <w:rsid w:val="00A62F17"/>
    <w:rsid w:val="00AA4978"/>
    <w:rsid w:val="00AC42A4"/>
    <w:rsid w:val="00B0146A"/>
    <w:rsid w:val="00B32FAF"/>
    <w:rsid w:val="00B948AF"/>
    <w:rsid w:val="00B94C17"/>
    <w:rsid w:val="00C04CCB"/>
    <w:rsid w:val="00C172CA"/>
    <w:rsid w:val="00C80F7E"/>
    <w:rsid w:val="00C81CA1"/>
    <w:rsid w:val="00CD05FB"/>
    <w:rsid w:val="00D118CC"/>
    <w:rsid w:val="00D17E60"/>
    <w:rsid w:val="00D259D5"/>
    <w:rsid w:val="00D758C1"/>
    <w:rsid w:val="00E04F2F"/>
    <w:rsid w:val="00E17258"/>
    <w:rsid w:val="00F32354"/>
    <w:rsid w:val="00F44B44"/>
    <w:rsid w:val="00F60CAA"/>
    <w:rsid w:val="00F651E3"/>
    <w:rsid w:val="00F93B13"/>
    <w:rsid w:val="00FC47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72347"/>
  <w15:chartTrackingRefBased/>
  <w15:docId w15:val="{7D67FE4F-71C4-4F38-B4C8-E9AB47AA8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D394E"/>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7D394E"/>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7D394E"/>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7D394E"/>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7D394E"/>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7D394E"/>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7D394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D394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D394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D394E"/>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7D394E"/>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7D394E"/>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7D394E"/>
    <w:rPr>
      <w:rFonts w:cstheme="majorBidi"/>
      <w:color w:val="2F5496" w:themeColor="accent1" w:themeShade="BF"/>
      <w:sz w:val="28"/>
      <w:szCs w:val="28"/>
    </w:rPr>
  </w:style>
  <w:style w:type="character" w:customStyle="1" w:styleId="50">
    <w:name w:val="标题 5 字符"/>
    <w:basedOn w:val="a0"/>
    <w:link w:val="5"/>
    <w:uiPriority w:val="9"/>
    <w:semiHidden/>
    <w:rsid w:val="007D394E"/>
    <w:rPr>
      <w:rFonts w:cstheme="majorBidi"/>
      <w:color w:val="2F5496" w:themeColor="accent1" w:themeShade="BF"/>
      <w:sz w:val="24"/>
      <w:szCs w:val="24"/>
    </w:rPr>
  </w:style>
  <w:style w:type="character" w:customStyle="1" w:styleId="60">
    <w:name w:val="标题 6 字符"/>
    <w:basedOn w:val="a0"/>
    <w:link w:val="6"/>
    <w:uiPriority w:val="9"/>
    <w:semiHidden/>
    <w:rsid w:val="007D394E"/>
    <w:rPr>
      <w:rFonts w:cstheme="majorBidi"/>
      <w:b/>
      <w:bCs/>
      <w:color w:val="2F5496" w:themeColor="accent1" w:themeShade="BF"/>
    </w:rPr>
  </w:style>
  <w:style w:type="character" w:customStyle="1" w:styleId="70">
    <w:name w:val="标题 7 字符"/>
    <w:basedOn w:val="a0"/>
    <w:link w:val="7"/>
    <w:uiPriority w:val="9"/>
    <w:semiHidden/>
    <w:rsid w:val="007D394E"/>
    <w:rPr>
      <w:rFonts w:cstheme="majorBidi"/>
      <w:b/>
      <w:bCs/>
      <w:color w:val="595959" w:themeColor="text1" w:themeTint="A6"/>
    </w:rPr>
  </w:style>
  <w:style w:type="character" w:customStyle="1" w:styleId="80">
    <w:name w:val="标题 8 字符"/>
    <w:basedOn w:val="a0"/>
    <w:link w:val="8"/>
    <w:uiPriority w:val="9"/>
    <w:semiHidden/>
    <w:rsid w:val="007D394E"/>
    <w:rPr>
      <w:rFonts w:cstheme="majorBidi"/>
      <w:color w:val="595959" w:themeColor="text1" w:themeTint="A6"/>
    </w:rPr>
  </w:style>
  <w:style w:type="character" w:customStyle="1" w:styleId="90">
    <w:name w:val="标题 9 字符"/>
    <w:basedOn w:val="a0"/>
    <w:link w:val="9"/>
    <w:uiPriority w:val="9"/>
    <w:semiHidden/>
    <w:rsid w:val="007D394E"/>
    <w:rPr>
      <w:rFonts w:eastAsiaTheme="majorEastAsia" w:cstheme="majorBidi"/>
      <w:color w:val="595959" w:themeColor="text1" w:themeTint="A6"/>
    </w:rPr>
  </w:style>
  <w:style w:type="paragraph" w:styleId="a3">
    <w:name w:val="Title"/>
    <w:basedOn w:val="a"/>
    <w:next w:val="a"/>
    <w:link w:val="a4"/>
    <w:uiPriority w:val="10"/>
    <w:qFormat/>
    <w:rsid w:val="007D394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D394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D394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D394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D394E"/>
    <w:pPr>
      <w:spacing w:before="160" w:after="160"/>
      <w:jc w:val="center"/>
    </w:pPr>
    <w:rPr>
      <w:i/>
      <w:iCs/>
      <w:color w:val="404040" w:themeColor="text1" w:themeTint="BF"/>
    </w:rPr>
  </w:style>
  <w:style w:type="character" w:customStyle="1" w:styleId="a8">
    <w:name w:val="引用 字符"/>
    <w:basedOn w:val="a0"/>
    <w:link w:val="a7"/>
    <w:uiPriority w:val="29"/>
    <w:rsid w:val="007D394E"/>
    <w:rPr>
      <w:i/>
      <w:iCs/>
      <w:color w:val="404040" w:themeColor="text1" w:themeTint="BF"/>
    </w:rPr>
  </w:style>
  <w:style w:type="paragraph" w:styleId="a9">
    <w:name w:val="List Paragraph"/>
    <w:basedOn w:val="a"/>
    <w:uiPriority w:val="34"/>
    <w:qFormat/>
    <w:rsid w:val="007D394E"/>
    <w:pPr>
      <w:ind w:left="720"/>
      <w:contextualSpacing/>
    </w:pPr>
  </w:style>
  <w:style w:type="character" w:styleId="aa">
    <w:name w:val="Intense Emphasis"/>
    <w:basedOn w:val="a0"/>
    <w:uiPriority w:val="21"/>
    <w:qFormat/>
    <w:rsid w:val="007D394E"/>
    <w:rPr>
      <w:i/>
      <w:iCs/>
      <w:color w:val="2F5496" w:themeColor="accent1" w:themeShade="BF"/>
    </w:rPr>
  </w:style>
  <w:style w:type="paragraph" w:styleId="ab">
    <w:name w:val="Intense Quote"/>
    <w:basedOn w:val="a"/>
    <w:next w:val="a"/>
    <w:link w:val="ac"/>
    <w:uiPriority w:val="30"/>
    <w:qFormat/>
    <w:rsid w:val="007D39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7D394E"/>
    <w:rPr>
      <w:i/>
      <w:iCs/>
      <w:color w:val="2F5496" w:themeColor="accent1" w:themeShade="BF"/>
    </w:rPr>
  </w:style>
  <w:style w:type="character" w:styleId="ad">
    <w:name w:val="Intense Reference"/>
    <w:basedOn w:val="a0"/>
    <w:uiPriority w:val="32"/>
    <w:qFormat/>
    <w:rsid w:val="007D394E"/>
    <w:rPr>
      <w:b/>
      <w:bCs/>
      <w:smallCaps/>
      <w:color w:val="2F5496" w:themeColor="accent1" w:themeShade="BF"/>
      <w:spacing w:val="5"/>
    </w:rPr>
  </w:style>
  <w:style w:type="paragraph" w:styleId="ae">
    <w:name w:val="header"/>
    <w:basedOn w:val="a"/>
    <w:link w:val="af"/>
    <w:uiPriority w:val="99"/>
    <w:unhideWhenUsed/>
    <w:rsid w:val="007C5D76"/>
    <w:pPr>
      <w:tabs>
        <w:tab w:val="center" w:pos="4153"/>
        <w:tab w:val="right" w:pos="8306"/>
      </w:tabs>
      <w:snapToGrid w:val="0"/>
      <w:jc w:val="center"/>
    </w:pPr>
    <w:rPr>
      <w:sz w:val="18"/>
      <w:szCs w:val="18"/>
    </w:rPr>
  </w:style>
  <w:style w:type="character" w:customStyle="1" w:styleId="af">
    <w:name w:val="页眉 字符"/>
    <w:basedOn w:val="a0"/>
    <w:link w:val="ae"/>
    <w:uiPriority w:val="99"/>
    <w:rsid w:val="007C5D76"/>
    <w:rPr>
      <w:sz w:val="18"/>
      <w:szCs w:val="18"/>
    </w:rPr>
  </w:style>
  <w:style w:type="paragraph" w:styleId="af0">
    <w:name w:val="footer"/>
    <w:basedOn w:val="a"/>
    <w:link w:val="af1"/>
    <w:uiPriority w:val="99"/>
    <w:unhideWhenUsed/>
    <w:rsid w:val="007C5D76"/>
    <w:pPr>
      <w:tabs>
        <w:tab w:val="center" w:pos="4153"/>
        <w:tab w:val="right" w:pos="8306"/>
      </w:tabs>
      <w:snapToGrid w:val="0"/>
      <w:jc w:val="left"/>
    </w:pPr>
    <w:rPr>
      <w:sz w:val="18"/>
      <w:szCs w:val="18"/>
    </w:rPr>
  </w:style>
  <w:style w:type="character" w:customStyle="1" w:styleId="af1">
    <w:name w:val="页脚 字符"/>
    <w:basedOn w:val="a0"/>
    <w:link w:val="af0"/>
    <w:uiPriority w:val="99"/>
    <w:rsid w:val="007C5D76"/>
    <w:rPr>
      <w:sz w:val="18"/>
      <w:szCs w:val="18"/>
    </w:rPr>
  </w:style>
  <w:style w:type="character" w:styleId="af2">
    <w:name w:val="Hyperlink"/>
    <w:basedOn w:val="a0"/>
    <w:uiPriority w:val="99"/>
    <w:unhideWhenUsed/>
    <w:rsid w:val="00B32F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12</Pages>
  <Words>1484</Words>
  <Characters>8465</Characters>
  <Application>Microsoft Office Word</Application>
  <DocSecurity>0</DocSecurity>
  <Lines>70</Lines>
  <Paragraphs>19</Paragraphs>
  <ScaleCrop>false</ScaleCrop>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song</dc:creator>
  <cp:keywords/>
  <dc:description/>
  <cp:lastModifiedBy>Zhiyuan Lu</cp:lastModifiedBy>
  <cp:revision>8</cp:revision>
  <dcterms:created xsi:type="dcterms:W3CDTF">2025-10-21T11:18:00Z</dcterms:created>
  <dcterms:modified xsi:type="dcterms:W3CDTF">2025-10-31T09:27:00Z</dcterms:modified>
</cp:coreProperties>
</file>