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6032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3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Figure A</w:t>
      </w:r>
      <w:r w:rsidDel="00000000" w:rsidR="00000000" w:rsidRPr="00000000">
        <w:rPr>
          <w:sz w:val="24"/>
          <w:szCs w:val="24"/>
          <w:rtl w:val="0"/>
        </w:rPr>
        <w:t xml:space="preserve">: Corpus size on SketchEngine </w:t>
      </w:r>
      <w:r w:rsidDel="00000000" w:rsidR="00000000" w:rsidRPr="00000000">
        <w:rPr>
          <w:i w:val="1"/>
          <w:sz w:val="24"/>
          <w:szCs w:val="24"/>
          <w:rtl w:val="0"/>
        </w:rPr>
        <w:t xml:space="preserve">(in billions of tokens)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858000" cy="6184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8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Figure B:</w:t>
      </w:r>
      <w:r w:rsidDel="00000000" w:rsidR="00000000" w:rsidRPr="00000000">
        <w:rPr>
          <w:sz w:val="24"/>
          <w:szCs w:val="24"/>
          <w:rtl w:val="0"/>
        </w:rPr>
        <w:t xml:space="preserve"> Corpus Analysis on SketchEngine.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Relative frequencies of metaphor usage across languages.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