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6F55A" w14:textId="77777777" w:rsidR="00110AB0" w:rsidRDefault="00110AB0" w:rsidP="00110A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48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Supplementary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Method S1</w:t>
      </w:r>
    </w:p>
    <w:p w14:paraId="41FF6C5D" w14:textId="77777777" w:rsidR="00110AB0" w:rsidRDefault="00110AB0" w:rsidP="00110AB0">
      <w:pPr>
        <w:pStyle w:val="Titre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36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Appendix A: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Abbreviated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Math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Anxiety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Index – AMAS [18]</w:t>
      </w:r>
    </w:p>
    <w:p w14:paraId="7EED107C" w14:textId="77777777" w:rsidR="00110AB0" w:rsidRDefault="00110AB0" w:rsidP="00110A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tLeast"/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1. Having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use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tables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back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math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book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br/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Thinking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about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upcoming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math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test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day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before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br/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Watching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teacher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work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algebraic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equation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blackboard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br/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Taking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examination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math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course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br/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Being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given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homework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assignment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many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difficult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problems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due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next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class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meeting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br/>
        <w:t xml:space="preserve">6. Listening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lecture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math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class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br/>
        <w:t xml:space="preserve">7. Listening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another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student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explain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math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formula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br/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Being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given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a “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pop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quiz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math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class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br/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Starting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chapter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in a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math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highlight w:val="white"/>
        </w:rPr>
        <w:t>book</w:t>
      </w:r>
      <w:proofErr w:type="spellEnd"/>
    </w:p>
    <w:p w14:paraId="679E6A0B" w14:textId="77777777" w:rsidR="00110AB0" w:rsidRDefault="00110AB0" w:rsidP="00110AB0">
      <w:pPr>
        <w:pStyle w:val="Titre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360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Appendix B: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Edingburgh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Handedness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Inventory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EHI (Oldfield, 1971)</w:t>
      </w:r>
    </w:p>
    <w:p w14:paraId="435711B8" w14:textId="77777777" w:rsidR="00110AB0" w:rsidRDefault="00110AB0" w:rsidP="00110A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tLeast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Which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prefer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when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7E4FA4FE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Writing</w:t>
      </w:r>
    </w:p>
    <w:p w14:paraId="5079ACB8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Drawing</w:t>
      </w:r>
    </w:p>
    <w:p w14:paraId="66E3DFD7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Throwing</w:t>
      </w:r>
      <w:proofErr w:type="spellEnd"/>
    </w:p>
    <w:p w14:paraId="4F0F2282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scissors</w:t>
      </w:r>
      <w:proofErr w:type="spellEnd"/>
    </w:p>
    <w:p w14:paraId="12ABA22E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toothbrush</w:t>
      </w:r>
      <w:proofErr w:type="spellEnd"/>
    </w:p>
    <w:p w14:paraId="5D798717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knife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without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fork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1A406908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spoon</w:t>
      </w:r>
      <w:proofErr w:type="spellEnd"/>
    </w:p>
    <w:p w14:paraId="340A0C0F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broom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upper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007D5F1D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Striking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match</w:t>
      </w:r>
    </w:p>
    <w:p w14:paraId="64B68FD5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Opening a box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holding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4AB8D657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Holding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computer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mouse</w:t>
      </w:r>
      <w:proofErr w:type="spellEnd"/>
    </w:p>
    <w:p w14:paraId="3003A57E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Using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key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unlock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door</w:t>
      </w:r>
      <w:proofErr w:type="spellEnd"/>
    </w:p>
    <w:p w14:paraId="16F09D1B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Holding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hammer</w:t>
      </w:r>
      <w:proofErr w:type="spellEnd"/>
    </w:p>
    <w:p w14:paraId="27C7CF7B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Holding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brush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comb</w:t>
      </w:r>
      <w:proofErr w:type="spellEnd"/>
    </w:p>
    <w:p w14:paraId="376F5DC7" w14:textId="77777777" w:rsidR="00110AB0" w:rsidRDefault="00110AB0" w:rsidP="00110AB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Holding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cup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drinking</w:t>
      </w:r>
      <w:proofErr w:type="spellEnd"/>
    </w:p>
    <w:p w14:paraId="466D68B2" w14:textId="77777777" w:rsidR="00110AB0" w:rsidRDefault="00110AB0" w:rsidP="00110AB0">
      <w:pPr>
        <w:rPr>
          <w:rFonts w:ascii="Times New Roman" w:hAnsi="Times New Roman" w:cs="Times New Roman"/>
          <w:sz w:val="24"/>
          <w:szCs w:val="24"/>
        </w:rPr>
      </w:pPr>
    </w:p>
    <w:p w14:paraId="365B93E1" w14:textId="73E7635C" w:rsidR="00BA7D5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48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>Supplementary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Table S</w:t>
      </w:r>
      <w:r w:rsidR="00110AB0">
        <w:rPr>
          <w:rFonts w:ascii="Times New Roman" w:eastAsia="Times New Roman" w:hAnsi="Times New Roman" w:cs="Times New Roman"/>
          <w:b/>
          <w:bCs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: Description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all 6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administered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tasks</w:t>
      </w:r>
      <w:proofErr w:type="spellEnd"/>
    </w:p>
    <w:tbl>
      <w:tblPr>
        <w:tblStyle w:val="Grilledutableau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111"/>
        <w:gridCol w:w="3109"/>
        <w:gridCol w:w="5115"/>
      </w:tblGrid>
      <w:tr w:rsidR="00BA7D5A" w14:paraId="6C09091B" w14:textId="77777777"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4F3A1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Domain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5FF9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Task </w:t>
            </w:r>
          </w:p>
        </w:tc>
        <w:tc>
          <w:tcPr>
            <w:tcW w:w="51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B04B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Description</w:t>
            </w:r>
          </w:p>
        </w:tc>
      </w:tr>
      <w:tr w:rsidR="00BA7D5A" w14:paraId="0FF50B0D" w14:textId="77777777">
        <w:tc>
          <w:tcPr>
            <w:tcW w:w="111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452C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Numerical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8646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Single-digit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magnitude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comparison</w:t>
            </w:r>
            <w:proofErr w:type="spellEnd"/>
          </w:p>
          <w:p w14:paraId="3814E460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(64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trials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 </w:t>
            </w:r>
          </w:p>
        </w:tc>
        <w:tc>
          <w:tcPr>
            <w:tcW w:w="51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A1284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chose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larger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two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digits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(1–9)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shown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on top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each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digit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distance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presentation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frequency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controlled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</w:tr>
      <w:tr w:rsidR="00BA7D5A" w14:paraId="67E85DD2" w14:textId="77777777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5B4EF" w14:textId="77777777" w:rsidR="00BA7D5A" w:rsidRDefault="00BA7D5A"/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0C0A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Two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-digit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magnitude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comparison</w:t>
            </w:r>
            <w:proofErr w:type="spellEnd"/>
          </w:p>
          <w:p w14:paraId="2B39C5F5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(272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trials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 </w:t>
            </w:r>
          </w:p>
        </w:tc>
        <w:tc>
          <w:tcPr>
            <w:tcW w:w="51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182D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chose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larger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two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numbers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(23–98),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presented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on top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each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round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decades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ties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excluded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</w:tr>
      <w:tr w:rsidR="00BA7D5A" w14:paraId="53A5026A" w14:textId="77777777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43B92" w14:textId="77777777" w:rsidR="00BA7D5A" w:rsidRDefault="00BA7D5A"/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3AAA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comparison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14:paraId="0C2D5172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(64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trials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 </w:t>
            </w:r>
          </w:p>
        </w:tc>
        <w:tc>
          <w:tcPr>
            <w:tcW w:w="51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330B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chose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larger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two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sets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shown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on top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each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Six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sizes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used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stimuli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controlled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surface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size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distribution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adapted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Tricoche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et al., 2023).</w:t>
            </w:r>
          </w:p>
        </w:tc>
      </w:tr>
      <w:tr w:rsidR="00BA7D5A" w14:paraId="2697D96D" w14:textId="77777777">
        <w:tc>
          <w:tcPr>
            <w:tcW w:w="111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790A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Language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8159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Phonological </w:t>
            </w:r>
          </w:p>
          <w:p w14:paraId="4D8911F7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(64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trials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 </w:t>
            </w:r>
          </w:p>
        </w:tc>
        <w:tc>
          <w:tcPr>
            <w:tcW w:w="51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1A62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judged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whether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two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simultaneously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presented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words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rhymed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Words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presented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four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conditions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similar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orthography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similar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phonology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(e.g.,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lime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similar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orthography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/different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phonology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(e.g.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pint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–mint), different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orthography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similar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phonology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(e.g.,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jazz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has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and  different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orthography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/different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phonology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e.g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,. press–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list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). </w:t>
            </w:r>
          </w:p>
        </w:tc>
      </w:tr>
      <w:tr w:rsidR="00BA7D5A" w14:paraId="672A1117" w14:textId="77777777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CEA70" w14:textId="77777777" w:rsidR="00BA7D5A" w:rsidRDefault="00BA7D5A"/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A9B3D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Morpho-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lexical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14:paraId="046230C1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(64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trials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 </w:t>
            </w:r>
          </w:p>
        </w:tc>
        <w:tc>
          <w:tcPr>
            <w:tcW w:w="51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1B6D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judged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whether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two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fragments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formed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existing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Items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included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morphologically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correct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words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(e.g.,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depress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morphological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violations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(e.g.,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inpress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real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words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pseudowords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adapted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Lochy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et al., 2024).</w:t>
            </w:r>
          </w:p>
        </w:tc>
      </w:tr>
      <w:tr w:rsidR="00BA7D5A" w14:paraId="01ADD666" w14:textId="77777777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EA028" w14:textId="77777777" w:rsidR="00BA7D5A" w:rsidRDefault="00BA7D5A"/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0197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Syntax </w:t>
            </w:r>
          </w:p>
          <w:p w14:paraId="5450B647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360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(64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trials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 </w:t>
            </w:r>
          </w:p>
        </w:tc>
        <w:tc>
          <w:tcPr>
            <w:tcW w:w="513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9304" w14:textId="77777777" w:rsidR="00BA7D5A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57" w:line="360" w:lineRule="atLeast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Participants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judged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whether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two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words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formed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correct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phrase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Items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included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verb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inflection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(e.g.,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correct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have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incorrect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has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both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syntactic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agreement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(e.g.,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two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tables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violations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(e.g.,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two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womans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).</w:t>
            </w:r>
          </w:p>
        </w:tc>
      </w:tr>
    </w:tbl>
    <w:p w14:paraId="0506C7A6" w14:textId="77777777" w:rsidR="00BA7D5A" w:rsidRDefault="00BA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48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25CE72" w14:textId="77777777" w:rsidR="00BA7D5A" w:rsidRDefault="00BA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48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6DE383" w14:textId="77777777" w:rsidR="00BA7D5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br w:type="page" w:clear="all"/>
      </w:r>
    </w:p>
    <w:p w14:paraId="13BE101A" w14:textId="7C97F7C0" w:rsidR="00BA7D5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48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>Supplementary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Figure S</w:t>
      </w:r>
      <w:r w:rsidR="00110AB0">
        <w:rPr>
          <w:rFonts w:ascii="Times New Roman" w:eastAsia="Times New Roman" w:hAnsi="Times New Roman" w:cs="Times New Roman"/>
          <w:b/>
          <w:bCs/>
          <w:color w:val="000000"/>
          <w:sz w:val="24"/>
        </w:rPr>
        <w:t>3</w:t>
      </w:r>
    </w:p>
    <w:p w14:paraId="7D7C847E" w14:textId="77777777" w:rsidR="00BA7D5A" w:rsidRDefault="00000000">
      <w:r>
        <w:rPr>
          <w:noProof/>
        </w:rPr>
        <mc:AlternateContent>
          <mc:Choice Requires="wpg">
            <w:drawing>
              <wp:anchor distT="0" distB="0" distL="115200" distR="115200" simplePos="0" relativeHeight="22528" behindDoc="0" locked="0" layoutInCell="1" allowOverlap="1" wp14:anchorId="14C4F25E" wp14:editId="6292BB57">
                <wp:simplePos x="0" y="0"/>
                <wp:positionH relativeFrom="column">
                  <wp:posOffset>497315</wp:posOffset>
                </wp:positionH>
                <wp:positionV relativeFrom="paragraph">
                  <wp:posOffset>130391</wp:posOffset>
                </wp:positionV>
                <wp:extent cx="4852560" cy="3267292"/>
                <wp:effectExtent l="0" t="0" r="0" b="0"/>
                <wp:wrapTopAndBottom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1718835" name=""/>
                        <pic:cNvPicPr>
                          <a:picLocks noChangeAspect="1"/>
                        </pic:cNvPicPr>
                      </pic:nvPicPr>
                      <pic:blipFill rotWithShape="1">
                        <a:blip r:embed="rId7"/>
                        <a:srcRect t="7066"/>
                        <a:stretch/>
                      </pic:blipFill>
                      <pic:spPr bwMode="auto">
                        <a:xfrm>
                          <a:off x="0" y="0"/>
                          <a:ext cx="4852559" cy="32672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2528;o:allowoverlap:true;o:allowincell:true;mso-position-horizontal-relative:text;margin-left:39.16pt;mso-position-horizontal:absolute;mso-position-vertical-relative:text;margin-top:10.27pt;mso-position-vertical:absolute;width:382.09pt;height:257.27pt;mso-wrap-distance-left:9.07pt;mso-wrap-distance-top:0.00pt;mso-wrap-distance-right:9.07pt;mso-wrap-distance-bottom:0.00pt;rotation:0;z-index:1;" stroked="false">
                <w10:wrap type="topAndBottom"/>
                <v:imagedata r:id="rId9" o:title="" croptop="4631f" cropleft="0f" cropbottom="0f" cropright="0f"/>
                <o:lock v:ext="edit" rotation="t"/>
              </v:shape>
            </w:pict>
          </mc:Fallback>
        </mc:AlternateContent>
      </w:r>
    </w:p>
    <w:p w14:paraId="2CF3C7D1" w14:textId="77777777" w:rsidR="00BA7D5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Figure 2: Mean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reaction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times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(in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for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compatible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incompatible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trials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above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below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60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for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both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French and Germans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speakers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 </w:t>
      </w:r>
      <w:r>
        <w:rPr>
          <w:rFonts w:ascii="Times New Roman" w:eastAsia="Times New Roman" w:hAnsi="Times New Roman" w:cs="Times New Roman"/>
          <w:color w:val="000000"/>
        </w:rPr>
        <w:t xml:space="preserve">Mean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reaction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drawn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distinct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lines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plotted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separately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France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left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and Germany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right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within-subject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95%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confidence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intervals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(CIs,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Cousineau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–Morey [11,12]). The UDCE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visible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clear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compatibility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benefit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countries.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Unlike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Germans, French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participants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slower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&lt;60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trials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compatibility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levels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Overlapping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Cousineau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–Morey-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corrected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CIs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suggest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threshold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differences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small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uncertain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compatibility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effect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pronounced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both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panels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14:paraId="1F456216" w14:textId="77777777" w:rsidR="00BA7D5A" w:rsidRDefault="00BA7D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tLeast"/>
        <w:jc w:val="both"/>
      </w:pPr>
    </w:p>
    <w:sectPr w:rsidR="00BA7D5A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470E3" w14:textId="77777777" w:rsidR="00E9576A" w:rsidRDefault="00E9576A">
      <w:pPr>
        <w:spacing w:after="0" w:line="240" w:lineRule="auto"/>
      </w:pPr>
      <w:r>
        <w:separator/>
      </w:r>
    </w:p>
  </w:endnote>
  <w:endnote w:type="continuationSeparator" w:id="0">
    <w:p w14:paraId="4186DFF8" w14:textId="77777777" w:rsidR="00E9576A" w:rsidRDefault="00E9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8ED86" w14:textId="77777777" w:rsidR="00E9576A" w:rsidRDefault="00E9576A">
      <w:pPr>
        <w:spacing w:after="0" w:line="240" w:lineRule="auto"/>
      </w:pPr>
      <w:r>
        <w:separator/>
      </w:r>
    </w:p>
  </w:footnote>
  <w:footnote w:type="continuationSeparator" w:id="0">
    <w:p w14:paraId="2700704B" w14:textId="77777777" w:rsidR="00E9576A" w:rsidRDefault="00E95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229298"/>
    <w:multiLevelType w:val="multilevel"/>
    <w:tmpl w:val="553C3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93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5A"/>
    <w:rsid w:val="00110AB0"/>
    <w:rsid w:val="00A61C2A"/>
    <w:rsid w:val="00BA7D5A"/>
    <w:rsid w:val="00E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C26A"/>
  <w15:docId w15:val="{13B54BA3-4821-4523-9D8D-5BBDF96C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502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Laurine MILON</cp:lastModifiedBy>
  <cp:revision>5</cp:revision>
  <dcterms:created xsi:type="dcterms:W3CDTF">2025-10-30T13:46:00Z</dcterms:created>
  <dcterms:modified xsi:type="dcterms:W3CDTF">2025-10-30T13:49:00Z</dcterms:modified>
</cp:coreProperties>
</file>