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EBB4" w14:textId="62693A33" w:rsidR="00734F4C" w:rsidRPr="00734F4C" w:rsidRDefault="00734F4C" w:rsidP="00493012">
      <w:pPr>
        <w:spacing w:line="480" w:lineRule="auto"/>
        <w:jc w:val="both"/>
        <w:rPr>
          <w:b/>
          <w:bCs/>
          <w:color w:val="0D0D0D"/>
          <w:sz w:val="24"/>
          <w:lang w:val="en-US"/>
        </w:rPr>
      </w:pPr>
      <w:r w:rsidRPr="00734F4C">
        <w:rPr>
          <w:b/>
          <w:bCs/>
          <w:color w:val="0D0D0D"/>
          <w:sz w:val="24"/>
          <w:lang w:val="en-US"/>
        </w:rPr>
        <w:t>A.</w:t>
      </w:r>
    </w:p>
    <w:tbl>
      <w:tblPr>
        <w:tblW w:w="5000" w:type="pct"/>
        <w:tblCellMar>
          <w:left w:w="0" w:type="dxa"/>
          <w:right w:w="0" w:type="dxa"/>
        </w:tblCellMar>
        <w:tblLook w:val="0400" w:firstRow="0" w:lastRow="0" w:firstColumn="0" w:lastColumn="0" w:noHBand="0" w:noVBand="1"/>
      </w:tblPr>
      <w:tblGrid>
        <w:gridCol w:w="2613"/>
        <w:gridCol w:w="2417"/>
        <w:gridCol w:w="1482"/>
        <w:gridCol w:w="1266"/>
        <w:gridCol w:w="1228"/>
      </w:tblGrid>
      <w:tr w:rsidR="00734F4C" w:rsidRPr="00734F4C" w14:paraId="3FBB83F8" w14:textId="77777777" w:rsidTr="00734F4C">
        <w:trPr>
          <w:trHeight w:val="288"/>
        </w:trPr>
        <w:tc>
          <w:tcPr>
            <w:tcW w:w="5000" w:type="pct"/>
            <w:gridSpan w:val="5"/>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hideMark/>
          </w:tcPr>
          <w:p w14:paraId="6A259B16" w14:textId="2FA56104" w:rsidR="00734F4C" w:rsidRPr="00734F4C" w:rsidRDefault="00734F4C" w:rsidP="00734F4C">
            <w:pPr>
              <w:spacing w:line="480" w:lineRule="auto"/>
              <w:jc w:val="both"/>
              <w:rPr>
                <w:color w:val="0D0D0D"/>
                <w:sz w:val="24"/>
                <w:lang w:val="en-US"/>
              </w:rPr>
            </w:pPr>
            <w:r w:rsidRPr="00734F4C">
              <w:rPr>
                <w:b/>
                <w:bCs/>
                <w:color w:val="0D0D0D"/>
                <w:sz w:val="24"/>
                <w:lang w:val="en-US"/>
              </w:rPr>
              <w:t>Multivariable sensitivity analys</w:t>
            </w:r>
            <w:r w:rsidR="00751EBA">
              <w:rPr>
                <w:b/>
                <w:bCs/>
                <w:color w:val="0D0D0D"/>
                <w:sz w:val="24"/>
                <w:lang w:val="en-US"/>
              </w:rPr>
              <w:t>is</w:t>
            </w:r>
            <w:r w:rsidRPr="00734F4C">
              <w:rPr>
                <w:b/>
                <w:bCs/>
                <w:color w:val="0D0D0D"/>
                <w:sz w:val="24"/>
                <w:lang w:val="en-US"/>
              </w:rPr>
              <w:t xml:space="preserve"> for PFS</w:t>
            </w:r>
          </w:p>
        </w:tc>
      </w:tr>
      <w:tr w:rsidR="00734F4C" w:rsidRPr="00734F4C" w14:paraId="4117203F" w14:textId="77777777" w:rsidTr="00734F4C">
        <w:trPr>
          <w:trHeight w:val="288"/>
        </w:trPr>
        <w:tc>
          <w:tcPr>
            <w:tcW w:w="1450"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hideMark/>
          </w:tcPr>
          <w:p w14:paraId="17C286EE" w14:textId="77777777" w:rsidR="00734F4C" w:rsidRPr="00734F4C" w:rsidRDefault="00734F4C" w:rsidP="00734F4C">
            <w:pPr>
              <w:spacing w:line="480" w:lineRule="auto"/>
              <w:jc w:val="both"/>
              <w:rPr>
                <w:color w:val="0D0D0D"/>
                <w:sz w:val="24"/>
                <w:lang w:val="en-US"/>
              </w:rPr>
            </w:pPr>
            <w:r w:rsidRPr="00734F4C">
              <w:rPr>
                <w:b/>
                <w:bCs/>
                <w:color w:val="0D0D0D"/>
                <w:sz w:val="24"/>
                <w:lang w:val="en-US"/>
              </w:rPr>
              <w:t>Model</w:t>
            </w:r>
          </w:p>
        </w:tc>
        <w:tc>
          <w:tcPr>
            <w:tcW w:w="1342"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hideMark/>
          </w:tcPr>
          <w:p w14:paraId="1CBF1707" w14:textId="77777777" w:rsidR="00734F4C" w:rsidRPr="00734F4C" w:rsidRDefault="00734F4C" w:rsidP="00734F4C">
            <w:pPr>
              <w:spacing w:line="480" w:lineRule="auto"/>
              <w:jc w:val="both"/>
              <w:rPr>
                <w:color w:val="0D0D0D"/>
                <w:sz w:val="24"/>
                <w:lang w:val="en-US"/>
              </w:rPr>
            </w:pPr>
            <w:r w:rsidRPr="00734F4C">
              <w:rPr>
                <w:b/>
                <w:bCs/>
                <w:color w:val="0D0D0D"/>
                <w:sz w:val="24"/>
                <w:lang w:val="en-US"/>
              </w:rPr>
              <w:t>Variable</w:t>
            </w:r>
          </w:p>
        </w:tc>
        <w:tc>
          <w:tcPr>
            <w:tcW w:w="823"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hideMark/>
          </w:tcPr>
          <w:p w14:paraId="69E334B8" w14:textId="77777777" w:rsidR="00734F4C" w:rsidRPr="00734F4C" w:rsidRDefault="00734F4C" w:rsidP="00734F4C">
            <w:pPr>
              <w:spacing w:line="480" w:lineRule="auto"/>
              <w:jc w:val="both"/>
              <w:rPr>
                <w:color w:val="0D0D0D"/>
                <w:sz w:val="24"/>
                <w:lang w:val="en-US"/>
              </w:rPr>
            </w:pPr>
            <w:r w:rsidRPr="00734F4C">
              <w:rPr>
                <w:b/>
                <w:bCs/>
                <w:color w:val="0D0D0D"/>
                <w:sz w:val="24"/>
                <w:lang w:val="en-US"/>
              </w:rPr>
              <w:t>Hazard Ratio</w:t>
            </w:r>
          </w:p>
        </w:tc>
        <w:tc>
          <w:tcPr>
            <w:tcW w:w="703"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hideMark/>
          </w:tcPr>
          <w:p w14:paraId="4C6A5421" w14:textId="77777777" w:rsidR="00734F4C" w:rsidRPr="00734F4C" w:rsidRDefault="00734F4C" w:rsidP="00734F4C">
            <w:pPr>
              <w:spacing w:line="480" w:lineRule="auto"/>
              <w:jc w:val="both"/>
              <w:rPr>
                <w:color w:val="0D0D0D"/>
                <w:sz w:val="24"/>
                <w:lang w:val="en-US"/>
              </w:rPr>
            </w:pPr>
            <w:r w:rsidRPr="00734F4C">
              <w:rPr>
                <w:b/>
                <w:bCs/>
                <w:color w:val="0D0D0D"/>
                <w:sz w:val="24"/>
                <w:lang w:val="en-US"/>
              </w:rPr>
              <w:t>95% CI</w:t>
            </w:r>
          </w:p>
        </w:tc>
        <w:tc>
          <w:tcPr>
            <w:tcW w:w="682"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hideMark/>
          </w:tcPr>
          <w:p w14:paraId="262A554D" w14:textId="77777777" w:rsidR="00734F4C" w:rsidRPr="00734F4C" w:rsidRDefault="00734F4C" w:rsidP="00734F4C">
            <w:pPr>
              <w:spacing w:line="480" w:lineRule="auto"/>
              <w:jc w:val="both"/>
              <w:rPr>
                <w:color w:val="0D0D0D"/>
                <w:sz w:val="24"/>
                <w:lang w:val="en-US"/>
              </w:rPr>
            </w:pPr>
            <w:r w:rsidRPr="00734F4C">
              <w:rPr>
                <w:b/>
                <w:bCs/>
                <w:color w:val="0D0D0D"/>
                <w:sz w:val="24"/>
                <w:lang w:val="en-US"/>
              </w:rPr>
              <w:t>p-value</w:t>
            </w:r>
          </w:p>
        </w:tc>
      </w:tr>
      <w:tr w:rsidR="00734F4C" w:rsidRPr="00734F4C" w14:paraId="4F86550E" w14:textId="77777777" w:rsidTr="00734F4C">
        <w:trPr>
          <w:trHeight w:val="288"/>
        </w:trPr>
        <w:tc>
          <w:tcPr>
            <w:tcW w:w="1450"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2F3CF059" w14:textId="77777777" w:rsidR="00734F4C" w:rsidRPr="00734F4C" w:rsidRDefault="00734F4C" w:rsidP="00734F4C">
            <w:pPr>
              <w:spacing w:line="480" w:lineRule="auto"/>
              <w:jc w:val="both"/>
              <w:rPr>
                <w:color w:val="0D0D0D"/>
                <w:sz w:val="24"/>
                <w:lang w:val="en-US"/>
              </w:rPr>
            </w:pPr>
            <w:r w:rsidRPr="00734F4C">
              <w:rPr>
                <w:b/>
                <w:bCs/>
                <w:color w:val="0D0D0D"/>
                <w:sz w:val="24"/>
                <w:lang w:val="en-US"/>
              </w:rPr>
              <w:t>Main model</w:t>
            </w:r>
          </w:p>
        </w:tc>
        <w:tc>
          <w:tcPr>
            <w:tcW w:w="1342"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4FDD498B" w14:textId="77777777" w:rsidR="00734F4C" w:rsidRPr="00734F4C" w:rsidRDefault="00734F4C" w:rsidP="00734F4C">
            <w:pPr>
              <w:spacing w:line="480" w:lineRule="auto"/>
              <w:jc w:val="both"/>
              <w:rPr>
                <w:color w:val="0D0D0D"/>
                <w:sz w:val="24"/>
                <w:lang w:val="en-US"/>
              </w:rPr>
            </w:pPr>
            <w:r w:rsidRPr="00734F4C">
              <w:rPr>
                <w:color w:val="0D0D0D"/>
                <w:sz w:val="24"/>
                <w:lang w:val="en-US"/>
              </w:rPr>
              <w:t>Carboplatin vs Cisplatin</w:t>
            </w:r>
          </w:p>
        </w:tc>
        <w:tc>
          <w:tcPr>
            <w:tcW w:w="823" w:type="pct"/>
            <w:tcBorders>
              <w:top w:val="single" w:sz="8" w:space="0" w:color="FFFFFF"/>
              <w:left w:val="single" w:sz="8" w:space="0" w:color="FFFFFF"/>
              <w:bottom w:val="single" w:sz="8" w:space="0" w:color="FFFFFF"/>
              <w:right w:val="single" w:sz="8" w:space="0" w:color="FFFFFF"/>
            </w:tcBorders>
            <w:shd w:val="clear" w:color="auto" w:fill="CBCBCB"/>
            <w:tcMar>
              <w:top w:w="5" w:type="dxa"/>
              <w:left w:w="5" w:type="dxa"/>
              <w:bottom w:w="0" w:type="dxa"/>
              <w:right w:w="5" w:type="dxa"/>
            </w:tcMar>
            <w:vAlign w:val="center"/>
            <w:hideMark/>
          </w:tcPr>
          <w:p w14:paraId="775B30B6" w14:textId="77777777" w:rsidR="00734F4C" w:rsidRPr="00734F4C" w:rsidRDefault="00734F4C" w:rsidP="00734F4C">
            <w:pPr>
              <w:spacing w:line="480" w:lineRule="auto"/>
              <w:jc w:val="both"/>
              <w:rPr>
                <w:color w:val="0D0D0D"/>
                <w:sz w:val="24"/>
                <w:lang w:val="en-US"/>
              </w:rPr>
            </w:pPr>
            <w:r w:rsidRPr="00734F4C">
              <w:rPr>
                <w:color w:val="0D0D0D"/>
                <w:sz w:val="24"/>
                <w:lang w:val="en-US"/>
              </w:rPr>
              <w:t>0.70</w:t>
            </w:r>
          </w:p>
        </w:tc>
        <w:tc>
          <w:tcPr>
            <w:tcW w:w="703" w:type="pct"/>
            <w:tcBorders>
              <w:top w:val="single" w:sz="8" w:space="0" w:color="FFFFFF"/>
              <w:left w:val="single" w:sz="8" w:space="0" w:color="FFFFFF"/>
              <w:bottom w:val="single" w:sz="8" w:space="0" w:color="FFFFFF"/>
              <w:right w:val="single" w:sz="8" w:space="0" w:color="FFFFFF"/>
            </w:tcBorders>
            <w:shd w:val="clear" w:color="auto" w:fill="CBCBCB"/>
            <w:tcMar>
              <w:top w:w="5" w:type="dxa"/>
              <w:left w:w="5" w:type="dxa"/>
              <w:bottom w:w="0" w:type="dxa"/>
              <w:right w:w="5" w:type="dxa"/>
            </w:tcMar>
            <w:vAlign w:val="center"/>
            <w:hideMark/>
          </w:tcPr>
          <w:p w14:paraId="0068A072" w14:textId="77777777" w:rsidR="00734F4C" w:rsidRPr="00734F4C" w:rsidRDefault="00734F4C" w:rsidP="00734F4C">
            <w:pPr>
              <w:spacing w:line="480" w:lineRule="auto"/>
              <w:jc w:val="both"/>
              <w:rPr>
                <w:color w:val="0D0D0D"/>
                <w:sz w:val="24"/>
                <w:lang w:val="en-US"/>
              </w:rPr>
            </w:pPr>
            <w:r w:rsidRPr="00734F4C">
              <w:rPr>
                <w:color w:val="0D0D0D"/>
                <w:sz w:val="24"/>
                <w:lang w:val="en-US"/>
              </w:rPr>
              <w:t>0.40–1.23</w:t>
            </w:r>
          </w:p>
        </w:tc>
        <w:tc>
          <w:tcPr>
            <w:tcW w:w="682" w:type="pct"/>
            <w:tcBorders>
              <w:top w:val="single" w:sz="8" w:space="0" w:color="FFFFFF"/>
              <w:left w:val="single" w:sz="8" w:space="0" w:color="FFFFFF"/>
              <w:bottom w:val="single" w:sz="8" w:space="0" w:color="FFFFFF"/>
              <w:right w:val="single" w:sz="8" w:space="0" w:color="FFFFFF"/>
            </w:tcBorders>
            <w:shd w:val="clear" w:color="auto" w:fill="CBCBCB"/>
            <w:tcMar>
              <w:top w:w="5" w:type="dxa"/>
              <w:left w:w="5" w:type="dxa"/>
              <w:bottom w:w="0" w:type="dxa"/>
              <w:right w:w="5" w:type="dxa"/>
            </w:tcMar>
            <w:vAlign w:val="center"/>
            <w:hideMark/>
          </w:tcPr>
          <w:p w14:paraId="48DFDF4C" w14:textId="77777777" w:rsidR="00734F4C" w:rsidRPr="00734F4C" w:rsidRDefault="00734F4C" w:rsidP="00734F4C">
            <w:pPr>
              <w:spacing w:line="480" w:lineRule="auto"/>
              <w:jc w:val="both"/>
              <w:rPr>
                <w:color w:val="0D0D0D"/>
                <w:sz w:val="24"/>
                <w:lang w:val="en-US"/>
              </w:rPr>
            </w:pPr>
            <w:r w:rsidRPr="00734F4C">
              <w:rPr>
                <w:color w:val="0D0D0D"/>
                <w:sz w:val="24"/>
                <w:lang w:val="en-US"/>
              </w:rPr>
              <w:t>0.22</w:t>
            </w:r>
          </w:p>
        </w:tc>
      </w:tr>
      <w:tr w:rsidR="00734F4C" w:rsidRPr="00734F4C" w14:paraId="28085BFD" w14:textId="77777777" w:rsidTr="00734F4C">
        <w:trPr>
          <w:trHeight w:val="288"/>
        </w:trPr>
        <w:tc>
          <w:tcPr>
            <w:tcW w:w="1450"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6F79D845" w14:textId="77777777" w:rsidR="00734F4C" w:rsidRPr="00734F4C" w:rsidRDefault="00734F4C" w:rsidP="00734F4C">
            <w:pPr>
              <w:spacing w:line="480" w:lineRule="auto"/>
              <w:jc w:val="both"/>
              <w:rPr>
                <w:color w:val="0D0D0D"/>
                <w:sz w:val="24"/>
                <w:lang w:val="en-US"/>
              </w:rPr>
            </w:pPr>
            <w:r w:rsidRPr="00734F4C">
              <w:rPr>
                <w:b/>
                <w:bCs/>
                <w:color w:val="0D0D0D"/>
                <w:sz w:val="24"/>
                <w:lang w:val="en-US"/>
              </w:rPr>
              <w:t>With p16</w:t>
            </w:r>
          </w:p>
        </w:tc>
        <w:tc>
          <w:tcPr>
            <w:tcW w:w="1342"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306AB545" w14:textId="77777777" w:rsidR="00734F4C" w:rsidRPr="00734F4C" w:rsidRDefault="00734F4C" w:rsidP="00734F4C">
            <w:pPr>
              <w:spacing w:line="480" w:lineRule="auto"/>
              <w:jc w:val="both"/>
              <w:rPr>
                <w:color w:val="0D0D0D"/>
                <w:sz w:val="24"/>
                <w:lang w:val="en-US"/>
              </w:rPr>
            </w:pPr>
            <w:r w:rsidRPr="00734F4C">
              <w:rPr>
                <w:color w:val="0D0D0D"/>
                <w:sz w:val="24"/>
                <w:lang w:val="en-US"/>
              </w:rPr>
              <w:t>Carboplatin vs Cisplatin</w:t>
            </w:r>
          </w:p>
        </w:tc>
        <w:tc>
          <w:tcPr>
            <w:tcW w:w="823"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08B8E89E" w14:textId="77777777" w:rsidR="00734F4C" w:rsidRPr="00734F4C" w:rsidRDefault="00734F4C" w:rsidP="00734F4C">
            <w:pPr>
              <w:spacing w:line="480" w:lineRule="auto"/>
              <w:jc w:val="both"/>
              <w:rPr>
                <w:color w:val="0D0D0D"/>
                <w:sz w:val="24"/>
                <w:lang w:val="en-US"/>
              </w:rPr>
            </w:pPr>
            <w:r w:rsidRPr="00734F4C">
              <w:rPr>
                <w:color w:val="0D0D0D"/>
                <w:sz w:val="24"/>
                <w:lang w:val="en-US"/>
              </w:rPr>
              <w:t>0.58</w:t>
            </w:r>
          </w:p>
        </w:tc>
        <w:tc>
          <w:tcPr>
            <w:tcW w:w="703"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38C0B2FE" w14:textId="77777777" w:rsidR="00734F4C" w:rsidRPr="00734F4C" w:rsidRDefault="00734F4C" w:rsidP="00734F4C">
            <w:pPr>
              <w:spacing w:line="480" w:lineRule="auto"/>
              <w:jc w:val="both"/>
              <w:rPr>
                <w:color w:val="0D0D0D"/>
                <w:sz w:val="24"/>
                <w:lang w:val="en-US"/>
              </w:rPr>
            </w:pPr>
            <w:r w:rsidRPr="00734F4C">
              <w:rPr>
                <w:color w:val="0D0D0D"/>
                <w:sz w:val="24"/>
                <w:lang w:val="en-US"/>
              </w:rPr>
              <w:t>0.32–1.04</w:t>
            </w:r>
          </w:p>
        </w:tc>
        <w:tc>
          <w:tcPr>
            <w:tcW w:w="682"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539F7996" w14:textId="77777777" w:rsidR="00734F4C" w:rsidRPr="00734F4C" w:rsidRDefault="00734F4C" w:rsidP="00734F4C">
            <w:pPr>
              <w:spacing w:line="480" w:lineRule="auto"/>
              <w:jc w:val="both"/>
              <w:rPr>
                <w:color w:val="0D0D0D"/>
                <w:sz w:val="24"/>
                <w:lang w:val="en-US"/>
              </w:rPr>
            </w:pPr>
            <w:r w:rsidRPr="00734F4C">
              <w:rPr>
                <w:color w:val="0D0D0D"/>
                <w:sz w:val="24"/>
                <w:lang w:val="en-US"/>
              </w:rPr>
              <w:t>0.07</w:t>
            </w:r>
          </w:p>
        </w:tc>
      </w:tr>
      <w:tr w:rsidR="00734F4C" w:rsidRPr="00734F4C" w14:paraId="5C8F2801" w14:textId="77777777" w:rsidTr="00734F4C">
        <w:trPr>
          <w:trHeight w:val="288"/>
        </w:trPr>
        <w:tc>
          <w:tcPr>
            <w:tcW w:w="1450"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63BDD359" w14:textId="77777777" w:rsidR="00734F4C" w:rsidRPr="00734F4C" w:rsidRDefault="00734F4C" w:rsidP="00734F4C">
            <w:pPr>
              <w:spacing w:line="480" w:lineRule="auto"/>
              <w:jc w:val="both"/>
              <w:rPr>
                <w:color w:val="0D0D0D"/>
                <w:sz w:val="24"/>
                <w:lang w:val="en-US"/>
              </w:rPr>
            </w:pPr>
            <w:r w:rsidRPr="00734F4C">
              <w:rPr>
                <w:b/>
                <w:bCs/>
                <w:color w:val="0D0D0D"/>
                <w:sz w:val="24"/>
                <w:lang w:val="en-US"/>
              </w:rPr>
              <w:t>With primary tumor site</w:t>
            </w:r>
          </w:p>
        </w:tc>
        <w:tc>
          <w:tcPr>
            <w:tcW w:w="1342"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0461E064" w14:textId="77777777" w:rsidR="00734F4C" w:rsidRPr="00734F4C" w:rsidRDefault="00734F4C" w:rsidP="00734F4C">
            <w:pPr>
              <w:spacing w:line="480" w:lineRule="auto"/>
              <w:jc w:val="both"/>
              <w:rPr>
                <w:color w:val="0D0D0D"/>
                <w:sz w:val="24"/>
                <w:lang w:val="en-US"/>
              </w:rPr>
            </w:pPr>
            <w:r w:rsidRPr="00734F4C">
              <w:rPr>
                <w:color w:val="0D0D0D"/>
                <w:sz w:val="24"/>
                <w:lang w:val="en-US"/>
              </w:rPr>
              <w:t>Carboplatin vs Cisplatin</w:t>
            </w:r>
          </w:p>
        </w:tc>
        <w:tc>
          <w:tcPr>
            <w:tcW w:w="823"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39EA14C0" w14:textId="77777777" w:rsidR="00734F4C" w:rsidRPr="00734F4C" w:rsidRDefault="00734F4C" w:rsidP="00734F4C">
            <w:pPr>
              <w:spacing w:line="480" w:lineRule="auto"/>
              <w:jc w:val="both"/>
              <w:rPr>
                <w:color w:val="0D0D0D"/>
                <w:sz w:val="24"/>
                <w:lang w:val="en-US"/>
              </w:rPr>
            </w:pPr>
            <w:r w:rsidRPr="00734F4C">
              <w:rPr>
                <w:color w:val="0D0D0D"/>
                <w:sz w:val="24"/>
                <w:lang w:val="en-US"/>
              </w:rPr>
              <w:t>0.63</w:t>
            </w:r>
          </w:p>
        </w:tc>
        <w:tc>
          <w:tcPr>
            <w:tcW w:w="703"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642ADAF8" w14:textId="77777777" w:rsidR="00734F4C" w:rsidRPr="00734F4C" w:rsidRDefault="00734F4C" w:rsidP="00734F4C">
            <w:pPr>
              <w:spacing w:line="480" w:lineRule="auto"/>
              <w:jc w:val="both"/>
              <w:rPr>
                <w:color w:val="0D0D0D"/>
                <w:sz w:val="24"/>
                <w:lang w:val="en-US"/>
              </w:rPr>
            </w:pPr>
            <w:r w:rsidRPr="00734F4C">
              <w:rPr>
                <w:color w:val="0D0D0D"/>
                <w:sz w:val="24"/>
                <w:lang w:val="en-US"/>
              </w:rPr>
              <w:t>0.34–1.17</w:t>
            </w:r>
          </w:p>
        </w:tc>
        <w:tc>
          <w:tcPr>
            <w:tcW w:w="682"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5B1F5866" w14:textId="77777777" w:rsidR="00734F4C" w:rsidRPr="00734F4C" w:rsidRDefault="00734F4C" w:rsidP="00734F4C">
            <w:pPr>
              <w:spacing w:line="480" w:lineRule="auto"/>
              <w:jc w:val="both"/>
              <w:rPr>
                <w:color w:val="0D0D0D"/>
                <w:sz w:val="24"/>
                <w:lang w:val="en-US"/>
              </w:rPr>
            </w:pPr>
            <w:r w:rsidRPr="00734F4C">
              <w:rPr>
                <w:color w:val="0D0D0D"/>
                <w:sz w:val="24"/>
                <w:lang w:val="en-US"/>
              </w:rPr>
              <w:t>0.14</w:t>
            </w:r>
          </w:p>
        </w:tc>
      </w:tr>
      <w:tr w:rsidR="00734F4C" w:rsidRPr="00734F4C" w14:paraId="13CF13A4" w14:textId="77777777" w:rsidTr="00734F4C">
        <w:trPr>
          <w:trHeight w:val="288"/>
        </w:trPr>
        <w:tc>
          <w:tcPr>
            <w:tcW w:w="1450"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7AFE9E3A" w14:textId="77777777" w:rsidR="00734F4C" w:rsidRPr="00734F4C" w:rsidRDefault="00734F4C" w:rsidP="00734F4C">
            <w:pPr>
              <w:spacing w:line="480" w:lineRule="auto"/>
              <w:jc w:val="both"/>
              <w:rPr>
                <w:color w:val="0D0D0D"/>
                <w:sz w:val="24"/>
                <w:lang w:val="en-US"/>
              </w:rPr>
            </w:pPr>
            <w:r w:rsidRPr="00734F4C">
              <w:rPr>
                <w:b/>
                <w:bCs/>
                <w:color w:val="0D0D0D"/>
                <w:sz w:val="24"/>
                <w:lang w:val="en-US"/>
              </w:rPr>
              <w:t>With smoking history</w:t>
            </w:r>
          </w:p>
        </w:tc>
        <w:tc>
          <w:tcPr>
            <w:tcW w:w="1342"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15091E8B" w14:textId="77777777" w:rsidR="00734F4C" w:rsidRPr="00734F4C" w:rsidRDefault="00734F4C" w:rsidP="00734F4C">
            <w:pPr>
              <w:spacing w:line="480" w:lineRule="auto"/>
              <w:jc w:val="both"/>
              <w:rPr>
                <w:color w:val="0D0D0D"/>
                <w:sz w:val="24"/>
                <w:lang w:val="en-US"/>
              </w:rPr>
            </w:pPr>
            <w:r w:rsidRPr="00734F4C">
              <w:rPr>
                <w:color w:val="0D0D0D"/>
                <w:sz w:val="24"/>
                <w:lang w:val="en-US"/>
              </w:rPr>
              <w:t>Carboplatin vs Cisplatin</w:t>
            </w:r>
          </w:p>
        </w:tc>
        <w:tc>
          <w:tcPr>
            <w:tcW w:w="823"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19E57D8F" w14:textId="77777777" w:rsidR="00734F4C" w:rsidRPr="00734F4C" w:rsidRDefault="00734F4C" w:rsidP="00734F4C">
            <w:pPr>
              <w:spacing w:line="480" w:lineRule="auto"/>
              <w:jc w:val="both"/>
              <w:rPr>
                <w:color w:val="0D0D0D"/>
                <w:sz w:val="24"/>
                <w:lang w:val="en-US"/>
              </w:rPr>
            </w:pPr>
            <w:r w:rsidRPr="00734F4C">
              <w:rPr>
                <w:color w:val="0D0D0D"/>
                <w:sz w:val="24"/>
                <w:lang w:val="en-US"/>
              </w:rPr>
              <w:t>0.69</w:t>
            </w:r>
          </w:p>
        </w:tc>
        <w:tc>
          <w:tcPr>
            <w:tcW w:w="703"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140EA03B" w14:textId="77777777" w:rsidR="00734F4C" w:rsidRPr="00734F4C" w:rsidRDefault="00734F4C" w:rsidP="00734F4C">
            <w:pPr>
              <w:spacing w:line="480" w:lineRule="auto"/>
              <w:jc w:val="both"/>
              <w:rPr>
                <w:color w:val="0D0D0D"/>
                <w:sz w:val="24"/>
                <w:lang w:val="en-US"/>
              </w:rPr>
            </w:pPr>
            <w:r w:rsidRPr="00734F4C">
              <w:rPr>
                <w:color w:val="0D0D0D"/>
                <w:sz w:val="24"/>
                <w:lang w:val="en-US"/>
              </w:rPr>
              <w:t>0.39–1.22</w:t>
            </w:r>
          </w:p>
        </w:tc>
        <w:tc>
          <w:tcPr>
            <w:tcW w:w="682"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1025C3A4" w14:textId="77777777" w:rsidR="00734F4C" w:rsidRPr="00734F4C" w:rsidRDefault="00734F4C" w:rsidP="00734F4C">
            <w:pPr>
              <w:spacing w:line="480" w:lineRule="auto"/>
              <w:jc w:val="both"/>
              <w:rPr>
                <w:color w:val="0D0D0D"/>
                <w:sz w:val="24"/>
                <w:lang w:val="en-US"/>
              </w:rPr>
            </w:pPr>
            <w:r w:rsidRPr="00734F4C">
              <w:rPr>
                <w:color w:val="0D0D0D"/>
                <w:sz w:val="24"/>
                <w:lang w:val="en-US"/>
              </w:rPr>
              <w:t>0.20</w:t>
            </w:r>
          </w:p>
        </w:tc>
      </w:tr>
      <w:tr w:rsidR="00734F4C" w:rsidRPr="00734F4C" w14:paraId="547A0224" w14:textId="77777777" w:rsidTr="00734F4C">
        <w:trPr>
          <w:trHeight w:val="288"/>
        </w:trPr>
        <w:tc>
          <w:tcPr>
            <w:tcW w:w="1450"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0A3142BD" w14:textId="77777777" w:rsidR="00734F4C" w:rsidRPr="00734F4C" w:rsidRDefault="00734F4C" w:rsidP="00734F4C">
            <w:pPr>
              <w:spacing w:line="480" w:lineRule="auto"/>
              <w:jc w:val="both"/>
              <w:rPr>
                <w:color w:val="0D0D0D"/>
                <w:sz w:val="24"/>
                <w:lang w:val="en-US"/>
              </w:rPr>
            </w:pPr>
            <w:r w:rsidRPr="00734F4C">
              <w:rPr>
                <w:b/>
                <w:bCs/>
                <w:color w:val="0D0D0D"/>
                <w:sz w:val="24"/>
                <w:lang w:val="en-US"/>
              </w:rPr>
              <w:t>With age</w:t>
            </w:r>
          </w:p>
        </w:tc>
        <w:tc>
          <w:tcPr>
            <w:tcW w:w="1342"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1ED9FD11" w14:textId="77777777" w:rsidR="00734F4C" w:rsidRPr="00734F4C" w:rsidRDefault="00734F4C" w:rsidP="00734F4C">
            <w:pPr>
              <w:spacing w:line="480" w:lineRule="auto"/>
              <w:jc w:val="both"/>
              <w:rPr>
                <w:color w:val="0D0D0D"/>
                <w:sz w:val="24"/>
                <w:lang w:val="en-US"/>
              </w:rPr>
            </w:pPr>
            <w:r w:rsidRPr="00734F4C">
              <w:rPr>
                <w:color w:val="0D0D0D"/>
                <w:sz w:val="24"/>
                <w:lang w:val="en-US"/>
              </w:rPr>
              <w:t>Carboplatin vs Cisplatin</w:t>
            </w:r>
          </w:p>
        </w:tc>
        <w:tc>
          <w:tcPr>
            <w:tcW w:w="823"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2BCE35B1" w14:textId="77777777" w:rsidR="00734F4C" w:rsidRPr="00734F4C" w:rsidRDefault="00734F4C" w:rsidP="00734F4C">
            <w:pPr>
              <w:spacing w:line="480" w:lineRule="auto"/>
              <w:jc w:val="both"/>
              <w:rPr>
                <w:color w:val="0D0D0D"/>
                <w:sz w:val="24"/>
                <w:lang w:val="en-US"/>
              </w:rPr>
            </w:pPr>
            <w:r w:rsidRPr="00734F4C">
              <w:rPr>
                <w:color w:val="0D0D0D"/>
                <w:sz w:val="24"/>
                <w:lang w:val="en-US"/>
              </w:rPr>
              <w:t>0.86</w:t>
            </w:r>
          </w:p>
        </w:tc>
        <w:tc>
          <w:tcPr>
            <w:tcW w:w="703"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20EE89D7" w14:textId="77777777" w:rsidR="00734F4C" w:rsidRPr="00734F4C" w:rsidRDefault="00734F4C" w:rsidP="00734F4C">
            <w:pPr>
              <w:spacing w:line="480" w:lineRule="auto"/>
              <w:jc w:val="both"/>
              <w:rPr>
                <w:color w:val="0D0D0D"/>
                <w:sz w:val="24"/>
                <w:lang w:val="en-US"/>
              </w:rPr>
            </w:pPr>
            <w:r w:rsidRPr="00734F4C">
              <w:rPr>
                <w:color w:val="0D0D0D"/>
                <w:sz w:val="24"/>
                <w:lang w:val="en-US"/>
              </w:rPr>
              <w:t>0.44–1.68</w:t>
            </w:r>
          </w:p>
        </w:tc>
        <w:tc>
          <w:tcPr>
            <w:tcW w:w="682"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7A2ABBF8" w14:textId="77777777" w:rsidR="00734F4C" w:rsidRPr="00734F4C" w:rsidRDefault="00734F4C" w:rsidP="00734F4C">
            <w:pPr>
              <w:spacing w:line="480" w:lineRule="auto"/>
              <w:jc w:val="both"/>
              <w:rPr>
                <w:color w:val="0D0D0D"/>
                <w:sz w:val="24"/>
                <w:lang w:val="en-US"/>
              </w:rPr>
            </w:pPr>
            <w:r w:rsidRPr="00734F4C">
              <w:rPr>
                <w:color w:val="0D0D0D"/>
                <w:sz w:val="24"/>
                <w:lang w:val="en-US"/>
              </w:rPr>
              <w:t>0.65</w:t>
            </w:r>
          </w:p>
        </w:tc>
      </w:tr>
      <w:tr w:rsidR="00734F4C" w:rsidRPr="00734F4C" w14:paraId="44BD50F1" w14:textId="77777777" w:rsidTr="00734F4C">
        <w:trPr>
          <w:trHeight w:val="288"/>
        </w:trPr>
        <w:tc>
          <w:tcPr>
            <w:tcW w:w="1450"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67B1123E" w14:textId="77777777" w:rsidR="00734F4C" w:rsidRPr="00734F4C" w:rsidRDefault="00734F4C" w:rsidP="00734F4C">
            <w:pPr>
              <w:spacing w:line="480" w:lineRule="auto"/>
              <w:jc w:val="both"/>
              <w:rPr>
                <w:color w:val="0D0D0D"/>
                <w:sz w:val="24"/>
                <w:lang w:val="en-US"/>
              </w:rPr>
            </w:pPr>
            <w:r w:rsidRPr="00734F4C">
              <w:rPr>
                <w:b/>
                <w:bCs/>
                <w:color w:val="0D0D0D"/>
                <w:sz w:val="24"/>
                <w:lang w:val="en-US"/>
              </w:rPr>
              <w:t xml:space="preserve">With </w:t>
            </w:r>
            <w:proofErr w:type="spellStart"/>
            <w:r w:rsidRPr="00734F4C">
              <w:rPr>
                <w:b/>
                <w:bCs/>
                <w:color w:val="0D0D0D"/>
                <w:sz w:val="24"/>
                <w:lang w:val="en-US"/>
              </w:rPr>
              <w:t>ccr</w:t>
            </w:r>
            <w:proofErr w:type="spellEnd"/>
          </w:p>
        </w:tc>
        <w:tc>
          <w:tcPr>
            <w:tcW w:w="1342"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0F15B556" w14:textId="77777777" w:rsidR="00734F4C" w:rsidRPr="00734F4C" w:rsidRDefault="00734F4C" w:rsidP="00734F4C">
            <w:pPr>
              <w:spacing w:line="480" w:lineRule="auto"/>
              <w:jc w:val="both"/>
              <w:rPr>
                <w:color w:val="0D0D0D"/>
                <w:sz w:val="24"/>
                <w:lang w:val="en-US"/>
              </w:rPr>
            </w:pPr>
            <w:r w:rsidRPr="00734F4C">
              <w:rPr>
                <w:color w:val="0D0D0D"/>
                <w:sz w:val="24"/>
                <w:lang w:val="en-US"/>
              </w:rPr>
              <w:t>Carboplatin vs Cisplatin</w:t>
            </w:r>
          </w:p>
        </w:tc>
        <w:tc>
          <w:tcPr>
            <w:tcW w:w="823"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4EDA4B6E" w14:textId="77777777" w:rsidR="00734F4C" w:rsidRPr="00734F4C" w:rsidRDefault="00734F4C" w:rsidP="00734F4C">
            <w:pPr>
              <w:spacing w:line="480" w:lineRule="auto"/>
              <w:jc w:val="both"/>
              <w:rPr>
                <w:color w:val="0D0D0D"/>
                <w:sz w:val="24"/>
                <w:lang w:val="en-US"/>
              </w:rPr>
            </w:pPr>
            <w:r w:rsidRPr="00734F4C">
              <w:rPr>
                <w:color w:val="0D0D0D"/>
                <w:sz w:val="24"/>
                <w:lang w:val="en-US"/>
              </w:rPr>
              <w:t>0.73</w:t>
            </w:r>
          </w:p>
        </w:tc>
        <w:tc>
          <w:tcPr>
            <w:tcW w:w="703"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278C94BA" w14:textId="77777777" w:rsidR="00734F4C" w:rsidRPr="00734F4C" w:rsidRDefault="00734F4C" w:rsidP="00734F4C">
            <w:pPr>
              <w:spacing w:line="480" w:lineRule="auto"/>
              <w:jc w:val="both"/>
              <w:rPr>
                <w:color w:val="0D0D0D"/>
                <w:sz w:val="24"/>
                <w:lang w:val="en-US"/>
              </w:rPr>
            </w:pPr>
            <w:r w:rsidRPr="00734F4C">
              <w:rPr>
                <w:color w:val="0D0D0D"/>
                <w:sz w:val="24"/>
                <w:lang w:val="en-US"/>
              </w:rPr>
              <w:t>0.38–1.40</w:t>
            </w:r>
          </w:p>
        </w:tc>
        <w:tc>
          <w:tcPr>
            <w:tcW w:w="682"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57326E46" w14:textId="77777777" w:rsidR="00734F4C" w:rsidRPr="00734F4C" w:rsidRDefault="00734F4C" w:rsidP="00734F4C">
            <w:pPr>
              <w:spacing w:line="480" w:lineRule="auto"/>
              <w:jc w:val="both"/>
              <w:rPr>
                <w:color w:val="0D0D0D"/>
                <w:sz w:val="24"/>
                <w:lang w:val="en-US"/>
              </w:rPr>
            </w:pPr>
            <w:r w:rsidRPr="00734F4C">
              <w:rPr>
                <w:color w:val="0D0D0D"/>
                <w:sz w:val="24"/>
                <w:lang w:val="en-US"/>
              </w:rPr>
              <w:t>0.34</w:t>
            </w:r>
          </w:p>
        </w:tc>
      </w:tr>
      <w:tr w:rsidR="00734F4C" w:rsidRPr="00734F4C" w14:paraId="60E96BA0" w14:textId="77777777" w:rsidTr="00734F4C">
        <w:trPr>
          <w:trHeight w:val="288"/>
        </w:trPr>
        <w:tc>
          <w:tcPr>
            <w:tcW w:w="1450"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2DD6FB67" w14:textId="77777777" w:rsidR="00734F4C" w:rsidRPr="00734F4C" w:rsidRDefault="00734F4C" w:rsidP="00734F4C">
            <w:pPr>
              <w:spacing w:line="480" w:lineRule="auto"/>
              <w:jc w:val="both"/>
              <w:rPr>
                <w:color w:val="0D0D0D"/>
                <w:sz w:val="24"/>
                <w:lang w:val="en-US"/>
              </w:rPr>
            </w:pPr>
            <w:r w:rsidRPr="00734F4C">
              <w:rPr>
                <w:b/>
                <w:bCs/>
                <w:color w:val="0D0D0D"/>
                <w:sz w:val="24"/>
                <w:lang w:val="en-US"/>
              </w:rPr>
              <w:t>Truncated at 24 months</w:t>
            </w:r>
          </w:p>
        </w:tc>
        <w:tc>
          <w:tcPr>
            <w:tcW w:w="1342"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2B776DB2" w14:textId="77777777" w:rsidR="00734F4C" w:rsidRPr="00734F4C" w:rsidRDefault="00734F4C" w:rsidP="00734F4C">
            <w:pPr>
              <w:spacing w:line="480" w:lineRule="auto"/>
              <w:jc w:val="both"/>
              <w:rPr>
                <w:color w:val="0D0D0D"/>
                <w:sz w:val="24"/>
                <w:lang w:val="en-US"/>
              </w:rPr>
            </w:pPr>
            <w:r w:rsidRPr="00734F4C">
              <w:rPr>
                <w:color w:val="0D0D0D"/>
                <w:sz w:val="24"/>
                <w:lang w:val="en-US"/>
              </w:rPr>
              <w:t>Carboplatin vs Cisplatin</w:t>
            </w:r>
          </w:p>
        </w:tc>
        <w:tc>
          <w:tcPr>
            <w:tcW w:w="823"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1FB7FFE3" w14:textId="77777777" w:rsidR="00734F4C" w:rsidRPr="00734F4C" w:rsidRDefault="00734F4C" w:rsidP="00734F4C">
            <w:pPr>
              <w:spacing w:line="480" w:lineRule="auto"/>
              <w:jc w:val="both"/>
              <w:rPr>
                <w:color w:val="0D0D0D"/>
                <w:sz w:val="24"/>
                <w:lang w:val="en-US"/>
              </w:rPr>
            </w:pPr>
            <w:r w:rsidRPr="00734F4C">
              <w:rPr>
                <w:color w:val="0D0D0D"/>
                <w:sz w:val="24"/>
                <w:lang w:val="en-US"/>
              </w:rPr>
              <w:t>0.69</w:t>
            </w:r>
          </w:p>
        </w:tc>
        <w:tc>
          <w:tcPr>
            <w:tcW w:w="703"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70E0601C" w14:textId="77777777" w:rsidR="00734F4C" w:rsidRPr="00734F4C" w:rsidRDefault="00734F4C" w:rsidP="00734F4C">
            <w:pPr>
              <w:spacing w:line="480" w:lineRule="auto"/>
              <w:jc w:val="both"/>
              <w:rPr>
                <w:color w:val="0D0D0D"/>
                <w:sz w:val="24"/>
                <w:lang w:val="en-US"/>
              </w:rPr>
            </w:pPr>
            <w:r w:rsidRPr="00734F4C">
              <w:rPr>
                <w:color w:val="0D0D0D"/>
                <w:sz w:val="24"/>
                <w:lang w:val="en-US"/>
              </w:rPr>
              <w:t>0.39–1.22</w:t>
            </w:r>
          </w:p>
        </w:tc>
        <w:tc>
          <w:tcPr>
            <w:tcW w:w="682"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6AD3F84C" w14:textId="77777777" w:rsidR="00734F4C" w:rsidRPr="00734F4C" w:rsidRDefault="00734F4C" w:rsidP="00734F4C">
            <w:pPr>
              <w:spacing w:line="480" w:lineRule="auto"/>
              <w:jc w:val="both"/>
              <w:rPr>
                <w:color w:val="0D0D0D"/>
                <w:sz w:val="24"/>
                <w:lang w:val="en-US"/>
              </w:rPr>
            </w:pPr>
            <w:r w:rsidRPr="00734F4C">
              <w:rPr>
                <w:color w:val="0D0D0D"/>
                <w:sz w:val="24"/>
                <w:lang w:val="en-US"/>
              </w:rPr>
              <w:t>0.20</w:t>
            </w:r>
          </w:p>
        </w:tc>
      </w:tr>
    </w:tbl>
    <w:p w14:paraId="66D6E7CE" w14:textId="77777777" w:rsidR="00734F4C" w:rsidRDefault="00734F4C" w:rsidP="00493012">
      <w:pPr>
        <w:spacing w:line="480" w:lineRule="auto"/>
        <w:jc w:val="both"/>
        <w:rPr>
          <w:color w:val="0D0D0D"/>
          <w:sz w:val="24"/>
          <w:lang w:val="en-GB"/>
        </w:rPr>
      </w:pPr>
    </w:p>
    <w:p w14:paraId="55D42A29" w14:textId="20853085" w:rsidR="00734F4C" w:rsidRPr="00734F4C" w:rsidRDefault="00734F4C" w:rsidP="00493012">
      <w:pPr>
        <w:spacing w:line="480" w:lineRule="auto"/>
        <w:jc w:val="both"/>
        <w:rPr>
          <w:rFonts w:hint="eastAsia"/>
          <w:b/>
          <w:bCs/>
          <w:color w:val="0D0D0D"/>
          <w:sz w:val="24"/>
          <w:lang w:val="en-GB"/>
        </w:rPr>
      </w:pPr>
      <w:r w:rsidRPr="00734F4C">
        <w:rPr>
          <w:b/>
          <w:bCs/>
          <w:color w:val="0D0D0D"/>
          <w:sz w:val="24"/>
          <w:lang w:val="en-GB"/>
        </w:rPr>
        <w:t>B.</w:t>
      </w:r>
    </w:p>
    <w:tbl>
      <w:tblPr>
        <w:tblW w:w="5000" w:type="pct"/>
        <w:tblCellMar>
          <w:left w:w="0" w:type="dxa"/>
          <w:right w:w="0" w:type="dxa"/>
        </w:tblCellMar>
        <w:tblLook w:val="0400" w:firstRow="0" w:lastRow="0" w:firstColumn="0" w:lastColumn="0" w:noHBand="0" w:noVBand="1"/>
      </w:tblPr>
      <w:tblGrid>
        <w:gridCol w:w="2613"/>
        <w:gridCol w:w="2417"/>
        <w:gridCol w:w="1482"/>
        <w:gridCol w:w="1266"/>
        <w:gridCol w:w="1228"/>
      </w:tblGrid>
      <w:tr w:rsidR="00734F4C" w:rsidRPr="00734F4C" w14:paraId="2900DA12" w14:textId="77777777" w:rsidTr="00734F4C">
        <w:trPr>
          <w:trHeight w:val="288"/>
        </w:trPr>
        <w:tc>
          <w:tcPr>
            <w:tcW w:w="5000" w:type="pct"/>
            <w:gridSpan w:val="5"/>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hideMark/>
          </w:tcPr>
          <w:p w14:paraId="5972ED27" w14:textId="250A68BF" w:rsidR="00734F4C" w:rsidRPr="00734F4C" w:rsidRDefault="00734F4C" w:rsidP="00734F4C">
            <w:pPr>
              <w:spacing w:line="480" w:lineRule="auto"/>
              <w:jc w:val="both"/>
              <w:rPr>
                <w:b/>
                <w:bCs/>
                <w:color w:val="0D0D0D"/>
                <w:sz w:val="24"/>
                <w:lang w:val="en-US"/>
              </w:rPr>
            </w:pPr>
            <w:r w:rsidRPr="00734F4C">
              <w:rPr>
                <w:b/>
                <w:bCs/>
                <w:color w:val="0D0D0D"/>
                <w:sz w:val="24"/>
                <w:lang w:val="en-US"/>
              </w:rPr>
              <w:t>Multivariable sensitivity analys</w:t>
            </w:r>
            <w:r w:rsidR="00751EBA">
              <w:rPr>
                <w:b/>
                <w:bCs/>
                <w:color w:val="0D0D0D"/>
                <w:sz w:val="24"/>
                <w:lang w:val="en-US"/>
              </w:rPr>
              <w:t>is</w:t>
            </w:r>
            <w:r w:rsidRPr="00734F4C">
              <w:rPr>
                <w:b/>
                <w:bCs/>
                <w:color w:val="0D0D0D"/>
                <w:sz w:val="24"/>
                <w:lang w:val="en-US"/>
              </w:rPr>
              <w:t xml:space="preserve"> for OS</w:t>
            </w:r>
          </w:p>
        </w:tc>
      </w:tr>
      <w:tr w:rsidR="00734F4C" w:rsidRPr="00734F4C" w14:paraId="052D5A7E" w14:textId="77777777" w:rsidTr="00734F4C">
        <w:trPr>
          <w:trHeight w:val="288"/>
        </w:trPr>
        <w:tc>
          <w:tcPr>
            <w:tcW w:w="1450"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hideMark/>
          </w:tcPr>
          <w:p w14:paraId="20BAA368" w14:textId="77777777" w:rsidR="00734F4C" w:rsidRPr="00734F4C" w:rsidRDefault="00734F4C" w:rsidP="00734F4C">
            <w:pPr>
              <w:spacing w:line="480" w:lineRule="auto"/>
              <w:jc w:val="both"/>
              <w:rPr>
                <w:b/>
                <w:bCs/>
                <w:color w:val="0D0D0D"/>
                <w:sz w:val="24"/>
                <w:lang w:val="en-US"/>
              </w:rPr>
            </w:pPr>
            <w:r w:rsidRPr="00734F4C">
              <w:rPr>
                <w:b/>
                <w:bCs/>
                <w:color w:val="0D0D0D"/>
                <w:sz w:val="24"/>
                <w:lang w:val="en-US"/>
              </w:rPr>
              <w:t>Model</w:t>
            </w:r>
          </w:p>
        </w:tc>
        <w:tc>
          <w:tcPr>
            <w:tcW w:w="1342"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hideMark/>
          </w:tcPr>
          <w:p w14:paraId="331B8F78" w14:textId="77777777" w:rsidR="00734F4C" w:rsidRPr="00734F4C" w:rsidRDefault="00734F4C" w:rsidP="00734F4C">
            <w:pPr>
              <w:spacing w:line="480" w:lineRule="auto"/>
              <w:jc w:val="both"/>
              <w:rPr>
                <w:b/>
                <w:bCs/>
                <w:color w:val="0D0D0D"/>
                <w:sz w:val="24"/>
                <w:lang w:val="en-US"/>
              </w:rPr>
            </w:pPr>
            <w:r w:rsidRPr="00734F4C">
              <w:rPr>
                <w:b/>
                <w:bCs/>
                <w:color w:val="0D0D0D"/>
                <w:sz w:val="24"/>
                <w:lang w:val="en-US"/>
              </w:rPr>
              <w:t>Variable</w:t>
            </w:r>
          </w:p>
        </w:tc>
        <w:tc>
          <w:tcPr>
            <w:tcW w:w="823"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hideMark/>
          </w:tcPr>
          <w:p w14:paraId="435BBB65" w14:textId="77777777" w:rsidR="00734F4C" w:rsidRPr="00734F4C" w:rsidRDefault="00734F4C" w:rsidP="00734F4C">
            <w:pPr>
              <w:spacing w:line="480" w:lineRule="auto"/>
              <w:jc w:val="both"/>
              <w:rPr>
                <w:b/>
                <w:bCs/>
                <w:color w:val="0D0D0D"/>
                <w:sz w:val="24"/>
                <w:lang w:val="en-US"/>
              </w:rPr>
            </w:pPr>
            <w:r w:rsidRPr="00734F4C">
              <w:rPr>
                <w:b/>
                <w:bCs/>
                <w:color w:val="0D0D0D"/>
                <w:sz w:val="24"/>
                <w:lang w:val="en-US"/>
              </w:rPr>
              <w:t>Hazard Ratio</w:t>
            </w:r>
          </w:p>
        </w:tc>
        <w:tc>
          <w:tcPr>
            <w:tcW w:w="703"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hideMark/>
          </w:tcPr>
          <w:p w14:paraId="3130F280" w14:textId="77777777" w:rsidR="00734F4C" w:rsidRPr="00734F4C" w:rsidRDefault="00734F4C" w:rsidP="00734F4C">
            <w:pPr>
              <w:spacing w:line="480" w:lineRule="auto"/>
              <w:jc w:val="both"/>
              <w:rPr>
                <w:b/>
                <w:bCs/>
                <w:color w:val="0D0D0D"/>
                <w:sz w:val="24"/>
                <w:lang w:val="en-US"/>
              </w:rPr>
            </w:pPr>
            <w:r w:rsidRPr="00734F4C">
              <w:rPr>
                <w:b/>
                <w:bCs/>
                <w:color w:val="0D0D0D"/>
                <w:sz w:val="24"/>
                <w:lang w:val="en-US"/>
              </w:rPr>
              <w:t>95% CI</w:t>
            </w:r>
          </w:p>
        </w:tc>
        <w:tc>
          <w:tcPr>
            <w:tcW w:w="682"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hideMark/>
          </w:tcPr>
          <w:p w14:paraId="3DD3E60D" w14:textId="77777777" w:rsidR="00734F4C" w:rsidRPr="00734F4C" w:rsidRDefault="00734F4C" w:rsidP="00734F4C">
            <w:pPr>
              <w:spacing w:line="480" w:lineRule="auto"/>
              <w:jc w:val="both"/>
              <w:rPr>
                <w:b/>
                <w:bCs/>
                <w:color w:val="0D0D0D"/>
                <w:sz w:val="24"/>
                <w:lang w:val="en-US"/>
              </w:rPr>
            </w:pPr>
            <w:r w:rsidRPr="00734F4C">
              <w:rPr>
                <w:b/>
                <w:bCs/>
                <w:color w:val="0D0D0D"/>
                <w:sz w:val="24"/>
                <w:lang w:val="en-US"/>
              </w:rPr>
              <w:t>p-value</w:t>
            </w:r>
          </w:p>
        </w:tc>
      </w:tr>
      <w:tr w:rsidR="00734F4C" w:rsidRPr="00734F4C" w14:paraId="58912027" w14:textId="77777777" w:rsidTr="00734F4C">
        <w:trPr>
          <w:trHeight w:val="288"/>
        </w:trPr>
        <w:tc>
          <w:tcPr>
            <w:tcW w:w="1450"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37F5381D" w14:textId="77777777" w:rsidR="00734F4C" w:rsidRPr="00734F4C" w:rsidRDefault="00734F4C" w:rsidP="00734F4C">
            <w:pPr>
              <w:spacing w:line="480" w:lineRule="auto"/>
              <w:jc w:val="both"/>
              <w:rPr>
                <w:b/>
                <w:bCs/>
                <w:color w:val="0D0D0D"/>
                <w:sz w:val="24"/>
                <w:lang w:val="en-US"/>
              </w:rPr>
            </w:pPr>
            <w:r w:rsidRPr="00734F4C">
              <w:rPr>
                <w:b/>
                <w:bCs/>
                <w:color w:val="0D0D0D"/>
                <w:sz w:val="24"/>
                <w:lang w:val="en-US"/>
              </w:rPr>
              <w:t>Main model</w:t>
            </w:r>
          </w:p>
        </w:tc>
        <w:tc>
          <w:tcPr>
            <w:tcW w:w="1342"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55768E0B" w14:textId="77777777" w:rsidR="00734F4C" w:rsidRPr="00734F4C" w:rsidRDefault="00734F4C" w:rsidP="00734F4C">
            <w:pPr>
              <w:spacing w:line="480" w:lineRule="auto"/>
              <w:jc w:val="both"/>
              <w:rPr>
                <w:color w:val="0D0D0D"/>
                <w:sz w:val="24"/>
                <w:lang w:val="en-US"/>
              </w:rPr>
            </w:pPr>
            <w:r w:rsidRPr="00734F4C">
              <w:rPr>
                <w:color w:val="0D0D0D"/>
                <w:sz w:val="24"/>
                <w:lang w:val="en-US"/>
              </w:rPr>
              <w:t>Carboplatin vs Cisplatin</w:t>
            </w:r>
          </w:p>
        </w:tc>
        <w:tc>
          <w:tcPr>
            <w:tcW w:w="823" w:type="pct"/>
            <w:tcBorders>
              <w:top w:val="single" w:sz="8" w:space="0" w:color="FFFFFF"/>
              <w:left w:val="single" w:sz="8" w:space="0" w:color="FFFFFF"/>
              <w:bottom w:val="single" w:sz="8" w:space="0" w:color="FFFFFF"/>
              <w:right w:val="single" w:sz="8" w:space="0" w:color="FFFFFF"/>
            </w:tcBorders>
            <w:shd w:val="clear" w:color="auto" w:fill="CBCBCB"/>
            <w:tcMar>
              <w:top w:w="5" w:type="dxa"/>
              <w:left w:w="5" w:type="dxa"/>
              <w:bottom w:w="0" w:type="dxa"/>
              <w:right w:w="5" w:type="dxa"/>
            </w:tcMar>
            <w:vAlign w:val="center"/>
            <w:hideMark/>
          </w:tcPr>
          <w:p w14:paraId="40343036" w14:textId="77777777" w:rsidR="00734F4C" w:rsidRPr="00734F4C" w:rsidRDefault="00734F4C" w:rsidP="00734F4C">
            <w:pPr>
              <w:spacing w:line="480" w:lineRule="auto"/>
              <w:jc w:val="both"/>
              <w:rPr>
                <w:color w:val="0D0D0D"/>
                <w:sz w:val="24"/>
                <w:lang w:val="en-US"/>
              </w:rPr>
            </w:pPr>
            <w:r w:rsidRPr="00734F4C">
              <w:rPr>
                <w:color w:val="0D0D0D"/>
                <w:sz w:val="24"/>
                <w:lang w:val="en-US"/>
              </w:rPr>
              <w:t>0.68</w:t>
            </w:r>
          </w:p>
        </w:tc>
        <w:tc>
          <w:tcPr>
            <w:tcW w:w="703" w:type="pct"/>
            <w:tcBorders>
              <w:top w:val="single" w:sz="8" w:space="0" w:color="FFFFFF"/>
              <w:left w:val="single" w:sz="8" w:space="0" w:color="FFFFFF"/>
              <w:bottom w:val="single" w:sz="8" w:space="0" w:color="FFFFFF"/>
              <w:right w:val="single" w:sz="8" w:space="0" w:color="FFFFFF"/>
            </w:tcBorders>
            <w:shd w:val="clear" w:color="auto" w:fill="CBCBCB"/>
            <w:tcMar>
              <w:top w:w="5" w:type="dxa"/>
              <w:left w:w="5" w:type="dxa"/>
              <w:bottom w:w="0" w:type="dxa"/>
              <w:right w:w="5" w:type="dxa"/>
            </w:tcMar>
            <w:vAlign w:val="center"/>
            <w:hideMark/>
          </w:tcPr>
          <w:p w14:paraId="2D2A56E5" w14:textId="77777777" w:rsidR="00734F4C" w:rsidRPr="00734F4C" w:rsidRDefault="00734F4C" w:rsidP="00734F4C">
            <w:pPr>
              <w:spacing w:line="480" w:lineRule="auto"/>
              <w:jc w:val="both"/>
              <w:rPr>
                <w:color w:val="0D0D0D"/>
                <w:sz w:val="24"/>
                <w:lang w:val="en-US"/>
              </w:rPr>
            </w:pPr>
            <w:r w:rsidRPr="00734F4C">
              <w:rPr>
                <w:color w:val="0D0D0D"/>
                <w:sz w:val="24"/>
                <w:lang w:val="en-US"/>
              </w:rPr>
              <w:t>0.34–1.34</w:t>
            </w:r>
          </w:p>
        </w:tc>
        <w:tc>
          <w:tcPr>
            <w:tcW w:w="682" w:type="pct"/>
            <w:tcBorders>
              <w:top w:val="single" w:sz="8" w:space="0" w:color="FFFFFF"/>
              <w:left w:val="single" w:sz="8" w:space="0" w:color="FFFFFF"/>
              <w:bottom w:val="single" w:sz="8" w:space="0" w:color="FFFFFF"/>
              <w:right w:val="single" w:sz="8" w:space="0" w:color="FFFFFF"/>
            </w:tcBorders>
            <w:shd w:val="clear" w:color="auto" w:fill="CBCBCB"/>
            <w:tcMar>
              <w:top w:w="5" w:type="dxa"/>
              <w:left w:w="5" w:type="dxa"/>
              <w:bottom w:w="0" w:type="dxa"/>
              <w:right w:w="5" w:type="dxa"/>
            </w:tcMar>
            <w:vAlign w:val="center"/>
            <w:hideMark/>
          </w:tcPr>
          <w:p w14:paraId="4C544969" w14:textId="77777777" w:rsidR="00734F4C" w:rsidRPr="00734F4C" w:rsidRDefault="00734F4C" w:rsidP="00734F4C">
            <w:pPr>
              <w:spacing w:line="480" w:lineRule="auto"/>
              <w:jc w:val="both"/>
              <w:rPr>
                <w:color w:val="0D0D0D"/>
                <w:sz w:val="24"/>
                <w:lang w:val="en-US"/>
              </w:rPr>
            </w:pPr>
            <w:r w:rsidRPr="00734F4C">
              <w:rPr>
                <w:color w:val="0D0D0D"/>
                <w:sz w:val="24"/>
                <w:lang w:val="en-US"/>
              </w:rPr>
              <w:t>0.27</w:t>
            </w:r>
          </w:p>
        </w:tc>
      </w:tr>
      <w:tr w:rsidR="00734F4C" w:rsidRPr="00734F4C" w14:paraId="396F3583" w14:textId="77777777" w:rsidTr="00734F4C">
        <w:trPr>
          <w:trHeight w:val="288"/>
        </w:trPr>
        <w:tc>
          <w:tcPr>
            <w:tcW w:w="1450"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528B5E4B" w14:textId="77777777" w:rsidR="00734F4C" w:rsidRPr="00734F4C" w:rsidRDefault="00734F4C" w:rsidP="00734F4C">
            <w:pPr>
              <w:spacing w:line="480" w:lineRule="auto"/>
              <w:jc w:val="both"/>
              <w:rPr>
                <w:b/>
                <w:bCs/>
                <w:color w:val="0D0D0D"/>
                <w:sz w:val="24"/>
                <w:lang w:val="en-US"/>
              </w:rPr>
            </w:pPr>
            <w:r w:rsidRPr="00734F4C">
              <w:rPr>
                <w:b/>
                <w:bCs/>
                <w:color w:val="0D0D0D"/>
                <w:sz w:val="24"/>
                <w:lang w:val="en-US"/>
              </w:rPr>
              <w:t>With p16</w:t>
            </w:r>
          </w:p>
        </w:tc>
        <w:tc>
          <w:tcPr>
            <w:tcW w:w="1342"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47AD5330" w14:textId="77777777" w:rsidR="00734F4C" w:rsidRPr="00734F4C" w:rsidRDefault="00734F4C" w:rsidP="00734F4C">
            <w:pPr>
              <w:spacing w:line="480" w:lineRule="auto"/>
              <w:jc w:val="both"/>
              <w:rPr>
                <w:color w:val="0D0D0D"/>
                <w:sz w:val="24"/>
                <w:lang w:val="en-US"/>
              </w:rPr>
            </w:pPr>
            <w:r w:rsidRPr="00734F4C">
              <w:rPr>
                <w:color w:val="0D0D0D"/>
                <w:sz w:val="24"/>
                <w:lang w:val="en-US"/>
              </w:rPr>
              <w:t>Carboplatin vs Cisplatin</w:t>
            </w:r>
          </w:p>
        </w:tc>
        <w:tc>
          <w:tcPr>
            <w:tcW w:w="823"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5F5D4083" w14:textId="77777777" w:rsidR="00734F4C" w:rsidRPr="00734F4C" w:rsidRDefault="00734F4C" w:rsidP="00734F4C">
            <w:pPr>
              <w:spacing w:line="480" w:lineRule="auto"/>
              <w:jc w:val="both"/>
              <w:rPr>
                <w:color w:val="0D0D0D"/>
                <w:sz w:val="24"/>
                <w:lang w:val="en-US"/>
              </w:rPr>
            </w:pPr>
            <w:r w:rsidRPr="00734F4C">
              <w:rPr>
                <w:color w:val="0D0D0D"/>
                <w:sz w:val="24"/>
                <w:lang w:val="en-US"/>
              </w:rPr>
              <w:t>0.63</w:t>
            </w:r>
          </w:p>
        </w:tc>
        <w:tc>
          <w:tcPr>
            <w:tcW w:w="703"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1780C6E5" w14:textId="77777777" w:rsidR="00734F4C" w:rsidRPr="00734F4C" w:rsidRDefault="00734F4C" w:rsidP="00734F4C">
            <w:pPr>
              <w:spacing w:line="480" w:lineRule="auto"/>
              <w:jc w:val="both"/>
              <w:rPr>
                <w:color w:val="0D0D0D"/>
                <w:sz w:val="24"/>
                <w:lang w:val="en-US"/>
              </w:rPr>
            </w:pPr>
            <w:r w:rsidRPr="00734F4C">
              <w:rPr>
                <w:color w:val="0D0D0D"/>
                <w:sz w:val="24"/>
                <w:lang w:val="en-US"/>
              </w:rPr>
              <w:t>0.30–1.34</w:t>
            </w:r>
          </w:p>
        </w:tc>
        <w:tc>
          <w:tcPr>
            <w:tcW w:w="682"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425B08D9" w14:textId="77777777" w:rsidR="00734F4C" w:rsidRPr="00734F4C" w:rsidRDefault="00734F4C" w:rsidP="00734F4C">
            <w:pPr>
              <w:spacing w:line="480" w:lineRule="auto"/>
              <w:jc w:val="both"/>
              <w:rPr>
                <w:color w:val="0D0D0D"/>
                <w:sz w:val="24"/>
                <w:lang w:val="en-US"/>
              </w:rPr>
            </w:pPr>
            <w:r w:rsidRPr="00734F4C">
              <w:rPr>
                <w:color w:val="0D0D0D"/>
                <w:sz w:val="24"/>
                <w:lang w:val="en-US"/>
              </w:rPr>
              <w:t>0.23</w:t>
            </w:r>
          </w:p>
        </w:tc>
      </w:tr>
      <w:tr w:rsidR="00734F4C" w:rsidRPr="00734F4C" w14:paraId="5EE8CBAC" w14:textId="77777777" w:rsidTr="00734F4C">
        <w:trPr>
          <w:trHeight w:val="288"/>
        </w:trPr>
        <w:tc>
          <w:tcPr>
            <w:tcW w:w="1450"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7A64C3C5" w14:textId="77777777" w:rsidR="00734F4C" w:rsidRPr="00734F4C" w:rsidRDefault="00734F4C" w:rsidP="00734F4C">
            <w:pPr>
              <w:spacing w:line="480" w:lineRule="auto"/>
              <w:jc w:val="both"/>
              <w:rPr>
                <w:b/>
                <w:bCs/>
                <w:color w:val="0D0D0D"/>
                <w:sz w:val="24"/>
                <w:lang w:val="en-US"/>
              </w:rPr>
            </w:pPr>
            <w:r w:rsidRPr="00734F4C">
              <w:rPr>
                <w:b/>
                <w:bCs/>
                <w:color w:val="0D0D0D"/>
                <w:sz w:val="24"/>
                <w:lang w:val="en-US"/>
              </w:rPr>
              <w:t>With primary tumor site</w:t>
            </w:r>
          </w:p>
        </w:tc>
        <w:tc>
          <w:tcPr>
            <w:tcW w:w="1342"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06B74CF6" w14:textId="77777777" w:rsidR="00734F4C" w:rsidRPr="00734F4C" w:rsidRDefault="00734F4C" w:rsidP="00734F4C">
            <w:pPr>
              <w:spacing w:line="480" w:lineRule="auto"/>
              <w:jc w:val="both"/>
              <w:rPr>
                <w:color w:val="0D0D0D"/>
                <w:sz w:val="24"/>
                <w:lang w:val="en-US"/>
              </w:rPr>
            </w:pPr>
            <w:r w:rsidRPr="00734F4C">
              <w:rPr>
                <w:color w:val="0D0D0D"/>
                <w:sz w:val="24"/>
                <w:lang w:val="en-US"/>
              </w:rPr>
              <w:t>Carboplatin vs Cisplatin</w:t>
            </w:r>
          </w:p>
        </w:tc>
        <w:tc>
          <w:tcPr>
            <w:tcW w:w="823"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41103E87" w14:textId="77777777" w:rsidR="00734F4C" w:rsidRPr="00734F4C" w:rsidRDefault="00734F4C" w:rsidP="00734F4C">
            <w:pPr>
              <w:spacing w:line="480" w:lineRule="auto"/>
              <w:jc w:val="both"/>
              <w:rPr>
                <w:color w:val="0D0D0D"/>
                <w:sz w:val="24"/>
                <w:lang w:val="en-US"/>
              </w:rPr>
            </w:pPr>
            <w:r w:rsidRPr="00734F4C">
              <w:rPr>
                <w:color w:val="0D0D0D"/>
                <w:sz w:val="24"/>
                <w:lang w:val="en-US"/>
              </w:rPr>
              <w:t>0.88</w:t>
            </w:r>
          </w:p>
        </w:tc>
        <w:tc>
          <w:tcPr>
            <w:tcW w:w="703"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273B8D9F" w14:textId="77777777" w:rsidR="00734F4C" w:rsidRPr="00734F4C" w:rsidRDefault="00734F4C" w:rsidP="00734F4C">
            <w:pPr>
              <w:spacing w:line="480" w:lineRule="auto"/>
              <w:jc w:val="both"/>
              <w:rPr>
                <w:color w:val="0D0D0D"/>
                <w:sz w:val="24"/>
                <w:lang w:val="en-US"/>
              </w:rPr>
            </w:pPr>
            <w:r w:rsidRPr="00734F4C">
              <w:rPr>
                <w:color w:val="0D0D0D"/>
                <w:sz w:val="24"/>
                <w:lang w:val="en-US"/>
              </w:rPr>
              <w:t>0.31–1.80</w:t>
            </w:r>
          </w:p>
        </w:tc>
        <w:tc>
          <w:tcPr>
            <w:tcW w:w="682"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32B4D8AA" w14:textId="77777777" w:rsidR="00734F4C" w:rsidRPr="00734F4C" w:rsidRDefault="00734F4C" w:rsidP="00734F4C">
            <w:pPr>
              <w:spacing w:line="480" w:lineRule="auto"/>
              <w:jc w:val="both"/>
              <w:rPr>
                <w:color w:val="0D0D0D"/>
                <w:sz w:val="24"/>
                <w:lang w:val="en-US"/>
              </w:rPr>
            </w:pPr>
            <w:r w:rsidRPr="00734F4C">
              <w:rPr>
                <w:color w:val="0D0D0D"/>
                <w:sz w:val="24"/>
                <w:lang w:val="en-US"/>
              </w:rPr>
              <w:t>0.72</w:t>
            </w:r>
          </w:p>
        </w:tc>
      </w:tr>
      <w:tr w:rsidR="00734F4C" w:rsidRPr="00734F4C" w14:paraId="438CFA57" w14:textId="77777777" w:rsidTr="00734F4C">
        <w:trPr>
          <w:trHeight w:val="288"/>
        </w:trPr>
        <w:tc>
          <w:tcPr>
            <w:tcW w:w="1450"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23DA5E20" w14:textId="77777777" w:rsidR="00734F4C" w:rsidRPr="00734F4C" w:rsidRDefault="00734F4C" w:rsidP="00734F4C">
            <w:pPr>
              <w:spacing w:line="480" w:lineRule="auto"/>
              <w:jc w:val="both"/>
              <w:rPr>
                <w:b/>
                <w:bCs/>
                <w:color w:val="0D0D0D"/>
                <w:sz w:val="24"/>
                <w:lang w:val="en-US"/>
              </w:rPr>
            </w:pPr>
            <w:r w:rsidRPr="00734F4C">
              <w:rPr>
                <w:b/>
                <w:bCs/>
                <w:color w:val="0D0D0D"/>
                <w:sz w:val="24"/>
                <w:lang w:val="en-US"/>
              </w:rPr>
              <w:t>With smoking history</w:t>
            </w:r>
          </w:p>
        </w:tc>
        <w:tc>
          <w:tcPr>
            <w:tcW w:w="1342"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0B59C6E6" w14:textId="77777777" w:rsidR="00734F4C" w:rsidRPr="00734F4C" w:rsidRDefault="00734F4C" w:rsidP="00734F4C">
            <w:pPr>
              <w:spacing w:line="480" w:lineRule="auto"/>
              <w:jc w:val="both"/>
              <w:rPr>
                <w:color w:val="0D0D0D"/>
                <w:sz w:val="24"/>
                <w:lang w:val="en-US"/>
              </w:rPr>
            </w:pPr>
            <w:r w:rsidRPr="00734F4C">
              <w:rPr>
                <w:color w:val="0D0D0D"/>
                <w:sz w:val="24"/>
                <w:lang w:val="en-US"/>
              </w:rPr>
              <w:t>Carboplatin vs Cisplatin</w:t>
            </w:r>
          </w:p>
        </w:tc>
        <w:tc>
          <w:tcPr>
            <w:tcW w:w="823"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0E300DCB" w14:textId="77777777" w:rsidR="00734F4C" w:rsidRPr="00734F4C" w:rsidRDefault="00734F4C" w:rsidP="00734F4C">
            <w:pPr>
              <w:spacing w:line="480" w:lineRule="auto"/>
              <w:jc w:val="both"/>
              <w:rPr>
                <w:color w:val="0D0D0D"/>
                <w:sz w:val="24"/>
                <w:lang w:val="en-US"/>
              </w:rPr>
            </w:pPr>
            <w:r w:rsidRPr="00734F4C">
              <w:rPr>
                <w:color w:val="0D0D0D"/>
                <w:sz w:val="24"/>
                <w:lang w:val="en-US"/>
              </w:rPr>
              <w:t>0.64</w:t>
            </w:r>
          </w:p>
        </w:tc>
        <w:tc>
          <w:tcPr>
            <w:tcW w:w="703"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648DECFA" w14:textId="77777777" w:rsidR="00734F4C" w:rsidRPr="00734F4C" w:rsidRDefault="00734F4C" w:rsidP="00734F4C">
            <w:pPr>
              <w:spacing w:line="480" w:lineRule="auto"/>
              <w:jc w:val="both"/>
              <w:rPr>
                <w:color w:val="0D0D0D"/>
                <w:sz w:val="24"/>
                <w:lang w:val="en-US"/>
              </w:rPr>
            </w:pPr>
            <w:r w:rsidRPr="00734F4C">
              <w:rPr>
                <w:color w:val="0D0D0D"/>
                <w:sz w:val="24"/>
                <w:lang w:val="en-US"/>
              </w:rPr>
              <w:t>0.32–1.25</w:t>
            </w:r>
          </w:p>
        </w:tc>
        <w:tc>
          <w:tcPr>
            <w:tcW w:w="682"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33C9108F" w14:textId="77777777" w:rsidR="00734F4C" w:rsidRPr="00734F4C" w:rsidRDefault="00734F4C" w:rsidP="00734F4C">
            <w:pPr>
              <w:spacing w:line="480" w:lineRule="auto"/>
              <w:jc w:val="both"/>
              <w:rPr>
                <w:color w:val="0D0D0D"/>
                <w:sz w:val="24"/>
                <w:lang w:val="en-US"/>
              </w:rPr>
            </w:pPr>
            <w:r w:rsidRPr="00734F4C">
              <w:rPr>
                <w:color w:val="0D0D0D"/>
                <w:sz w:val="24"/>
                <w:lang w:val="en-US"/>
              </w:rPr>
              <w:t>0.19</w:t>
            </w:r>
          </w:p>
        </w:tc>
      </w:tr>
      <w:tr w:rsidR="00734F4C" w:rsidRPr="00734F4C" w14:paraId="374BE829" w14:textId="77777777" w:rsidTr="00734F4C">
        <w:trPr>
          <w:trHeight w:val="288"/>
        </w:trPr>
        <w:tc>
          <w:tcPr>
            <w:tcW w:w="1450"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126CC4E2" w14:textId="77777777" w:rsidR="00734F4C" w:rsidRPr="00734F4C" w:rsidRDefault="00734F4C" w:rsidP="00734F4C">
            <w:pPr>
              <w:spacing w:line="480" w:lineRule="auto"/>
              <w:jc w:val="both"/>
              <w:rPr>
                <w:b/>
                <w:bCs/>
                <w:color w:val="0D0D0D"/>
                <w:sz w:val="24"/>
                <w:lang w:val="en-US"/>
              </w:rPr>
            </w:pPr>
            <w:r w:rsidRPr="00734F4C">
              <w:rPr>
                <w:b/>
                <w:bCs/>
                <w:color w:val="0D0D0D"/>
                <w:sz w:val="24"/>
                <w:lang w:val="en-US"/>
              </w:rPr>
              <w:t>With age</w:t>
            </w:r>
          </w:p>
        </w:tc>
        <w:tc>
          <w:tcPr>
            <w:tcW w:w="1342"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71C9CD71" w14:textId="77777777" w:rsidR="00734F4C" w:rsidRPr="00734F4C" w:rsidRDefault="00734F4C" w:rsidP="00734F4C">
            <w:pPr>
              <w:spacing w:line="480" w:lineRule="auto"/>
              <w:jc w:val="both"/>
              <w:rPr>
                <w:color w:val="0D0D0D"/>
                <w:sz w:val="24"/>
                <w:lang w:val="en-US"/>
              </w:rPr>
            </w:pPr>
            <w:r w:rsidRPr="00734F4C">
              <w:rPr>
                <w:color w:val="0D0D0D"/>
                <w:sz w:val="24"/>
                <w:lang w:val="en-US"/>
              </w:rPr>
              <w:t>Carboplatin vs Cisplatin</w:t>
            </w:r>
          </w:p>
        </w:tc>
        <w:tc>
          <w:tcPr>
            <w:tcW w:w="823"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65DB62DB" w14:textId="77777777" w:rsidR="00734F4C" w:rsidRPr="00734F4C" w:rsidRDefault="00734F4C" w:rsidP="00734F4C">
            <w:pPr>
              <w:spacing w:line="480" w:lineRule="auto"/>
              <w:jc w:val="both"/>
              <w:rPr>
                <w:color w:val="0D0D0D"/>
                <w:sz w:val="24"/>
                <w:lang w:val="en-US"/>
              </w:rPr>
            </w:pPr>
            <w:r w:rsidRPr="00734F4C">
              <w:rPr>
                <w:color w:val="0D0D0D"/>
                <w:sz w:val="24"/>
                <w:lang w:val="en-US"/>
              </w:rPr>
              <w:t>0.67</w:t>
            </w:r>
          </w:p>
        </w:tc>
        <w:tc>
          <w:tcPr>
            <w:tcW w:w="703"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2C6C60AC" w14:textId="77777777" w:rsidR="00734F4C" w:rsidRPr="00734F4C" w:rsidRDefault="00734F4C" w:rsidP="00734F4C">
            <w:pPr>
              <w:spacing w:line="480" w:lineRule="auto"/>
              <w:jc w:val="both"/>
              <w:rPr>
                <w:color w:val="0D0D0D"/>
                <w:sz w:val="24"/>
                <w:lang w:val="en-US"/>
              </w:rPr>
            </w:pPr>
            <w:r w:rsidRPr="00734F4C">
              <w:rPr>
                <w:color w:val="0D0D0D"/>
                <w:sz w:val="24"/>
                <w:lang w:val="en-US"/>
              </w:rPr>
              <w:t>0.30–1.49</w:t>
            </w:r>
          </w:p>
        </w:tc>
        <w:tc>
          <w:tcPr>
            <w:tcW w:w="682"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54C57CA7" w14:textId="77777777" w:rsidR="00734F4C" w:rsidRPr="00734F4C" w:rsidRDefault="00734F4C" w:rsidP="00734F4C">
            <w:pPr>
              <w:spacing w:line="480" w:lineRule="auto"/>
              <w:jc w:val="both"/>
              <w:rPr>
                <w:color w:val="0D0D0D"/>
                <w:sz w:val="24"/>
                <w:lang w:val="en-US"/>
              </w:rPr>
            </w:pPr>
            <w:r w:rsidRPr="00734F4C">
              <w:rPr>
                <w:color w:val="0D0D0D"/>
                <w:sz w:val="24"/>
                <w:lang w:val="en-US"/>
              </w:rPr>
              <w:t>0.32</w:t>
            </w:r>
          </w:p>
        </w:tc>
      </w:tr>
      <w:tr w:rsidR="00734F4C" w:rsidRPr="00734F4C" w14:paraId="5A899F30" w14:textId="77777777" w:rsidTr="00734F4C">
        <w:trPr>
          <w:trHeight w:val="288"/>
        </w:trPr>
        <w:tc>
          <w:tcPr>
            <w:tcW w:w="1450"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76165065" w14:textId="77777777" w:rsidR="00734F4C" w:rsidRPr="00734F4C" w:rsidRDefault="00734F4C" w:rsidP="00734F4C">
            <w:pPr>
              <w:spacing w:line="480" w:lineRule="auto"/>
              <w:jc w:val="both"/>
              <w:rPr>
                <w:b/>
                <w:bCs/>
                <w:color w:val="0D0D0D"/>
                <w:sz w:val="24"/>
                <w:lang w:val="en-US"/>
              </w:rPr>
            </w:pPr>
            <w:r w:rsidRPr="00734F4C">
              <w:rPr>
                <w:b/>
                <w:bCs/>
                <w:color w:val="0D0D0D"/>
                <w:sz w:val="24"/>
                <w:lang w:val="en-US"/>
              </w:rPr>
              <w:t xml:space="preserve">With </w:t>
            </w:r>
            <w:proofErr w:type="spellStart"/>
            <w:r w:rsidRPr="00734F4C">
              <w:rPr>
                <w:b/>
                <w:bCs/>
                <w:color w:val="0D0D0D"/>
                <w:sz w:val="24"/>
                <w:lang w:val="en-US"/>
              </w:rPr>
              <w:t>ccr</w:t>
            </w:r>
            <w:proofErr w:type="spellEnd"/>
          </w:p>
        </w:tc>
        <w:tc>
          <w:tcPr>
            <w:tcW w:w="1342"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51173B49" w14:textId="77777777" w:rsidR="00734F4C" w:rsidRPr="00734F4C" w:rsidRDefault="00734F4C" w:rsidP="00734F4C">
            <w:pPr>
              <w:spacing w:line="480" w:lineRule="auto"/>
              <w:jc w:val="both"/>
              <w:rPr>
                <w:color w:val="0D0D0D"/>
                <w:sz w:val="24"/>
                <w:lang w:val="en-US"/>
              </w:rPr>
            </w:pPr>
            <w:r w:rsidRPr="00734F4C">
              <w:rPr>
                <w:color w:val="0D0D0D"/>
                <w:sz w:val="24"/>
                <w:lang w:val="en-US"/>
              </w:rPr>
              <w:t>Carboplatin vs Cisplatin</w:t>
            </w:r>
          </w:p>
        </w:tc>
        <w:tc>
          <w:tcPr>
            <w:tcW w:w="823"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034A3E75" w14:textId="77777777" w:rsidR="00734F4C" w:rsidRPr="00734F4C" w:rsidRDefault="00734F4C" w:rsidP="00734F4C">
            <w:pPr>
              <w:spacing w:line="480" w:lineRule="auto"/>
              <w:jc w:val="both"/>
              <w:rPr>
                <w:color w:val="0D0D0D"/>
                <w:sz w:val="24"/>
                <w:lang w:val="en-US"/>
              </w:rPr>
            </w:pPr>
            <w:r w:rsidRPr="00734F4C">
              <w:rPr>
                <w:color w:val="0D0D0D"/>
                <w:sz w:val="24"/>
                <w:lang w:val="en-US"/>
              </w:rPr>
              <w:t>0.45</w:t>
            </w:r>
          </w:p>
        </w:tc>
        <w:tc>
          <w:tcPr>
            <w:tcW w:w="703"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524AC74C" w14:textId="77777777" w:rsidR="00734F4C" w:rsidRPr="00734F4C" w:rsidRDefault="00734F4C" w:rsidP="00734F4C">
            <w:pPr>
              <w:spacing w:line="480" w:lineRule="auto"/>
              <w:jc w:val="both"/>
              <w:rPr>
                <w:color w:val="0D0D0D"/>
                <w:sz w:val="24"/>
                <w:lang w:val="en-US"/>
              </w:rPr>
            </w:pPr>
            <w:r w:rsidRPr="00734F4C">
              <w:rPr>
                <w:color w:val="0D0D0D"/>
                <w:sz w:val="24"/>
                <w:lang w:val="en-US"/>
              </w:rPr>
              <w:t>0.20–1.02</w:t>
            </w:r>
          </w:p>
        </w:tc>
        <w:tc>
          <w:tcPr>
            <w:tcW w:w="682"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19CCA2AE" w14:textId="77777777" w:rsidR="00734F4C" w:rsidRPr="00734F4C" w:rsidRDefault="00734F4C" w:rsidP="00734F4C">
            <w:pPr>
              <w:spacing w:line="480" w:lineRule="auto"/>
              <w:jc w:val="both"/>
              <w:rPr>
                <w:color w:val="0D0D0D"/>
                <w:sz w:val="24"/>
                <w:lang w:val="en-US"/>
              </w:rPr>
            </w:pPr>
            <w:r w:rsidRPr="00734F4C">
              <w:rPr>
                <w:color w:val="0D0D0D"/>
                <w:sz w:val="24"/>
                <w:lang w:val="en-US"/>
              </w:rPr>
              <w:t>0.06</w:t>
            </w:r>
          </w:p>
        </w:tc>
      </w:tr>
      <w:tr w:rsidR="00734F4C" w:rsidRPr="00734F4C" w14:paraId="76F0068B" w14:textId="77777777" w:rsidTr="00734F4C">
        <w:trPr>
          <w:trHeight w:val="288"/>
        </w:trPr>
        <w:tc>
          <w:tcPr>
            <w:tcW w:w="1450"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6CACD432" w14:textId="77777777" w:rsidR="00734F4C" w:rsidRPr="00734F4C" w:rsidRDefault="00734F4C" w:rsidP="00734F4C">
            <w:pPr>
              <w:spacing w:line="480" w:lineRule="auto"/>
              <w:jc w:val="both"/>
              <w:rPr>
                <w:b/>
                <w:bCs/>
                <w:color w:val="0D0D0D"/>
                <w:sz w:val="24"/>
                <w:lang w:val="en-US"/>
              </w:rPr>
            </w:pPr>
            <w:r w:rsidRPr="00734F4C">
              <w:rPr>
                <w:b/>
                <w:bCs/>
                <w:color w:val="0D0D0D"/>
                <w:sz w:val="24"/>
                <w:lang w:val="en-US"/>
              </w:rPr>
              <w:t>Truncated at 24 months</w:t>
            </w:r>
          </w:p>
        </w:tc>
        <w:tc>
          <w:tcPr>
            <w:tcW w:w="1342"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3D556140" w14:textId="77777777" w:rsidR="00734F4C" w:rsidRPr="00734F4C" w:rsidRDefault="00734F4C" w:rsidP="00734F4C">
            <w:pPr>
              <w:spacing w:line="480" w:lineRule="auto"/>
              <w:jc w:val="both"/>
              <w:rPr>
                <w:color w:val="0D0D0D"/>
                <w:sz w:val="24"/>
                <w:lang w:val="en-US"/>
              </w:rPr>
            </w:pPr>
            <w:r w:rsidRPr="00734F4C">
              <w:rPr>
                <w:color w:val="0D0D0D"/>
                <w:sz w:val="24"/>
                <w:lang w:val="en-US"/>
              </w:rPr>
              <w:t>Carboplatin vs Cisplatin</w:t>
            </w:r>
          </w:p>
        </w:tc>
        <w:tc>
          <w:tcPr>
            <w:tcW w:w="823"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0F809B0F" w14:textId="77777777" w:rsidR="00734F4C" w:rsidRPr="00734F4C" w:rsidRDefault="00734F4C" w:rsidP="00734F4C">
            <w:pPr>
              <w:spacing w:line="480" w:lineRule="auto"/>
              <w:jc w:val="both"/>
              <w:rPr>
                <w:color w:val="0D0D0D"/>
                <w:sz w:val="24"/>
                <w:lang w:val="en-US"/>
              </w:rPr>
            </w:pPr>
            <w:r w:rsidRPr="00734F4C">
              <w:rPr>
                <w:color w:val="0D0D0D"/>
                <w:sz w:val="24"/>
                <w:lang w:val="en-US"/>
              </w:rPr>
              <w:t>0.64</w:t>
            </w:r>
          </w:p>
        </w:tc>
        <w:tc>
          <w:tcPr>
            <w:tcW w:w="703"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53C95AE0" w14:textId="77777777" w:rsidR="00734F4C" w:rsidRPr="00734F4C" w:rsidRDefault="00734F4C" w:rsidP="00734F4C">
            <w:pPr>
              <w:spacing w:line="480" w:lineRule="auto"/>
              <w:jc w:val="both"/>
              <w:rPr>
                <w:color w:val="0D0D0D"/>
                <w:sz w:val="24"/>
                <w:lang w:val="en-US"/>
              </w:rPr>
            </w:pPr>
            <w:r w:rsidRPr="00734F4C">
              <w:rPr>
                <w:color w:val="0D0D0D"/>
                <w:sz w:val="24"/>
                <w:lang w:val="en-US"/>
              </w:rPr>
              <w:t>0.31–1.33</w:t>
            </w:r>
          </w:p>
        </w:tc>
        <w:tc>
          <w:tcPr>
            <w:tcW w:w="682"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6EB027B4" w14:textId="77777777" w:rsidR="00734F4C" w:rsidRPr="00734F4C" w:rsidRDefault="00734F4C" w:rsidP="00734F4C">
            <w:pPr>
              <w:spacing w:line="480" w:lineRule="auto"/>
              <w:jc w:val="both"/>
              <w:rPr>
                <w:color w:val="0D0D0D"/>
                <w:sz w:val="24"/>
                <w:lang w:val="en-US"/>
              </w:rPr>
            </w:pPr>
            <w:r w:rsidRPr="00734F4C">
              <w:rPr>
                <w:color w:val="0D0D0D"/>
                <w:sz w:val="24"/>
                <w:lang w:val="en-US"/>
              </w:rPr>
              <w:t>0.23</w:t>
            </w:r>
          </w:p>
        </w:tc>
      </w:tr>
    </w:tbl>
    <w:p w14:paraId="76803AB2" w14:textId="77777777" w:rsidR="00734F4C" w:rsidRPr="00D34856" w:rsidRDefault="00734F4C" w:rsidP="00493012">
      <w:pPr>
        <w:spacing w:line="480" w:lineRule="auto"/>
        <w:jc w:val="both"/>
        <w:rPr>
          <w:rFonts w:hint="eastAsia"/>
          <w:color w:val="0D0D0D"/>
          <w:sz w:val="24"/>
          <w:lang w:val="en-GB"/>
        </w:rPr>
      </w:pPr>
    </w:p>
    <w:p w14:paraId="00405B48" w14:textId="77777777" w:rsidR="00493012" w:rsidRPr="00D34856" w:rsidRDefault="00000000" w:rsidP="00493012">
      <w:pPr>
        <w:spacing w:line="480" w:lineRule="auto"/>
        <w:jc w:val="both"/>
        <w:rPr>
          <w:color w:val="0D0D0D"/>
          <w:sz w:val="24"/>
          <w:lang w:val="en-GB"/>
        </w:rPr>
      </w:pPr>
      <w:r w:rsidRPr="00D34856">
        <w:rPr>
          <w:rFonts w:eastAsia="Arial"/>
          <w:b/>
          <w:color w:val="0D0D0D"/>
          <w:sz w:val="24"/>
          <w:highlight w:val="white"/>
          <w:lang w:val="en-GB"/>
        </w:rPr>
        <w:t xml:space="preserve">Supplementary Table 1. </w:t>
      </w:r>
    </w:p>
    <w:p w14:paraId="3FFA8EA8" w14:textId="5ECABC6F" w:rsidR="00493012" w:rsidRPr="00215E92" w:rsidRDefault="00000000" w:rsidP="00493012">
      <w:pPr>
        <w:spacing w:line="480" w:lineRule="auto"/>
        <w:jc w:val="both"/>
        <w:rPr>
          <w:rFonts w:eastAsia="ＭＳ ゴシック"/>
          <w:color w:val="0D0D0D"/>
          <w:sz w:val="24"/>
          <w:szCs w:val="24"/>
          <w:lang w:val="en-US"/>
        </w:rPr>
      </w:pPr>
      <w:r w:rsidRPr="00D34856">
        <w:rPr>
          <w:rFonts w:eastAsia="Arial"/>
          <w:color w:val="0D0D0D"/>
          <w:sz w:val="24"/>
          <w:highlight w:val="white"/>
          <w:lang w:val="en-GB"/>
        </w:rPr>
        <w:t>Each model was adjusted for the PS and CPS classifications. Additional covariates were individually included to assess the robustness of the treatment effects of carboplatin versus cisplatin. The truncated models used the landmark time points of 24 months. Cisplatin was used as a reference for all comparisons.</w:t>
      </w:r>
      <w:r w:rsidR="00215E92">
        <w:rPr>
          <w:rFonts w:ascii="ＭＳ ゴシック" w:eastAsia="ＭＳ ゴシック" w:hAnsi="ＭＳ ゴシック" w:cs="ＭＳ ゴシック"/>
          <w:color w:val="0D0D0D"/>
          <w:sz w:val="24"/>
          <w:lang w:val="en-US"/>
        </w:rPr>
        <w:t xml:space="preserve"> </w:t>
      </w:r>
      <w:r w:rsidR="00215E92" w:rsidRPr="00215E92">
        <w:rPr>
          <w:color w:val="000000"/>
          <w:sz w:val="24"/>
          <w:szCs w:val="24"/>
        </w:rPr>
        <w:t>(A) Multivariable sensitivity analysis for PFS; (B) Multivariable sensitivity analysis for OS.</w:t>
      </w:r>
    </w:p>
    <w:p w14:paraId="4E6918DE" w14:textId="30A3311D" w:rsidR="009613CC" w:rsidRDefault="009613CC" w:rsidP="00493012">
      <w:pPr>
        <w:spacing w:line="480" w:lineRule="auto"/>
        <w:jc w:val="both"/>
        <w:rPr>
          <w:rFonts w:eastAsia="Arial"/>
          <w:color w:val="0D0D0D"/>
          <w:sz w:val="24"/>
          <w:lang w:val="en-US"/>
        </w:rPr>
      </w:pPr>
    </w:p>
    <w:p w14:paraId="05950F08" w14:textId="1C9BEAF8" w:rsidR="00734F4C" w:rsidRPr="00734F4C" w:rsidRDefault="00734F4C" w:rsidP="00493012">
      <w:pPr>
        <w:spacing w:line="480" w:lineRule="auto"/>
        <w:jc w:val="both"/>
        <w:rPr>
          <w:rFonts w:eastAsia="Arial"/>
          <w:b/>
          <w:bCs/>
          <w:color w:val="0D0D0D"/>
          <w:sz w:val="24"/>
          <w:lang w:val="en-US"/>
        </w:rPr>
      </w:pPr>
      <w:r w:rsidRPr="00734F4C">
        <w:rPr>
          <w:rFonts w:eastAsia="Arial"/>
          <w:b/>
          <w:bCs/>
          <w:color w:val="0D0D0D"/>
          <w:sz w:val="24"/>
          <w:lang w:val="en-US"/>
        </w:rPr>
        <w:t>A.</w:t>
      </w:r>
    </w:p>
    <w:tbl>
      <w:tblPr>
        <w:tblW w:w="5000" w:type="pct"/>
        <w:tblCellMar>
          <w:left w:w="0" w:type="dxa"/>
          <w:right w:w="0" w:type="dxa"/>
        </w:tblCellMar>
        <w:tblLook w:val="0400" w:firstRow="0" w:lastRow="0" w:firstColumn="0" w:lastColumn="0" w:noHBand="0" w:noVBand="1"/>
      </w:tblPr>
      <w:tblGrid>
        <w:gridCol w:w="3711"/>
        <w:gridCol w:w="1056"/>
        <w:gridCol w:w="1742"/>
        <w:gridCol w:w="1742"/>
        <w:gridCol w:w="755"/>
      </w:tblGrid>
      <w:tr w:rsidR="00734F4C" w:rsidRPr="00734F4C" w14:paraId="5E9691FE"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CBCBCB"/>
            <w:tcMar>
              <w:top w:w="8" w:type="dxa"/>
              <w:left w:w="8" w:type="dxa"/>
              <w:bottom w:w="0" w:type="dxa"/>
              <w:right w:w="8" w:type="dxa"/>
            </w:tcMar>
            <w:vAlign w:val="center"/>
            <w:hideMark/>
          </w:tcPr>
          <w:p w14:paraId="1DD854A3" w14:textId="77777777" w:rsidR="00734F4C" w:rsidRPr="00734F4C" w:rsidRDefault="00734F4C" w:rsidP="00734F4C">
            <w:pPr>
              <w:spacing w:line="480" w:lineRule="auto"/>
              <w:jc w:val="both"/>
              <w:rPr>
                <w:rFonts w:eastAsia="Arial"/>
                <w:color w:val="0D0D0D"/>
                <w:sz w:val="24"/>
                <w:lang w:val="en-US"/>
              </w:rPr>
            </w:pPr>
          </w:p>
        </w:tc>
        <w:tc>
          <w:tcPr>
            <w:tcW w:w="586" w:type="pct"/>
            <w:tcBorders>
              <w:top w:val="single" w:sz="8" w:space="0" w:color="FFFFFF"/>
              <w:left w:val="single" w:sz="8" w:space="0" w:color="FFFFFF"/>
              <w:bottom w:val="single" w:sz="8" w:space="0" w:color="FFFFFF"/>
              <w:right w:val="single" w:sz="8" w:space="0" w:color="FFFFFF"/>
            </w:tcBorders>
            <w:shd w:val="clear" w:color="auto" w:fill="CBCBCB"/>
            <w:tcMar>
              <w:top w:w="8" w:type="dxa"/>
              <w:left w:w="8" w:type="dxa"/>
              <w:bottom w:w="0" w:type="dxa"/>
              <w:right w:w="8" w:type="dxa"/>
            </w:tcMar>
            <w:vAlign w:val="center"/>
            <w:hideMark/>
          </w:tcPr>
          <w:p w14:paraId="0F33C044"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All (N=76)</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8" w:type="dxa"/>
              <w:left w:w="8" w:type="dxa"/>
              <w:bottom w:w="0" w:type="dxa"/>
              <w:right w:w="8" w:type="dxa"/>
            </w:tcMar>
            <w:vAlign w:val="center"/>
            <w:hideMark/>
          </w:tcPr>
          <w:p w14:paraId="4F63BC61"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Cisplatin (N=41)</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8" w:type="dxa"/>
              <w:left w:w="8" w:type="dxa"/>
              <w:bottom w:w="0" w:type="dxa"/>
              <w:right w:w="8" w:type="dxa"/>
            </w:tcMar>
            <w:vAlign w:val="center"/>
            <w:hideMark/>
          </w:tcPr>
          <w:p w14:paraId="403EC09C"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Carboplatin (N=35)</w:t>
            </w:r>
          </w:p>
        </w:tc>
        <w:tc>
          <w:tcPr>
            <w:tcW w:w="420" w:type="pct"/>
            <w:tcBorders>
              <w:top w:val="single" w:sz="8" w:space="0" w:color="FFFFFF"/>
              <w:left w:val="single" w:sz="8" w:space="0" w:color="FFFFFF"/>
              <w:bottom w:val="single" w:sz="8" w:space="0" w:color="FFFFFF"/>
              <w:right w:val="single" w:sz="8" w:space="0" w:color="FFFFFF"/>
            </w:tcBorders>
            <w:shd w:val="clear" w:color="auto" w:fill="CBCBCB"/>
            <w:tcMar>
              <w:top w:w="8" w:type="dxa"/>
              <w:left w:w="8" w:type="dxa"/>
              <w:bottom w:w="0" w:type="dxa"/>
              <w:right w:w="8" w:type="dxa"/>
            </w:tcMar>
            <w:vAlign w:val="center"/>
            <w:hideMark/>
          </w:tcPr>
          <w:p w14:paraId="427005AD"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p-value</w:t>
            </w:r>
          </w:p>
        </w:tc>
      </w:tr>
      <w:tr w:rsidR="00734F4C" w:rsidRPr="00734F4C" w14:paraId="480DCCB2"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516B9670"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G3≥</w:t>
            </w:r>
            <w:proofErr w:type="gramStart"/>
            <w:r w:rsidRPr="00734F4C">
              <w:rPr>
                <w:rFonts w:eastAsia="Arial"/>
                <w:b/>
                <w:bCs/>
                <w:color w:val="0D0D0D"/>
                <w:sz w:val="24"/>
                <w:lang w:val="en-US"/>
              </w:rPr>
              <w:t>Non-Hematological</w:t>
            </w:r>
            <w:proofErr w:type="gramEnd"/>
            <w:r w:rsidRPr="00734F4C">
              <w:rPr>
                <w:rFonts w:eastAsia="Arial"/>
                <w:b/>
                <w:bCs/>
                <w:color w:val="0D0D0D"/>
                <w:sz w:val="24"/>
                <w:lang w:val="en-US"/>
              </w:rPr>
              <w:t xml:space="preserve"> AEs, n (%)</w:t>
            </w:r>
          </w:p>
        </w:tc>
        <w:tc>
          <w:tcPr>
            <w:tcW w:w="586"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2777265F"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28 (36.8)</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2107E2A1"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24 (58.5)</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468E0557"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4 (11.4)</w:t>
            </w:r>
          </w:p>
        </w:tc>
        <w:tc>
          <w:tcPr>
            <w:tcW w:w="420"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516FC60D"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&lt;0.01</w:t>
            </w:r>
          </w:p>
        </w:tc>
      </w:tr>
      <w:tr w:rsidR="00734F4C" w:rsidRPr="00734F4C" w14:paraId="632CE5AF"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547298B0"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Nausea, n (%)</w:t>
            </w:r>
          </w:p>
        </w:tc>
        <w:tc>
          <w:tcPr>
            <w:tcW w:w="586"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4B58717A"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9 (11.8)</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1B06317C"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9 (22.0)</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57A5258E"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 (0.0)</w:t>
            </w:r>
          </w:p>
        </w:tc>
        <w:tc>
          <w:tcPr>
            <w:tcW w:w="420"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759EABAC"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&lt;0.01</w:t>
            </w:r>
          </w:p>
        </w:tc>
      </w:tr>
      <w:tr w:rsidR="00734F4C" w:rsidRPr="00734F4C" w14:paraId="32AAB957"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4C7462AF"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Anorexia, n (%)</w:t>
            </w:r>
          </w:p>
        </w:tc>
        <w:tc>
          <w:tcPr>
            <w:tcW w:w="586"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27FAB3EF"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12 (15.8)</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57D5A1ED"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12 (29.3)</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39B1F397"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 (0.0)</w:t>
            </w:r>
          </w:p>
        </w:tc>
        <w:tc>
          <w:tcPr>
            <w:tcW w:w="420"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7ADAB04F"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&lt;0.01</w:t>
            </w:r>
          </w:p>
        </w:tc>
      </w:tr>
      <w:tr w:rsidR="00734F4C" w:rsidRPr="00734F4C" w14:paraId="447348EC"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5A9514FF"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Malaise, n (%)</w:t>
            </w:r>
          </w:p>
        </w:tc>
        <w:tc>
          <w:tcPr>
            <w:tcW w:w="586"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24536509"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3 (3.9)</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2E57E16A"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3 (7.3)</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7C6F5C7F"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 (0.0)</w:t>
            </w:r>
          </w:p>
        </w:tc>
        <w:tc>
          <w:tcPr>
            <w:tcW w:w="420"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573C6ECB"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0.25</w:t>
            </w:r>
          </w:p>
        </w:tc>
      </w:tr>
      <w:tr w:rsidR="00734F4C" w:rsidRPr="00734F4C" w14:paraId="0CD95564"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15C16426"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Mucositis oral, n (%)</w:t>
            </w:r>
          </w:p>
        </w:tc>
        <w:tc>
          <w:tcPr>
            <w:tcW w:w="586"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372BB430"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3 (3.9)</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22AC59A0"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3 (7.3)</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48F70DD7"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 (0.0)</w:t>
            </w:r>
          </w:p>
        </w:tc>
        <w:tc>
          <w:tcPr>
            <w:tcW w:w="420"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48DACC38"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0.25</w:t>
            </w:r>
          </w:p>
        </w:tc>
      </w:tr>
      <w:tr w:rsidR="00734F4C" w:rsidRPr="00734F4C" w14:paraId="0F8DFCF4"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08AD9707" w14:textId="77777777" w:rsidR="00734F4C" w:rsidRPr="00734F4C" w:rsidRDefault="00734F4C" w:rsidP="00734F4C">
            <w:pPr>
              <w:spacing w:line="480" w:lineRule="auto"/>
              <w:jc w:val="both"/>
              <w:rPr>
                <w:rFonts w:eastAsia="Arial"/>
                <w:color w:val="0D0D0D"/>
                <w:sz w:val="24"/>
                <w:lang w:val="en-US"/>
              </w:rPr>
            </w:pPr>
            <w:proofErr w:type="gramStart"/>
            <w:r w:rsidRPr="00734F4C">
              <w:rPr>
                <w:rFonts w:eastAsia="Arial"/>
                <w:b/>
                <w:bCs/>
                <w:color w:val="0D0D0D"/>
                <w:sz w:val="24"/>
                <w:lang w:val="en-GB"/>
              </w:rPr>
              <w:t>Diarrhoea</w:t>
            </w:r>
            <w:r w:rsidRPr="00734F4C">
              <w:rPr>
                <w:rFonts w:eastAsia="Arial"/>
                <w:color w:val="0D0D0D"/>
                <w:sz w:val="24"/>
                <w:lang w:val="en-US"/>
              </w:rPr>
              <w:t xml:space="preserve"> </w:t>
            </w:r>
            <w:r w:rsidRPr="00734F4C">
              <w:rPr>
                <w:rFonts w:eastAsia="Arial"/>
                <w:b/>
                <w:bCs/>
                <w:color w:val="0D0D0D"/>
                <w:sz w:val="24"/>
                <w:lang w:val="en-US"/>
              </w:rPr>
              <w:t>,</w:t>
            </w:r>
            <w:proofErr w:type="gramEnd"/>
            <w:r w:rsidRPr="00734F4C">
              <w:rPr>
                <w:rFonts w:eastAsia="Arial"/>
                <w:b/>
                <w:bCs/>
                <w:color w:val="0D0D0D"/>
                <w:sz w:val="24"/>
                <w:lang w:val="en-US"/>
              </w:rPr>
              <w:t xml:space="preserve"> n (%)</w:t>
            </w:r>
          </w:p>
        </w:tc>
        <w:tc>
          <w:tcPr>
            <w:tcW w:w="586"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068795C7"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5 (6.6)</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1A89A98B"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5 (12.2)</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2E3A0074"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 (0.0)</w:t>
            </w:r>
          </w:p>
        </w:tc>
        <w:tc>
          <w:tcPr>
            <w:tcW w:w="420"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02303C82"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0.06</w:t>
            </w:r>
          </w:p>
        </w:tc>
      </w:tr>
      <w:tr w:rsidR="00734F4C" w:rsidRPr="00734F4C" w14:paraId="1B378EBE"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552DD92F"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Creatinine increased, n (%)</w:t>
            </w:r>
          </w:p>
        </w:tc>
        <w:tc>
          <w:tcPr>
            <w:tcW w:w="586"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5AF1C7EC"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 (1.3)</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088F9F80"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 (2.4)</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08E6A128"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 (0.0)</w:t>
            </w:r>
          </w:p>
        </w:tc>
        <w:tc>
          <w:tcPr>
            <w:tcW w:w="420"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12C14317"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1.00</w:t>
            </w:r>
          </w:p>
        </w:tc>
      </w:tr>
      <w:tr w:rsidR="00734F4C" w:rsidRPr="00734F4C" w14:paraId="56FA17DA"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3D6BCA24"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ALT increased, n (%)</w:t>
            </w:r>
          </w:p>
        </w:tc>
        <w:tc>
          <w:tcPr>
            <w:tcW w:w="586"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6B36ACFA"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2 (2.6)</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2B96F439"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2 (4.9)</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5923FCDB"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 (0.0)</w:t>
            </w:r>
          </w:p>
        </w:tc>
        <w:tc>
          <w:tcPr>
            <w:tcW w:w="420"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54A848B5"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0.50</w:t>
            </w:r>
          </w:p>
        </w:tc>
      </w:tr>
      <w:tr w:rsidR="00734F4C" w:rsidRPr="00734F4C" w14:paraId="78FA3C02"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5371E6B4"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AST increased, n (%)</w:t>
            </w:r>
          </w:p>
        </w:tc>
        <w:tc>
          <w:tcPr>
            <w:tcW w:w="586"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53AC5F6E"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 (1.3)</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16D5E936"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 (2.4)</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276085D3"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 (0.0)</w:t>
            </w:r>
          </w:p>
        </w:tc>
        <w:tc>
          <w:tcPr>
            <w:tcW w:w="420"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3CFAB4E3"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1.00</w:t>
            </w:r>
          </w:p>
        </w:tc>
      </w:tr>
      <w:tr w:rsidR="00734F4C" w:rsidRPr="00734F4C" w14:paraId="09DCB4C3"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32DD06DF"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GGT increased, n (%)</w:t>
            </w:r>
          </w:p>
        </w:tc>
        <w:tc>
          <w:tcPr>
            <w:tcW w:w="586"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645D734C"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3 (3.9)</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701D2617"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 (2.4)</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294B2762"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2 (5.7)</w:t>
            </w:r>
          </w:p>
        </w:tc>
        <w:tc>
          <w:tcPr>
            <w:tcW w:w="420"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4332AB26"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0.59</w:t>
            </w:r>
          </w:p>
        </w:tc>
      </w:tr>
      <w:tr w:rsidR="00734F4C" w:rsidRPr="00734F4C" w14:paraId="78B01735"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730F5C27"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ALP increased, n (%)</w:t>
            </w:r>
          </w:p>
        </w:tc>
        <w:tc>
          <w:tcPr>
            <w:tcW w:w="586"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2F4F30AA"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 (1.3)</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0C0AC433"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 (0.0)</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14159539"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 (2.9)</w:t>
            </w:r>
          </w:p>
        </w:tc>
        <w:tc>
          <w:tcPr>
            <w:tcW w:w="420"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1B0A6421"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0.46</w:t>
            </w:r>
          </w:p>
        </w:tc>
      </w:tr>
      <w:tr w:rsidR="00734F4C" w:rsidRPr="00734F4C" w14:paraId="4457C96D"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16774890"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Hyponatremia, n (%)</w:t>
            </w:r>
          </w:p>
        </w:tc>
        <w:tc>
          <w:tcPr>
            <w:tcW w:w="586"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79277CF9"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3 (3.9)</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7AF2534A"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2 (4.9)</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3D72413C"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 (2.9)</w:t>
            </w:r>
          </w:p>
        </w:tc>
        <w:tc>
          <w:tcPr>
            <w:tcW w:w="420"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633D5E4E"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1.00</w:t>
            </w:r>
          </w:p>
        </w:tc>
      </w:tr>
      <w:tr w:rsidR="00734F4C" w:rsidRPr="00734F4C" w14:paraId="0139C0B2"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76D7346F"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Hypokalemia, n (%)</w:t>
            </w:r>
          </w:p>
        </w:tc>
        <w:tc>
          <w:tcPr>
            <w:tcW w:w="586"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39037E5C"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2 (2.6)</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561368CF"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2 (4.9)</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41A8C1CA"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 (0.0)</w:t>
            </w:r>
          </w:p>
        </w:tc>
        <w:tc>
          <w:tcPr>
            <w:tcW w:w="420"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021F2E24"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0.50</w:t>
            </w:r>
          </w:p>
        </w:tc>
      </w:tr>
      <w:tr w:rsidR="00734F4C" w:rsidRPr="00734F4C" w14:paraId="5950B24C"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1FA22730"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Hyperkalemia, n (%)</w:t>
            </w:r>
          </w:p>
        </w:tc>
        <w:tc>
          <w:tcPr>
            <w:tcW w:w="586"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2AC62198"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 (1.3)</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0E037DB1"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 (0.0)</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36F9AEFE"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 (2.9)</w:t>
            </w:r>
          </w:p>
        </w:tc>
        <w:tc>
          <w:tcPr>
            <w:tcW w:w="420"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23BB08E3"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0.46</w:t>
            </w:r>
          </w:p>
        </w:tc>
      </w:tr>
      <w:tr w:rsidR="00734F4C" w:rsidRPr="00734F4C" w14:paraId="55B75C9F"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07D4F28B"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Peripheral sensory neuropathy, n (%)</w:t>
            </w:r>
          </w:p>
        </w:tc>
        <w:tc>
          <w:tcPr>
            <w:tcW w:w="586"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0F696550"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 (1.3)</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596064FC"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 (2.4)</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620EF6DB"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 (0.0)</w:t>
            </w:r>
          </w:p>
        </w:tc>
        <w:tc>
          <w:tcPr>
            <w:tcW w:w="420"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73210B31"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1.00</w:t>
            </w:r>
          </w:p>
        </w:tc>
      </w:tr>
      <w:tr w:rsidR="00734F4C" w:rsidRPr="00734F4C" w14:paraId="1004A2EE"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76692955"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Thromboembolic event, n (%)</w:t>
            </w:r>
          </w:p>
        </w:tc>
        <w:tc>
          <w:tcPr>
            <w:tcW w:w="586"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3B639F76"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 (1.3)</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77E935D3"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 (2.4)</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48C2D630"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 (0.0)</w:t>
            </w:r>
          </w:p>
        </w:tc>
        <w:tc>
          <w:tcPr>
            <w:tcW w:w="420"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759FD6E9"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1.00</w:t>
            </w:r>
          </w:p>
        </w:tc>
      </w:tr>
      <w:tr w:rsidR="00734F4C" w:rsidRPr="00734F4C" w14:paraId="2ECD893C"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1CEB48B9"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Pneumonitis, n (%)</w:t>
            </w:r>
          </w:p>
        </w:tc>
        <w:tc>
          <w:tcPr>
            <w:tcW w:w="586"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0951A6E5"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 (1.3)</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1C7C4FD3"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 (2.4)</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680F00B5"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 (0.0)</w:t>
            </w:r>
          </w:p>
        </w:tc>
        <w:tc>
          <w:tcPr>
            <w:tcW w:w="420"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229AFC4B"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1.00</w:t>
            </w:r>
          </w:p>
        </w:tc>
      </w:tr>
      <w:tr w:rsidR="00734F4C" w:rsidRPr="00734F4C" w14:paraId="35E0E01B"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1E16A149"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Adrenal insufficiency, n (%)</w:t>
            </w:r>
          </w:p>
        </w:tc>
        <w:tc>
          <w:tcPr>
            <w:tcW w:w="586"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653622DE"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2 (2.6)</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68E48513"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2 (4.9)</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21D20F5B"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 (0.0)</w:t>
            </w:r>
          </w:p>
        </w:tc>
        <w:tc>
          <w:tcPr>
            <w:tcW w:w="420"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12A3EDA7"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0.50</w:t>
            </w:r>
          </w:p>
        </w:tc>
      </w:tr>
    </w:tbl>
    <w:p w14:paraId="366E4A8F" w14:textId="77777777" w:rsidR="00734F4C" w:rsidRDefault="00734F4C" w:rsidP="00493012">
      <w:pPr>
        <w:spacing w:line="480" w:lineRule="auto"/>
        <w:jc w:val="both"/>
        <w:rPr>
          <w:rFonts w:eastAsia="Arial"/>
          <w:color w:val="0D0D0D"/>
          <w:sz w:val="24"/>
          <w:lang w:val="en-US"/>
        </w:rPr>
      </w:pPr>
    </w:p>
    <w:p w14:paraId="40E49C78" w14:textId="26D01A0D" w:rsidR="00734F4C" w:rsidRPr="00734F4C" w:rsidRDefault="00734F4C" w:rsidP="00493012">
      <w:pPr>
        <w:spacing w:line="480" w:lineRule="auto"/>
        <w:jc w:val="both"/>
        <w:rPr>
          <w:rFonts w:eastAsia="Arial"/>
          <w:b/>
          <w:bCs/>
          <w:color w:val="0D0D0D"/>
          <w:sz w:val="24"/>
          <w:lang w:val="en-US"/>
        </w:rPr>
      </w:pPr>
      <w:r w:rsidRPr="00734F4C">
        <w:rPr>
          <w:rFonts w:eastAsia="Arial"/>
          <w:b/>
          <w:bCs/>
          <w:color w:val="0D0D0D"/>
          <w:sz w:val="24"/>
          <w:lang w:val="en-US"/>
        </w:rPr>
        <w:t>B.</w:t>
      </w:r>
    </w:p>
    <w:tbl>
      <w:tblPr>
        <w:tblW w:w="5000" w:type="pct"/>
        <w:tblCellMar>
          <w:left w:w="0" w:type="dxa"/>
          <w:right w:w="0" w:type="dxa"/>
        </w:tblCellMar>
        <w:tblLook w:val="0400" w:firstRow="0" w:lastRow="0" w:firstColumn="0" w:lastColumn="0" w:noHBand="0" w:noVBand="1"/>
      </w:tblPr>
      <w:tblGrid>
        <w:gridCol w:w="3711"/>
        <w:gridCol w:w="1056"/>
        <w:gridCol w:w="1742"/>
        <w:gridCol w:w="1742"/>
        <w:gridCol w:w="755"/>
      </w:tblGrid>
      <w:tr w:rsidR="00734F4C" w:rsidRPr="00734F4C" w14:paraId="397F7789"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CBCBCB"/>
            <w:tcMar>
              <w:top w:w="8" w:type="dxa"/>
              <w:left w:w="8" w:type="dxa"/>
              <w:bottom w:w="0" w:type="dxa"/>
              <w:right w:w="8" w:type="dxa"/>
            </w:tcMar>
            <w:vAlign w:val="center"/>
            <w:hideMark/>
          </w:tcPr>
          <w:p w14:paraId="4F050899" w14:textId="77777777" w:rsidR="00734F4C" w:rsidRPr="00734F4C" w:rsidRDefault="00734F4C" w:rsidP="00734F4C">
            <w:pPr>
              <w:spacing w:line="480" w:lineRule="auto"/>
              <w:jc w:val="both"/>
              <w:rPr>
                <w:rFonts w:eastAsia="Arial"/>
                <w:color w:val="0D0D0D"/>
                <w:sz w:val="24"/>
                <w:lang w:val="en-US"/>
              </w:rPr>
            </w:pPr>
          </w:p>
        </w:tc>
        <w:tc>
          <w:tcPr>
            <w:tcW w:w="586" w:type="pct"/>
            <w:tcBorders>
              <w:top w:val="single" w:sz="8" w:space="0" w:color="FFFFFF"/>
              <w:left w:val="single" w:sz="8" w:space="0" w:color="FFFFFF"/>
              <w:bottom w:val="single" w:sz="8" w:space="0" w:color="FFFFFF"/>
              <w:right w:val="single" w:sz="8" w:space="0" w:color="FFFFFF"/>
            </w:tcBorders>
            <w:shd w:val="clear" w:color="auto" w:fill="CBCBCB"/>
            <w:tcMar>
              <w:top w:w="8" w:type="dxa"/>
              <w:left w:w="8" w:type="dxa"/>
              <w:bottom w:w="0" w:type="dxa"/>
              <w:right w:w="8" w:type="dxa"/>
            </w:tcMar>
            <w:vAlign w:val="center"/>
            <w:hideMark/>
          </w:tcPr>
          <w:p w14:paraId="0F27A263"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All (N=76)</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8" w:type="dxa"/>
              <w:left w:w="8" w:type="dxa"/>
              <w:bottom w:w="0" w:type="dxa"/>
              <w:right w:w="8" w:type="dxa"/>
            </w:tcMar>
            <w:vAlign w:val="center"/>
            <w:hideMark/>
          </w:tcPr>
          <w:p w14:paraId="7E8D6A68"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Cisplatin (N=41)</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8" w:type="dxa"/>
              <w:left w:w="8" w:type="dxa"/>
              <w:bottom w:w="0" w:type="dxa"/>
              <w:right w:w="8" w:type="dxa"/>
            </w:tcMar>
            <w:vAlign w:val="center"/>
            <w:hideMark/>
          </w:tcPr>
          <w:p w14:paraId="12380BB3"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Carboplatin (N=35)</w:t>
            </w:r>
          </w:p>
        </w:tc>
        <w:tc>
          <w:tcPr>
            <w:tcW w:w="420" w:type="pct"/>
            <w:tcBorders>
              <w:top w:val="single" w:sz="8" w:space="0" w:color="FFFFFF"/>
              <w:left w:val="single" w:sz="8" w:space="0" w:color="FFFFFF"/>
              <w:bottom w:val="single" w:sz="8" w:space="0" w:color="FFFFFF"/>
              <w:right w:val="single" w:sz="8" w:space="0" w:color="FFFFFF"/>
            </w:tcBorders>
            <w:shd w:val="clear" w:color="auto" w:fill="CBCBCB"/>
            <w:tcMar>
              <w:top w:w="8" w:type="dxa"/>
              <w:left w:w="8" w:type="dxa"/>
              <w:bottom w:w="0" w:type="dxa"/>
              <w:right w:w="8" w:type="dxa"/>
            </w:tcMar>
            <w:vAlign w:val="center"/>
            <w:hideMark/>
          </w:tcPr>
          <w:p w14:paraId="0B258582"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p-value</w:t>
            </w:r>
          </w:p>
        </w:tc>
      </w:tr>
      <w:tr w:rsidR="00734F4C" w:rsidRPr="00734F4C" w14:paraId="2FFD59E1"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6A199C28"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G2≥irAEs, n (%)</w:t>
            </w:r>
          </w:p>
        </w:tc>
        <w:tc>
          <w:tcPr>
            <w:tcW w:w="586"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73889F1E"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11 (13.2)</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5B4D3403"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8 (19.5)</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3BD14982"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2 (5.7)</w:t>
            </w:r>
          </w:p>
        </w:tc>
        <w:tc>
          <w:tcPr>
            <w:tcW w:w="420"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66FDC1B6"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0.10</w:t>
            </w:r>
          </w:p>
        </w:tc>
      </w:tr>
      <w:tr w:rsidR="00734F4C" w:rsidRPr="00734F4C" w14:paraId="19A7C7CB"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CBCBCB"/>
            <w:tcMar>
              <w:top w:w="8" w:type="dxa"/>
              <w:left w:w="8" w:type="dxa"/>
              <w:bottom w:w="0" w:type="dxa"/>
              <w:right w:w="8" w:type="dxa"/>
            </w:tcMar>
            <w:vAlign w:val="center"/>
            <w:hideMark/>
          </w:tcPr>
          <w:p w14:paraId="256DE2C2"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Eczema, n (%)</w:t>
            </w:r>
          </w:p>
        </w:tc>
        <w:tc>
          <w:tcPr>
            <w:tcW w:w="586" w:type="pct"/>
            <w:tcBorders>
              <w:top w:val="single" w:sz="8" w:space="0" w:color="FFFFFF"/>
              <w:left w:val="single" w:sz="8" w:space="0" w:color="FFFFFF"/>
              <w:bottom w:val="single" w:sz="8" w:space="0" w:color="FFFFFF"/>
              <w:right w:val="single" w:sz="8" w:space="0" w:color="FFFFFF"/>
            </w:tcBorders>
            <w:shd w:val="clear" w:color="auto" w:fill="CBCBCB"/>
            <w:tcMar>
              <w:top w:w="8" w:type="dxa"/>
              <w:left w:w="8" w:type="dxa"/>
              <w:bottom w:w="0" w:type="dxa"/>
              <w:right w:w="8" w:type="dxa"/>
            </w:tcMar>
            <w:vAlign w:val="center"/>
            <w:hideMark/>
          </w:tcPr>
          <w:p w14:paraId="03A0F409"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5 (6.6)</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8" w:type="dxa"/>
              <w:left w:w="8" w:type="dxa"/>
              <w:bottom w:w="0" w:type="dxa"/>
              <w:right w:w="8" w:type="dxa"/>
            </w:tcMar>
            <w:vAlign w:val="center"/>
            <w:hideMark/>
          </w:tcPr>
          <w:p w14:paraId="50BEC2A7"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3 (7.3)</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8" w:type="dxa"/>
              <w:left w:w="8" w:type="dxa"/>
              <w:bottom w:w="0" w:type="dxa"/>
              <w:right w:w="8" w:type="dxa"/>
            </w:tcMar>
            <w:vAlign w:val="center"/>
            <w:hideMark/>
          </w:tcPr>
          <w:p w14:paraId="413E6226"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2 (5.7)</w:t>
            </w:r>
          </w:p>
        </w:tc>
        <w:tc>
          <w:tcPr>
            <w:tcW w:w="420" w:type="pct"/>
            <w:tcBorders>
              <w:top w:val="single" w:sz="8" w:space="0" w:color="FFFFFF"/>
              <w:left w:val="single" w:sz="8" w:space="0" w:color="FFFFFF"/>
              <w:bottom w:val="single" w:sz="8" w:space="0" w:color="FFFFFF"/>
              <w:right w:val="single" w:sz="8" w:space="0" w:color="FFFFFF"/>
            </w:tcBorders>
            <w:shd w:val="clear" w:color="auto" w:fill="CBCBCB"/>
            <w:tcMar>
              <w:top w:w="8" w:type="dxa"/>
              <w:left w:w="8" w:type="dxa"/>
              <w:bottom w:w="0" w:type="dxa"/>
              <w:right w:w="8" w:type="dxa"/>
            </w:tcMar>
            <w:vAlign w:val="center"/>
            <w:hideMark/>
          </w:tcPr>
          <w:p w14:paraId="114831B6"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1.00</w:t>
            </w:r>
          </w:p>
        </w:tc>
      </w:tr>
      <w:tr w:rsidR="00734F4C" w:rsidRPr="00734F4C" w14:paraId="7CD7CF6E"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54A884D2"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Adrenal insufficiency, n (%)</w:t>
            </w:r>
          </w:p>
        </w:tc>
        <w:tc>
          <w:tcPr>
            <w:tcW w:w="586"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5FFC5077"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4 (5.3)</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6DA7DFD0"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3 (7.3)</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5C420EB2"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 (2.9)</w:t>
            </w:r>
          </w:p>
        </w:tc>
        <w:tc>
          <w:tcPr>
            <w:tcW w:w="420"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6D3A9E4D"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0.62</w:t>
            </w:r>
          </w:p>
        </w:tc>
      </w:tr>
      <w:tr w:rsidR="00734F4C" w:rsidRPr="00734F4C" w14:paraId="62F030B6"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7E3D9888"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Peripheral sensory neuropathy, n (%)</w:t>
            </w:r>
          </w:p>
        </w:tc>
        <w:tc>
          <w:tcPr>
            <w:tcW w:w="586"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1C119710"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 (1.3)</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69DD0BD0"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 (2.4)</w:t>
            </w:r>
          </w:p>
        </w:tc>
        <w:tc>
          <w:tcPr>
            <w:tcW w:w="967"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601B23F2"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 (0.0)</w:t>
            </w:r>
          </w:p>
        </w:tc>
        <w:tc>
          <w:tcPr>
            <w:tcW w:w="420" w:type="pct"/>
            <w:tcBorders>
              <w:top w:val="single" w:sz="8" w:space="0" w:color="FFFFFF"/>
              <w:left w:val="single" w:sz="8" w:space="0" w:color="FFFFFF"/>
              <w:bottom w:val="single" w:sz="8" w:space="0" w:color="FFFFFF"/>
              <w:right w:val="single" w:sz="8" w:space="0" w:color="FFFFFF"/>
            </w:tcBorders>
            <w:shd w:val="clear" w:color="auto" w:fill="CBCBCB"/>
            <w:tcMar>
              <w:top w:w="15" w:type="dxa"/>
              <w:left w:w="15" w:type="dxa"/>
              <w:bottom w:w="0" w:type="dxa"/>
              <w:right w:w="15" w:type="dxa"/>
            </w:tcMar>
            <w:vAlign w:val="bottom"/>
            <w:hideMark/>
          </w:tcPr>
          <w:p w14:paraId="0C3EDEA6"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1.00</w:t>
            </w:r>
          </w:p>
        </w:tc>
      </w:tr>
      <w:tr w:rsidR="00734F4C" w:rsidRPr="00734F4C" w14:paraId="3C545A17" w14:textId="77777777" w:rsidTr="00734F4C">
        <w:trPr>
          <w:trHeight w:val="288"/>
        </w:trPr>
        <w:tc>
          <w:tcPr>
            <w:tcW w:w="2061"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3389AEFA" w14:textId="77777777" w:rsidR="00734F4C" w:rsidRPr="00734F4C" w:rsidRDefault="00734F4C" w:rsidP="00734F4C">
            <w:pPr>
              <w:spacing w:line="480" w:lineRule="auto"/>
              <w:jc w:val="both"/>
              <w:rPr>
                <w:rFonts w:eastAsia="Arial"/>
                <w:color w:val="0D0D0D"/>
                <w:sz w:val="24"/>
                <w:lang w:val="en-US"/>
              </w:rPr>
            </w:pPr>
            <w:r w:rsidRPr="00734F4C">
              <w:rPr>
                <w:rFonts w:eastAsia="Arial"/>
                <w:b/>
                <w:bCs/>
                <w:color w:val="0D0D0D"/>
                <w:sz w:val="24"/>
                <w:lang w:val="en-US"/>
              </w:rPr>
              <w:t>Pneumonitis, n (%)</w:t>
            </w:r>
          </w:p>
        </w:tc>
        <w:tc>
          <w:tcPr>
            <w:tcW w:w="586"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440A8623"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 (1.3)</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62C8B3F8"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 (2.4)</w:t>
            </w:r>
          </w:p>
        </w:tc>
        <w:tc>
          <w:tcPr>
            <w:tcW w:w="967"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48AD2755"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0 (0.0)</w:t>
            </w:r>
          </w:p>
        </w:tc>
        <w:tc>
          <w:tcPr>
            <w:tcW w:w="420" w:type="pct"/>
            <w:tcBorders>
              <w:top w:val="single" w:sz="8" w:space="0" w:color="FFFFFF"/>
              <w:left w:val="single" w:sz="8" w:space="0" w:color="FFFFFF"/>
              <w:bottom w:val="single" w:sz="8" w:space="0" w:color="FFFFFF"/>
              <w:right w:val="single" w:sz="8" w:space="0" w:color="FFFFFF"/>
            </w:tcBorders>
            <w:shd w:val="clear" w:color="auto" w:fill="E7E7E7"/>
            <w:tcMar>
              <w:top w:w="15" w:type="dxa"/>
              <w:left w:w="15" w:type="dxa"/>
              <w:bottom w:w="0" w:type="dxa"/>
              <w:right w:w="15" w:type="dxa"/>
            </w:tcMar>
            <w:vAlign w:val="bottom"/>
            <w:hideMark/>
          </w:tcPr>
          <w:p w14:paraId="35CAB37C" w14:textId="77777777" w:rsidR="00734F4C" w:rsidRPr="00734F4C" w:rsidRDefault="00734F4C" w:rsidP="00734F4C">
            <w:pPr>
              <w:spacing w:line="480" w:lineRule="auto"/>
              <w:jc w:val="both"/>
              <w:rPr>
                <w:rFonts w:eastAsia="Arial"/>
                <w:color w:val="0D0D0D"/>
                <w:sz w:val="24"/>
                <w:lang w:val="en-US"/>
              </w:rPr>
            </w:pPr>
            <w:r w:rsidRPr="00734F4C">
              <w:rPr>
                <w:rFonts w:eastAsia="Arial"/>
                <w:color w:val="0D0D0D"/>
                <w:sz w:val="24"/>
                <w:lang w:val="en-US"/>
              </w:rPr>
              <w:t>1.00</w:t>
            </w:r>
          </w:p>
        </w:tc>
      </w:tr>
    </w:tbl>
    <w:p w14:paraId="53C6ACBF" w14:textId="77777777" w:rsidR="00734F4C" w:rsidRPr="00215E92" w:rsidRDefault="00734F4C" w:rsidP="00493012">
      <w:pPr>
        <w:spacing w:line="480" w:lineRule="auto"/>
        <w:jc w:val="both"/>
        <w:rPr>
          <w:rFonts w:eastAsia="Arial"/>
          <w:color w:val="0D0D0D"/>
          <w:sz w:val="24"/>
          <w:lang w:val="en-US"/>
        </w:rPr>
      </w:pPr>
    </w:p>
    <w:p w14:paraId="6C5253D9" w14:textId="6CE75115" w:rsidR="009613CC" w:rsidRPr="00D34856" w:rsidRDefault="009613CC" w:rsidP="009613CC">
      <w:pPr>
        <w:spacing w:line="480" w:lineRule="auto"/>
        <w:jc w:val="both"/>
        <w:rPr>
          <w:color w:val="0D0D0D"/>
          <w:sz w:val="24"/>
          <w:lang w:val="en-GB"/>
        </w:rPr>
      </w:pPr>
      <w:r w:rsidRPr="00D34856">
        <w:rPr>
          <w:rFonts w:eastAsia="Arial"/>
          <w:b/>
          <w:color w:val="0D0D0D"/>
          <w:sz w:val="24"/>
          <w:highlight w:val="white"/>
          <w:lang w:val="en-GB"/>
        </w:rPr>
        <w:t xml:space="preserve">Supplementary Table </w:t>
      </w:r>
      <w:r>
        <w:rPr>
          <w:rFonts w:eastAsia="Arial"/>
          <w:b/>
          <w:color w:val="0D0D0D"/>
          <w:sz w:val="24"/>
          <w:highlight w:val="white"/>
          <w:lang w:val="en-GB"/>
        </w:rPr>
        <w:t>2</w:t>
      </w:r>
      <w:r w:rsidRPr="00D34856">
        <w:rPr>
          <w:rFonts w:eastAsia="Arial"/>
          <w:b/>
          <w:color w:val="0D0D0D"/>
          <w:sz w:val="24"/>
          <w:highlight w:val="white"/>
          <w:lang w:val="en-GB"/>
        </w:rPr>
        <w:t xml:space="preserve">. </w:t>
      </w:r>
    </w:p>
    <w:p w14:paraId="66430634" w14:textId="3FDBA6CC" w:rsidR="009613CC" w:rsidRPr="00215E92" w:rsidRDefault="00215E92" w:rsidP="00493012">
      <w:pPr>
        <w:spacing w:line="480" w:lineRule="auto"/>
        <w:jc w:val="both"/>
        <w:rPr>
          <w:color w:val="0D0D0D"/>
          <w:sz w:val="24"/>
          <w:szCs w:val="24"/>
          <w:lang w:val="en-GB"/>
        </w:rPr>
      </w:pPr>
      <w:r w:rsidRPr="00215E92">
        <w:rPr>
          <w:color w:val="000000"/>
          <w:sz w:val="24"/>
          <w:szCs w:val="24"/>
        </w:rPr>
        <w:t>(A) Grade ≥3 non-</w:t>
      </w:r>
      <w:proofErr w:type="spellStart"/>
      <w:r w:rsidRPr="00215E92">
        <w:rPr>
          <w:color w:val="000000"/>
          <w:sz w:val="24"/>
          <w:szCs w:val="24"/>
        </w:rPr>
        <w:t>haematological</w:t>
      </w:r>
      <w:proofErr w:type="spellEnd"/>
      <w:r w:rsidRPr="00215E92">
        <w:rPr>
          <w:color w:val="000000"/>
          <w:sz w:val="24"/>
          <w:szCs w:val="24"/>
        </w:rPr>
        <w:t xml:space="preserve"> adverse events and (B) Grade ≥2 immune-related adverse events (</w:t>
      </w:r>
      <w:proofErr w:type="spellStart"/>
      <w:r w:rsidRPr="00215E92">
        <w:rPr>
          <w:color w:val="000000"/>
          <w:sz w:val="24"/>
          <w:szCs w:val="24"/>
        </w:rPr>
        <w:t>irAEs</w:t>
      </w:r>
      <w:proofErr w:type="spellEnd"/>
      <w:r w:rsidRPr="00215E92">
        <w:rPr>
          <w:color w:val="000000"/>
          <w:sz w:val="24"/>
          <w:szCs w:val="24"/>
        </w:rPr>
        <w:t>) were assessed according to CTCAE v5.0. Comparisons between the cisplatin and carboplatin groups were performed using the chi-squared test or Fisher’s exact test, as appropriate.</w:t>
      </w:r>
    </w:p>
    <w:p w14:paraId="0A3F9109" w14:textId="443748D0" w:rsidR="00493012" w:rsidRDefault="00493012"/>
    <w:sectPr w:rsidR="004930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1"/>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12"/>
    <w:rsid w:val="00006DD3"/>
    <w:rsid w:val="000A5819"/>
    <w:rsid w:val="00215E92"/>
    <w:rsid w:val="002208F2"/>
    <w:rsid w:val="0032218F"/>
    <w:rsid w:val="00493012"/>
    <w:rsid w:val="0073313C"/>
    <w:rsid w:val="00734F4C"/>
    <w:rsid w:val="00751EBA"/>
    <w:rsid w:val="009613CC"/>
    <w:rsid w:val="00D34856"/>
    <w:rsid w:val="00F420A9"/>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ecimalSymbol w:val="."/>
  <w:listSeparator w:val=","/>
  <w14:docId w14:val="653D1FA7"/>
  <w15:chartTrackingRefBased/>
  <w15:docId w15:val="{0F16F83D-6240-6E44-BC75-CE82215A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012"/>
    <w:pPr>
      <w:spacing w:after="0" w:line="276" w:lineRule="auto"/>
    </w:pPr>
    <w:rPr>
      <w:rFonts w:ascii="Arial" w:hAnsi="Arial" w:cs="Arial"/>
      <w:kern w:val="0"/>
      <w:sz w:val="22"/>
      <w:szCs w:val="22"/>
      <w:lang w:val="en" w:eastAsia="ja-JP" w:bidi="ar-SA"/>
      <w14:ligatures w14:val="none"/>
    </w:rPr>
  </w:style>
  <w:style w:type="paragraph" w:styleId="1">
    <w:name w:val="heading 1"/>
    <w:basedOn w:val="a"/>
    <w:next w:val="a"/>
    <w:link w:val="10"/>
    <w:uiPriority w:val="9"/>
    <w:qFormat/>
    <w:rsid w:val="0049301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36"/>
      <w:lang w:val="en-IN" w:eastAsia="en-US" w:bidi="hi-IN"/>
      <w14:ligatures w14:val="standardContextual"/>
    </w:rPr>
  </w:style>
  <w:style w:type="paragraph" w:styleId="2">
    <w:name w:val="heading 2"/>
    <w:basedOn w:val="a"/>
    <w:next w:val="a"/>
    <w:link w:val="20"/>
    <w:uiPriority w:val="9"/>
    <w:semiHidden/>
    <w:unhideWhenUsed/>
    <w:qFormat/>
    <w:rsid w:val="0049301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29"/>
      <w:lang w:val="en-IN" w:eastAsia="en-US" w:bidi="hi-IN"/>
      <w14:ligatures w14:val="standardContextual"/>
    </w:rPr>
  </w:style>
  <w:style w:type="paragraph" w:styleId="3">
    <w:name w:val="heading 3"/>
    <w:basedOn w:val="a"/>
    <w:next w:val="a"/>
    <w:link w:val="30"/>
    <w:uiPriority w:val="9"/>
    <w:semiHidden/>
    <w:unhideWhenUsed/>
    <w:qFormat/>
    <w:rsid w:val="0049301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5"/>
      <w:lang w:val="en-IN" w:eastAsia="en-US" w:bidi="hi-IN"/>
      <w14:ligatures w14:val="standardContextual"/>
    </w:rPr>
  </w:style>
  <w:style w:type="paragraph" w:styleId="4">
    <w:name w:val="heading 4"/>
    <w:basedOn w:val="a"/>
    <w:next w:val="a"/>
    <w:link w:val="40"/>
    <w:uiPriority w:val="9"/>
    <w:semiHidden/>
    <w:unhideWhenUsed/>
    <w:qFormat/>
    <w:rsid w:val="0049301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1"/>
      <w:lang w:val="en-IN" w:eastAsia="en-US" w:bidi="hi-IN"/>
      <w14:ligatures w14:val="standardContextual"/>
    </w:rPr>
  </w:style>
  <w:style w:type="paragraph" w:styleId="5">
    <w:name w:val="heading 5"/>
    <w:basedOn w:val="a"/>
    <w:next w:val="a"/>
    <w:link w:val="50"/>
    <w:uiPriority w:val="9"/>
    <w:semiHidden/>
    <w:unhideWhenUsed/>
    <w:qFormat/>
    <w:rsid w:val="0049301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1"/>
      <w:lang w:val="en-IN" w:eastAsia="en-US" w:bidi="hi-IN"/>
      <w14:ligatures w14:val="standardContextual"/>
    </w:rPr>
  </w:style>
  <w:style w:type="paragraph" w:styleId="6">
    <w:name w:val="heading 6"/>
    <w:basedOn w:val="a"/>
    <w:next w:val="a"/>
    <w:link w:val="60"/>
    <w:uiPriority w:val="9"/>
    <w:semiHidden/>
    <w:unhideWhenUsed/>
    <w:qFormat/>
    <w:rsid w:val="0049301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1"/>
      <w:lang w:val="en-IN" w:eastAsia="en-US" w:bidi="hi-IN"/>
      <w14:ligatures w14:val="standardContextual"/>
    </w:rPr>
  </w:style>
  <w:style w:type="paragraph" w:styleId="7">
    <w:name w:val="heading 7"/>
    <w:basedOn w:val="a"/>
    <w:next w:val="a"/>
    <w:link w:val="70"/>
    <w:uiPriority w:val="9"/>
    <w:semiHidden/>
    <w:unhideWhenUsed/>
    <w:qFormat/>
    <w:rsid w:val="00493012"/>
    <w:pPr>
      <w:keepNext/>
      <w:keepLines/>
      <w:spacing w:before="40" w:line="278" w:lineRule="auto"/>
      <w:outlineLvl w:val="6"/>
    </w:pPr>
    <w:rPr>
      <w:rFonts w:asciiTheme="minorHAnsi" w:eastAsiaTheme="majorEastAsia" w:hAnsiTheme="minorHAnsi" w:cstheme="majorBidi"/>
      <w:color w:val="595959" w:themeColor="text1" w:themeTint="A6"/>
      <w:kern w:val="2"/>
      <w:sz w:val="24"/>
      <w:szCs w:val="21"/>
      <w:lang w:val="en-IN" w:eastAsia="en-US" w:bidi="hi-IN"/>
      <w14:ligatures w14:val="standardContextual"/>
    </w:rPr>
  </w:style>
  <w:style w:type="paragraph" w:styleId="8">
    <w:name w:val="heading 8"/>
    <w:basedOn w:val="a"/>
    <w:next w:val="a"/>
    <w:link w:val="80"/>
    <w:uiPriority w:val="9"/>
    <w:semiHidden/>
    <w:unhideWhenUsed/>
    <w:qFormat/>
    <w:rsid w:val="00493012"/>
    <w:pPr>
      <w:keepNext/>
      <w:keepLines/>
      <w:spacing w:line="278" w:lineRule="auto"/>
      <w:outlineLvl w:val="7"/>
    </w:pPr>
    <w:rPr>
      <w:rFonts w:asciiTheme="minorHAnsi" w:eastAsiaTheme="majorEastAsia" w:hAnsiTheme="minorHAnsi" w:cstheme="majorBidi"/>
      <w:i/>
      <w:iCs/>
      <w:color w:val="272727" w:themeColor="text1" w:themeTint="D8"/>
      <w:kern w:val="2"/>
      <w:sz w:val="24"/>
      <w:szCs w:val="21"/>
      <w:lang w:val="en-IN" w:eastAsia="en-US" w:bidi="hi-IN"/>
      <w14:ligatures w14:val="standardContextual"/>
    </w:rPr>
  </w:style>
  <w:style w:type="paragraph" w:styleId="9">
    <w:name w:val="heading 9"/>
    <w:basedOn w:val="a"/>
    <w:next w:val="a"/>
    <w:link w:val="90"/>
    <w:uiPriority w:val="9"/>
    <w:semiHidden/>
    <w:unhideWhenUsed/>
    <w:qFormat/>
    <w:rsid w:val="00493012"/>
    <w:pPr>
      <w:keepNext/>
      <w:keepLines/>
      <w:spacing w:line="278" w:lineRule="auto"/>
      <w:outlineLvl w:val="8"/>
    </w:pPr>
    <w:rPr>
      <w:rFonts w:asciiTheme="minorHAnsi" w:eastAsiaTheme="majorEastAsia" w:hAnsiTheme="minorHAnsi" w:cstheme="majorBidi"/>
      <w:color w:val="272727" w:themeColor="text1" w:themeTint="D8"/>
      <w:kern w:val="2"/>
      <w:sz w:val="24"/>
      <w:szCs w:val="21"/>
      <w:lang w:val="en-IN" w:eastAsia="en-US" w:bidi="hi-IN"/>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3012"/>
    <w:rPr>
      <w:rFonts w:asciiTheme="majorHAnsi" w:eastAsiaTheme="majorEastAsia" w:hAnsiTheme="majorHAnsi" w:cstheme="majorBidi"/>
      <w:color w:val="0F4761" w:themeColor="accent1" w:themeShade="BF"/>
      <w:sz w:val="40"/>
      <w:szCs w:val="36"/>
    </w:rPr>
  </w:style>
  <w:style w:type="character" w:customStyle="1" w:styleId="20">
    <w:name w:val="見出し 2 (文字)"/>
    <w:basedOn w:val="a0"/>
    <w:link w:val="2"/>
    <w:uiPriority w:val="9"/>
    <w:semiHidden/>
    <w:rsid w:val="00493012"/>
    <w:rPr>
      <w:rFonts w:asciiTheme="majorHAnsi" w:eastAsiaTheme="majorEastAsia" w:hAnsiTheme="majorHAnsi" w:cstheme="majorBidi"/>
      <w:color w:val="0F4761" w:themeColor="accent1" w:themeShade="BF"/>
      <w:sz w:val="32"/>
      <w:szCs w:val="29"/>
    </w:rPr>
  </w:style>
  <w:style w:type="character" w:customStyle="1" w:styleId="30">
    <w:name w:val="見出し 3 (文字)"/>
    <w:basedOn w:val="a0"/>
    <w:link w:val="3"/>
    <w:uiPriority w:val="9"/>
    <w:semiHidden/>
    <w:rsid w:val="00493012"/>
    <w:rPr>
      <w:rFonts w:eastAsiaTheme="majorEastAsia" w:cstheme="majorBidi"/>
      <w:color w:val="0F4761" w:themeColor="accent1" w:themeShade="BF"/>
      <w:sz w:val="28"/>
      <w:szCs w:val="25"/>
    </w:rPr>
  </w:style>
  <w:style w:type="character" w:customStyle="1" w:styleId="40">
    <w:name w:val="見出し 4 (文字)"/>
    <w:basedOn w:val="a0"/>
    <w:link w:val="4"/>
    <w:uiPriority w:val="9"/>
    <w:semiHidden/>
    <w:rsid w:val="00493012"/>
    <w:rPr>
      <w:rFonts w:eastAsiaTheme="majorEastAsia" w:cstheme="majorBidi"/>
      <w:i/>
      <w:iCs/>
      <w:color w:val="0F4761" w:themeColor="accent1" w:themeShade="BF"/>
    </w:rPr>
  </w:style>
  <w:style w:type="character" w:customStyle="1" w:styleId="50">
    <w:name w:val="見出し 5 (文字)"/>
    <w:basedOn w:val="a0"/>
    <w:link w:val="5"/>
    <w:uiPriority w:val="9"/>
    <w:semiHidden/>
    <w:rsid w:val="00493012"/>
    <w:rPr>
      <w:rFonts w:eastAsiaTheme="majorEastAsia" w:cstheme="majorBidi"/>
      <w:color w:val="0F4761" w:themeColor="accent1" w:themeShade="BF"/>
    </w:rPr>
  </w:style>
  <w:style w:type="character" w:customStyle="1" w:styleId="60">
    <w:name w:val="見出し 6 (文字)"/>
    <w:basedOn w:val="a0"/>
    <w:link w:val="6"/>
    <w:uiPriority w:val="9"/>
    <w:semiHidden/>
    <w:rsid w:val="00493012"/>
    <w:rPr>
      <w:rFonts w:eastAsiaTheme="majorEastAsia" w:cstheme="majorBidi"/>
      <w:i/>
      <w:iCs/>
      <w:color w:val="595959" w:themeColor="text1" w:themeTint="A6"/>
    </w:rPr>
  </w:style>
  <w:style w:type="character" w:customStyle="1" w:styleId="70">
    <w:name w:val="見出し 7 (文字)"/>
    <w:basedOn w:val="a0"/>
    <w:link w:val="7"/>
    <w:uiPriority w:val="9"/>
    <w:semiHidden/>
    <w:rsid w:val="00493012"/>
    <w:rPr>
      <w:rFonts w:eastAsiaTheme="majorEastAsia" w:cstheme="majorBidi"/>
      <w:color w:val="595959" w:themeColor="text1" w:themeTint="A6"/>
    </w:rPr>
  </w:style>
  <w:style w:type="character" w:customStyle="1" w:styleId="80">
    <w:name w:val="見出し 8 (文字)"/>
    <w:basedOn w:val="a0"/>
    <w:link w:val="8"/>
    <w:uiPriority w:val="9"/>
    <w:semiHidden/>
    <w:rsid w:val="00493012"/>
    <w:rPr>
      <w:rFonts w:eastAsiaTheme="majorEastAsia" w:cstheme="majorBidi"/>
      <w:i/>
      <w:iCs/>
      <w:color w:val="272727" w:themeColor="text1" w:themeTint="D8"/>
    </w:rPr>
  </w:style>
  <w:style w:type="character" w:customStyle="1" w:styleId="90">
    <w:name w:val="見出し 9 (文字)"/>
    <w:basedOn w:val="a0"/>
    <w:link w:val="9"/>
    <w:uiPriority w:val="9"/>
    <w:semiHidden/>
    <w:rsid w:val="00493012"/>
    <w:rPr>
      <w:rFonts w:eastAsiaTheme="majorEastAsia" w:cstheme="majorBidi"/>
      <w:color w:val="272727" w:themeColor="text1" w:themeTint="D8"/>
    </w:rPr>
  </w:style>
  <w:style w:type="paragraph" w:styleId="a3">
    <w:name w:val="Title"/>
    <w:basedOn w:val="a"/>
    <w:next w:val="a"/>
    <w:link w:val="a4"/>
    <w:uiPriority w:val="10"/>
    <w:qFormat/>
    <w:rsid w:val="00493012"/>
    <w:pPr>
      <w:spacing w:after="80" w:line="240" w:lineRule="auto"/>
      <w:contextualSpacing/>
    </w:pPr>
    <w:rPr>
      <w:rFonts w:asciiTheme="majorHAnsi" w:eastAsiaTheme="majorEastAsia" w:hAnsiTheme="majorHAnsi" w:cstheme="majorBidi"/>
      <w:spacing w:val="-10"/>
      <w:kern w:val="28"/>
      <w:sz w:val="56"/>
      <w:szCs w:val="50"/>
      <w:lang w:val="en-IN" w:eastAsia="en-US" w:bidi="hi-IN"/>
      <w14:ligatures w14:val="standardContextual"/>
    </w:rPr>
  </w:style>
  <w:style w:type="character" w:customStyle="1" w:styleId="a4">
    <w:name w:val="表題 (文字)"/>
    <w:basedOn w:val="a0"/>
    <w:link w:val="a3"/>
    <w:uiPriority w:val="10"/>
    <w:rsid w:val="00493012"/>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4930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5"/>
      <w:lang w:val="en-IN" w:eastAsia="en-US" w:bidi="hi-IN"/>
      <w14:ligatures w14:val="standardContextual"/>
    </w:rPr>
  </w:style>
  <w:style w:type="character" w:customStyle="1" w:styleId="a6">
    <w:name w:val="副題 (文字)"/>
    <w:basedOn w:val="a0"/>
    <w:link w:val="a5"/>
    <w:uiPriority w:val="11"/>
    <w:rsid w:val="00493012"/>
    <w:rPr>
      <w:rFonts w:eastAsiaTheme="majorEastAsia" w:cstheme="majorBidi"/>
      <w:color w:val="595959" w:themeColor="text1" w:themeTint="A6"/>
      <w:spacing w:val="15"/>
      <w:sz w:val="28"/>
      <w:szCs w:val="25"/>
    </w:rPr>
  </w:style>
  <w:style w:type="paragraph" w:styleId="a7">
    <w:name w:val="Quote"/>
    <w:basedOn w:val="a"/>
    <w:next w:val="a"/>
    <w:link w:val="a8"/>
    <w:uiPriority w:val="29"/>
    <w:qFormat/>
    <w:rsid w:val="00493012"/>
    <w:pPr>
      <w:spacing w:before="160" w:after="160" w:line="278" w:lineRule="auto"/>
      <w:jc w:val="center"/>
    </w:pPr>
    <w:rPr>
      <w:rFonts w:asciiTheme="minorHAnsi" w:eastAsiaTheme="minorHAnsi" w:hAnsiTheme="minorHAnsi" w:cs="Mangal"/>
      <w:i/>
      <w:iCs/>
      <w:color w:val="404040" w:themeColor="text1" w:themeTint="BF"/>
      <w:kern w:val="2"/>
      <w:sz w:val="24"/>
      <w:szCs w:val="21"/>
      <w:lang w:val="en-IN" w:eastAsia="en-US" w:bidi="hi-IN"/>
      <w14:ligatures w14:val="standardContextual"/>
    </w:rPr>
  </w:style>
  <w:style w:type="character" w:customStyle="1" w:styleId="a8">
    <w:name w:val="引用文 (文字)"/>
    <w:basedOn w:val="a0"/>
    <w:link w:val="a7"/>
    <w:uiPriority w:val="29"/>
    <w:rsid w:val="00493012"/>
    <w:rPr>
      <w:rFonts w:cs="Mangal"/>
      <w:i/>
      <w:iCs/>
      <w:color w:val="404040" w:themeColor="text1" w:themeTint="BF"/>
    </w:rPr>
  </w:style>
  <w:style w:type="paragraph" w:styleId="a9">
    <w:name w:val="List Paragraph"/>
    <w:basedOn w:val="a"/>
    <w:uiPriority w:val="34"/>
    <w:qFormat/>
    <w:rsid w:val="00493012"/>
    <w:pPr>
      <w:spacing w:after="160" w:line="278" w:lineRule="auto"/>
      <w:ind w:left="720"/>
      <w:contextualSpacing/>
    </w:pPr>
    <w:rPr>
      <w:rFonts w:asciiTheme="minorHAnsi" w:eastAsiaTheme="minorHAnsi" w:hAnsiTheme="minorHAnsi" w:cs="Mangal"/>
      <w:kern w:val="2"/>
      <w:sz w:val="24"/>
      <w:szCs w:val="21"/>
      <w:lang w:val="en-IN" w:eastAsia="en-US" w:bidi="hi-IN"/>
      <w14:ligatures w14:val="standardContextual"/>
    </w:rPr>
  </w:style>
  <w:style w:type="character" w:styleId="21">
    <w:name w:val="Intense Emphasis"/>
    <w:basedOn w:val="a0"/>
    <w:uiPriority w:val="21"/>
    <w:qFormat/>
    <w:rsid w:val="00493012"/>
    <w:rPr>
      <w:i/>
      <w:iCs/>
      <w:color w:val="0F4761" w:themeColor="accent1" w:themeShade="BF"/>
    </w:rPr>
  </w:style>
  <w:style w:type="paragraph" w:styleId="22">
    <w:name w:val="Intense Quote"/>
    <w:basedOn w:val="a"/>
    <w:next w:val="a"/>
    <w:link w:val="23"/>
    <w:uiPriority w:val="30"/>
    <w:qFormat/>
    <w:rsid w:val="0049301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Mangal"/>
      <w:i/>
      <w:iCs/>
      <w:color w:val="0F4761" w:themeColor="accent1" w:themeShade="BF"/>
      <w:kern w:val="2"/>
      <w:sz w:val="24"/>
      <w:szCs w:val="21"/>
      <w:lang w:val="en-IN" w:eastAsia="en-US" w:bidi="hi-IN"/>
      <w14:ligatures w14:val="standardContextual"/>
    </w:rPr>
  </w:style>
  <w:style w:type="character" w:customStyle="1" w:styleId="23">
    <w:name w:val="引用文 2 (文字)"/>
    <w:basedOn w:val="a0"/>
    <w:link w:val="22"/>
    <w:uiPriority w:val="30"/>
    <w:rsid w:val="00493012"/>
    <w:rPr>
      <w:rFonts w:cs="Mangal"/>
      <w:i/>
      <w:iCs/>
      <w:color w:val="0F4761" w:themeColor="accent1" w:themeShade="BF"/>
    </w:rPr>
  </w:style>
  <w:style w:type="character" w:styleId="24">
    <w:name w:val="Intense Reference"/>
    <w:basedOn w:val="a0"/>
    <w:uiPriority w:val="32"/>
    <w:qFormat/>
    <w:rsid w:val="00493012"/>
    <w:rPr>
      <w:b/>
      <w:bCs/>
      <w:smallCaps/>
      <w:color w:val="0F4761" w:themeColor="accent1" w:themeShade="BF"/>
      <w:spacing w:val="5"/>
    </w:rPr>
  </w:style>
  <w:style w:type="character" w:customStyle="1" w:styleId="apple-converted-space">
    <w:name w:val="apple-converted-space"/>
    <w:basedOn w:val="a0"/>
    <w:rsid w:val="009613CC"/>
  </w:style>
  <w:style w:type="character" w:styleId="aa">
    <w:name w:val="Strong"/>
    <w:basedOn w:val="a0"/>
    <w:uiPriority w:val="22"/>
    <w:qFormat/>
    <w:rsid w:val="00961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071BA-F9E6-B741-8179-C653612CD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吉田 淳平</cp:lastModifiedBy>
  <cp:revision>2</cp:revision>
  <dcterms:created xsi:type="dcterms:W3CDTF">2025-10-27T08:44:00Z</dcterms:created>
  <dcterms:modified xsi:type="dcterms:W3CDTF">2025-10-27T08:44:00Z</dcterms:modified>
</cp:coreProperties>
</file>