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1B31E" w14:textId="77777777" w:rsidR="006E3553" w:rsidRPr="006E3553" w:rsidRDefault="006E3553" w:rsidP="006E3553">
      <w:pPr>
        <w:pStyle w:val="Heading2"/>
        <w:spacing w:line="480" w:lineRule="auto"/>
        <w:rPr>
          <w:rFonts w:ascii="Arial" w:hAnsi="Arial" w:cs="Arial"/>
          <w:b w:val="0"/>
          <w:bCs w:val="0"/>
          <w:lang w:val="en-US"/>
        </w:rPr>
      </w:pPr>
      <w:r w:rsidRPr="006E3553">
        <w:rPr>
          <w:rFonts w:ascii="Arial" w:hAnsi="Arial" w:cs="Arial"/>
          <w:lang w:val="en-US"/>
        </w:rPr>
        <w:t xml:space="preserve">Additional file 5: </w:t>
      </w:r>
      <w:r w:rsidRPr="006E3553">
        <w:rPr>
          <w:rFonts w:ascii="Arial" w:hAnsi="Arial" w:cs="Arial"/>
          <w:b w:val="0"/>
          <w:bCs w:val="0"/>
          <w:lang w:val="en-US"/>
        </w:rPr>
        <w:t>Risk of AEs and SAEs with free combination therapy</w:t>
      </w:r>
      <w:r w:rsidRPr="006E3553">
        <w:rPr>
          <w:rFonts w:ascii="Arial" w:hAnsi="Arial" w:cs="Arial"/>
          <w:lang w:val="en-US"/>
        </w:rPr>
        <w:t xml:space="preserve"> </w:t>
      </w:r>
      <w:r w:rsidRPr="006E3553">
        <w:rPr>
          <w:rFonts w:ascii="Arial" w:hAnsi="Arial" w:cs="Arial"/>
          <w:b w:val="0"/>
          <w:bCs w:val="0"/>
          <w:lang w:val="en-US"/>
        </w:rPr>
        <w:t>compared</w:t>
      </w:r>
      <w:r w:rsidRPr="006E3553">
        <w:rPr>
          <w:rFonts w:ascii="Arial" w:hAnsi="Arial" w:cs="Arial"/>
          <w:lang w:val="en-US"/>
        </w:rPr>
        <w:t xml:space="preserve"> </w:t>
      </w:r>
      <w:r w:rsidRPr="006E3553">
        <w:rPr>
          <w:rFonts w:ascii="Arial" w:hAnsi="Arial" w:cs="Arial"/>
          <w:b w:val="0"/>
          <w:bCs w:val="0"/>
          <w:lang w:val="en-US"/>
        </w:rPr>
        <w:t xml:space="preserve">with dutasteride or tamsulosin monotherapy*, </w:t>
      </w:r>
      <w:r w:rsidRPr="006E3553">
        <w:rPr>
          <w:rFonts w:ascii="Arial" w:hAnsi="Arial" w:cs="Arial"/>
          <w:b w:val="0"/>
          <w:bCs w:val="0"/>
          <w:lang w:val="en-US"/>
        </w:rPr>
        <w:br/>
        <w:t>by patient age group.</w:t>
      </w:r>
    </w:p>
    <w:tbl>
      <w:tblPr>
        <w:tblStyle w:val="TableGrid"/>
        <w:tblW w:w="15226" w:type="dxa"/>
        <w:tblLook w:val="04A0" w:firstRow="1" w:lastRow="0" w:firstColumn="1" w:lastColumn="0" w:noHBand="0" w:noVBand="1"/>
      </w:tblPr>
      <w:tblGrid>
        <w:gridCol w:w="2537"/>
        <w:gridCol w:w="2006"/>
        <w:gridCol w:w="3068"/>
        <w:gridCol w:w="2537"/>
        <w:gridCol w:w="2537"/>
        <w:gridCol w:w="2541"/>
      </w:tblGrid>
      <w:tr w:rsidR="006E3553" w:rsidRPr="006E3553" w14:paraId="05541252" w14:textId="77777777" w:rsidTr="00C6569A">
        <w:trPr>
          <w:trHeight w:val="297"/>
        </w:trPr>
        <w:tc>
          <w:tcPr>
            <w:tcW w:w="2537" w:type="dxa"/>
            <w:vMerge w:val="restart"/>
            <w:shd w:val="clear" w:color="auto" w:fill="D9D9D9" w:themeFill="background1" w:themeFillShade="D9"/>
          </w:tcPr>
          <w:p w14:paraId="675174B7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>Age category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3AF7831F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5605" w:type="dxa"/>
            <w:gridSpan w:val="2"/>
            <w:shd w:val="clear" w:color="auto" w:fill="D9D9D9" w:themeFill="background1" w:themeFillShade="D9"/>
          </w:tcPr>
          <w:p w14:paraId="446E12A7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 xml:space="preserve">Free combination therapy vs </w:t>
            </w:r>
            <w:r w:rsidRPr="006E3553">
              <w:rPr>
                <w:rFonts w:ascii="Arial" w:hAnsi="Arial" w:cs="Arial"/>
                <w:b/>
                <w:bCs/>
              </w:rPr>
              <w:br/>
              <w:t>dutasteride monotherapy</w:t>
            </w:r>
          </w:p>
        </w:tc>
        <w:tc>
          <w:tcPr>
            <w:tcW w:w="5076" w:type="dxa"/>
            <w:gridSpan w:val="2"/>
            <w:shd w:val="clear" w:color="auto" w:fill="D9D9D9" w:themeFill="background1" w:themeFillShade="D9"/>
          </w:tcPr>
          <w:p w14:paraId="4DCE7B11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 xml:space="preserve">Free combination therapy vs </w:t>
            </w:r>
            <w:r w:rsidRPr="006E3553">
              <w:rPr>
                <w:rFonts w:ascii="Arial" w:hAnsi="Arial" w:cs="Arial"/>
                <w:b/>
                <w:bCs/>
              </w:rPr>
              <w:br/>
              <w:t>tamsulosin monotherapy</w:t>
            </w:r>
          </w:p>
        </w:tc>
      </w:tr>
      <w:tr w:rsidR="006E3553" w:rsidRPr="006E3553" w14:paraId="66807981" w14:textId="77777777" w:rsidTr="00C6569A">
        <w:trPr>
          <w:trHeight w:val="297"/>
        </w:trPr>
        <w:tc>
          <w:tcPr>
            <w:tcW w:w="2537" w:type="dxa"/>
            <w:vMerge/>
            <w:shd w:val="clear" w:color="auto" w:fill="D9D9D9" w:themeFill="background1" w:themeFillShade="D9"/>
          </w:tcPr>
          <w:p w14:paraId="054F90C9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szCs w:val="22"/>
              </w:rPr>
            </w:pPr>
          </w:p>
        </w:tc>
        <w:tc>
          <w:tcPr>
            <w:tcW w:w="2006" w:type="dxa"/>
            <w:shd w:val="clear" w:color="auto" w:fill="D9D9D9" w:themeFill="background1" w:themeFillShade="D9"/>
          </w:tcPr>
          <w:p w14:paraId="58721CF3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Cs w:val="22"/>
                <w:lang w:val="en-GB"/>
              </w:rPr>
            </w:pPr>
            <w:r w:rsidRPr="006E3553">
              <w:rPr>
                <w:rFonts w:ascii="Arial" w:hAnsi="Arial" w:cs="Arial"/>
                <w:b/>
                <w:bCs/>
                <w:szCs w:val="22"/>
                <w:lang w:val="en-GB"/>
              </w:rPr>
              <w:t>Free combination of dutasteride plus tamsulosin therapy,</w:t>
            </w:r>
          </w:p>
          <w:p w14:paraId="2CCD7D61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6E3553">
              <w:rPr>
                <w:rFonts w:ascii="Arial" w:hAnsi="Arial" w:cs="Arial"/>
                <w:b/>
                <w:bCs/>
                <w:szCs w:val="22"/>
              </w:rPr>
              <w:t>n/N (%)</w:t>
            </w:r>
          </w:p>
        </w:tc>
        <w:tc>
          <w:tcPr>
            <w:tcW w:w="3068" w:type="dxa"/>
            <w:shd w:val="clear" w:color="auto" w:fill="D9D9D9" w:themeFill="background1" w:themeFillShade="D9"/>
          </w:tcPr>
          <w:p w14:paraId="624FC9AE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6E3553">
              <w:rPr>
                <w:rFonts w:ascii="Arial" w:hAnsi="Arial" w:cs="Arial"/>
                <w:b/>
                <w:bCs/>
                <w:szCs w:val="22"/>
              </w:rPr>
              <w:t>Dutasteride</w:t>
            </w:r>
          </w:p>
          <w:p w14:paraId="29F8F114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6E3553">
              <w:rPr>
                <w:rFonts w:ascii="Arial" w:hAnsi="Arial" w:cs="Arial"/>
                <w:b/>
                <w:bCs/>
                <w:szCs w:val="22"/>
              </w:rPr>
              <w:t>monotherapy, n/N (%)</w:t>
            </w:r>
          </w:p>
        </w:tc>
        <w:tc>
          <w:tcPr>
            <w:tcW w:w="2537" w:type="dxa"/>
            <w:shd w:val="clear" w:color="auto" w:fill="D9D9D9" w:themeFill="background1" w:themeFillShade="D9"/>
          </w:tcPr>
          <w:p w14:paraId="4E455013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 xml:space="preserve">Adjusted RR </w:t>
            </w:r>
          </w:p>
          <w:p w14:paraId="541DD180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 xml:space="preserve">(95% </w:t>
            </w:r>
            <w:proofErr w:type="gramStart"/>
            <w:r w:rsidRPr="006E3553">
              <w:rPr>
                <w:rFonts w:ascii="Arial" w:hAnsi="Arial" w:cs="Arial"/>
                <w:b/>
                <w:bCs/>
              </w:rPr>
              <w:t>CI)</w:t>
            </w:r>
            <w:r w:rsidRPr="006E3553">
              <w:rPr>
                <w:rFonts w:ascii="Arial" w:hAnsi="Arial" w:cs="Arial"/>
                <w:color w:val="222222"/>
                <w:highlight w:val="lightGray"/>
                <w:shd w:val="clear" w:color="auto" w:fill="FFFFFF"/>
                <w:vertAlign w:val="superscript"/>
              </w:rPr>
              <w:t>†</w:t>
            </w:r>
            <w:proofErr w:type="gramEnd"/>
          </w:p>
        </w:tc>
        <w:tc>
          <w:tcPr>
            <w:tcW w:w="2537" w:type="dxa"/>
            <w:shd w:val="clear" w:color="auto" w:fill="D9D9D9" w:themeFill="background1" w:themeFillShade="D9"/>
          </w:tcPr>
          <w:p w14:paraId="16FB0B39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>Tamsulosin monotherapy, n/N (%)</w:t>
            </w:r>
          </w:p>
        </w:tc>
        <w:tc>
          <w:tcPr>
            <w:tcW w:w="2538" w:type="dxa"/>
            <w:shd w:val="clear" w:color="auto" w:fill="D9D9D9" w:themeFill="background1" w:themeFillShade="D9"/>
          </w:tcPr>
          <w:p w14:paraId="37EA3684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 xml:space="preserve">Adjusted RR  </w:t>
            </w:r>
          </w:p>
          <w:p w14:paraId="2F3A3142" w14:textId="77777777" w:rsidR="006E3553" w:rsidRPr="006E3553" w:rsidRDefault="006E3553" w:rsidP="00C6569A">
            <w:pPr>
              <w:spacing w:after="0"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t xml:space="preserve">(95% </w:t>
            </w:r>
            <w:proofErr w:type="gramStart"/>
            <w:r w:rsidRPr="006E3553">
              <w:rPr>
                <w:rFonts w:ascii="Arial" w:hAnsi="Arial" w:cs="Arial"/>
                <w:b/>
                <w:bCs/>
              </w:rPr>
              <w:t>CI)</w:t>
            </w:r>
            <w:r w:rsidRPr="006E3553">
              <w:rPr>
                <w:rFonts w:ascii="Arial" w:hAnsi="Arial" w:cs="Arial"/>
                <w:color w:val="222222"/>
                <w:highlight w:val="lightGray"/>
                <w:shd w:val="clear" w:color="auto" w:fill="FFFFFF"/>
                <w:vertAlign w:val="superscript"/>
              </w:rPr>
              <w:t>†</w:t>
            </w:r>
            <w:proofErr w:type="gramEnd"/>
          </w:p>
        </w:tc>
      </w:tr>
      <w:tr w:rsidR="006E3553" w:rsidRPr="006E3553" w14:paraId="5CA34B3A" w14:textId="77777777" w:rsidTr="00C6569A">
        <w:trPr>
          <w:trHeight w:val="291"/>
        </w:trPr>
        <w:tc>
          <w:tcPr>
            <w:tcW w:w="15226" w:type="dxa"/>
            <w:gridSpan w:val="6"/>
            <w:shd w:val="clear" w:color="auto" w:fill="F2F2F2" w:themeFill="background1" w:themeFillShade="F2"/>
          </w:tcPr>
          <w:p w14:paraId="69C24378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b/>
                <w:bCs/>
                <w:szCs w:val="22"/>
              </w:rPr>
            </w:pPr>
            <w:r w:rsidRPr="006E3553">
              <w:rPr>
                <w:rFonts w:ascii="Arial" w:hAnsi="Arial" w:cs="Arial"/>
                <w:b/>
                <w:bCs/>
              </w:rPr>
              <w:t>Age 40–59 years</w:t>
            </w:r>
          </w:p>
        </w:tc>
      </w:tr>
      <w:tr w:rsidR="006E3553" w:rsidRPr="006E3553" w14:paraId="4EB3B2E8" w14:textId="77777777" w:rsidTr="00C6569A">
        <w:trPr>
          <w:trHeight w:val="297"/>
        </w:trPr>
        <w:tc>
          <w:tcPr>
            <w:tcW w:w="2537" w:type="dxa"/>
          </w:tcPr>
          <w:p w14:paraId="7F89DAD7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 xml:space="preserve">     Any AE</w:t>
            </w:r>
          </w:p>
        </w:tc>
        <w:tc>
          <w:tcPr>
            <w:tcW w:w="2006" w:type="dxa"/>
            <w:vAlign w:val="center"/>
          </w:tcPr>
          <w:p w14:paraId="669D6416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75/126 (59.5)</w:t>
            </w:r>
          </w:p>
        </w:tc>
        <w:tc>
          <w:tcPr>
            <w:tcW w:w="3068" w:type="dxa"/>
            <w:vAlign w:val="center"/>
          </w:tcPr>
          <w:p w14:paraId="3F15951B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419/920 (45.5)</w:t>
            </w:r>
          </w:p>
        </w:tc>
        <w:tc>
          <w:tcPr>
            <w:tcW w:w="2537" w:type="dxa"/>
            <w:vAlign w:val="center"/>
          </w:tcPr>
          <w:p w14:paraId="3A0602FA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1.21 (0.98, 1.50)</w:t>
            </w:r>
          </w:p>
        </w:tc>
        <w:tc>
          <w:tcPr>
            <w:tcW w:w="2537" w:type="dxa"/>
            <w:vAlign w:val="center"/>
          </w:tcPr>
          <w:p w14:paraId="13AD0651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565/947 (59.7)</w:t>
            </w:r>
          </w:p>
        </w:tc>
        <w:tc>
          <w:tcPr>
            <w:tcW w:w="2538" w:type="dxa"/>
            <w:vAlign w:val="center"/>
          </w:tcPr>
          <w:p w14:paraId="6FD80E91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1.10 (0.90, 1.34)</w:t>
            </w:r>
          </w:p>
        </w:tc>
      </w:tr>
      <w:tr w:rsidR="006E3553" w:rsidRPr="006E3553" w14:paraId="783C4DC6" w14:textId="77777777" w:rsidTr="00C6569A">
        <w:trPr>
          <w:trHeight w:val="297"/>
        </w:trPr>
        <w:tc>
          <w:tcPr>
            <w:tcW w:w="2537" w:type="dxa"/>
          </w:tcPr>
          <w:p w14:paraId="5EE34D37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 xml:space="preserve">     Any SAE</w:t>
            </w:r>
            <w:r w:rsidRPr="006E3553">
              <w:rPr>
                <w:rFonts w:ascii="Arial" w:hAnsi="Arial" w:cs="Arial"/>
                <w:vertAlign w:val="superscript"/>
              </w:rPr>
              <w:t>‡</w:t>
            </w:r>
          </w:p>
        </w:tc>
        <w:tc>
          <w:tcPr>
            <w:tcW w:w="2006" w:type="dxa"/>
            <w:vAlign w:val="center"/>
          </w:tcPr>
          <w:p w14:paraId="51161624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2/126 (1.6)</w:t>
            </w:r>
          </w:p>
        </w:tc>
        <w:tc>
          <w:tcPr>
            <w:tcW w:w="3068" w:type="dxa"/>
            <w:vAlign w:val="center"/>
          </w:tcPr>
          <w:p w14:paraId="575C30C7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5/920 (0.5)</w:t>
            </w:r>
          </w:p>
        </w:tc>
        <w:tc>
          <w:tcPr>
            <w:tcW w:w="2537" w:type="dxa"/>
            <w:vAlign w:val="center"/>
          </w:tcPr>
          <w:p w14:paraId="06C829FF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2.19 (0.33, 14.43)</w:t>
            </w:r>
          </w:p>
        </w:tc>
        <w:tc>
          <w:tcPr>
            <w:tcW w:w="2537" w:type="dxa"/>
            <w:vAlign w:val="center"/>
          </w:tcPr>
          <w:p w14:paraId="47FFDE19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6/947 (0.6)</w:t>
            </w:r>
          </w:p>
        </w:tc>
        <w:tc>
          <w:tcPr>
            <w:tcW w:w="2538" w:type="dxa"/>
            <w:vAlign w:val="center"/>
          </w:tcPr>
          <w:p w14:paraId="3DF84358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1.88 (0.28, 12.61)</w:t>
            </w:r>
          </w:p>
        </w:tc>
      </w:tr>
      <w:tr w:rsidR="006E3553" w:rsidRPr="006E3553" w14:paraId="2C49522D" w14:textId="77777777" w:rsidTr="00C6569A">
        <w:trPr>
          <w:trHeight w:val="297"/>
        </w:trPr>
        <w:tc>
          <w:tcPr>
            <w:tcW w:w="15226" w:type="dxa"/>
            <w:gridSpan w:val="6"/>
            <w:shd w:val="clear" w:color="auto" w:fill="F2F2F2" w:themeFill="background1" w:themeFillShade="F2"/>
          </w:tcPr>
          <w:p w14:paraId="3C8097B8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b/>
                <w:bCs/>
                <w:szCs w:val="22"/>
              </w:rPr>
            </w:pPr>
            <w:r w:rsidRPr="006E3553">
              <w:rPr>
                <w:rFonts w:ascii="Arial" w:hAnsi="Arial" w:cs="Arial"/>
                <w:b/>
                <w:bCs/>
              </w:rPr>
              <w:t>Age 60–69 years</w:t>
            </w:r>
          </w:p>
        </w:tc>
      </w:tr>
      <w:tr w:rsidR="006E3553" w:rsidRPr="006E3553" w14:paraId="0424A113" w14:textId="77777777" w:rsidTr="00C6569A">
        <w:trPr>
          <w:trHeight w:val="297"/>
        </w:trPr>
        <w:tc>
          <w:tcPr>
            <w:tcW w:w="2537" w:type="dxa"/>
          </w:tcPr>
          <w:p w14:paraId="13E24425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 xml:space="preserve">     Any AE</w:t>
            </w:r>
          </w:p>
        </w:tc>
        <w:tc>
          <w:tcPr>
            <w:tcW w:w="2006" w:type="dxa"/>
            <w:vAlign w:val="center"/>
          </w:tcPr>
          <w:p w14:paraId="6A5CF0F7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299/476 (62.8)</w:t>
            </w:r>
          </w:p>
        </w:tc>
        <w:tc>
          <w:tcPr>
            <w:tcW w:w="3068" w:type="dxa"/>
            <w:vAlign w:val="center"/>
          </w:tcPr>
          <w:p w14:paraId="0A953669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1309/2161 (60.6)</w:t>
            </w:r>
          </w:p>
        </w:tc>
        <w:tc>
          <w:tcPr>
            <w:tcW w:w="2537" w:type="dxa"/>
            <w:vAlign w:val="center"/>
          </w:tcPr>
          <w:p w14:paraId="1955053B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1.02 (0.94, 1.12)</w:t>
            </w:r>
          </w:p>
        </w:tc>
        <w:tc>
          <w:tcPr>
            <w:tcW w:w="2537" w:type="dxa"/>
            <w:vAlign w:val="center"/>
          </w:tcPr>
          <w:p w14:paraId="6DB66CEA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1554/2233 (69.6)</w:t>
            </w:r>
          </w:p>
        </w:tc>
        <w:tc>
          <w:tcPr>
            <w:tcW w:w="2538" w:type="dxa"/>
            <w:vAlign w:val="center"/>
          </w:tcPr>
          <w:p w14:paraId="0A7D4DF7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0.91 (0.84, 0.98)</w:t>
            </w:r>
          </w:p>
        </w:tc>
      </w:tr>
      <w:tr w:rsidR="006E3553" w:rsidRPr="006E3553" w14:paraId="60748A49" w14:textId="77777777" w:rsidTr="00C6569A">
        <w:trPr>
          <w:trHeight w:val="291"/>
        </w:trPr>
        <w:tc>
          <w:tcPr>
            <w:tcW w:w="2537" w:type="dxa"/>
          </w:tcPr>
          <w:p w14:paraId="0C440D0E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 xml:space="preserve">     Any SAE</w:t>
            </w:r>
            <w:r w:rsidRPr="006E3553">
              <w:rPr>
                <w:rFonts w:ascii="Arial" w:hAnsi="Arial" w:cs="Arial"/>
                <w:vertAlign w:val="superscript"/>
              </w:rPr>
              <w:t>‡</w:t>
            </w:r>
          </w:p>
        </w:tc>
        <w:tc>
          <w:tcPr>
            <w:tcW w:w="2006" w:type="dxa"/>
            <w:vAlign w:val="center"/>
          </w:tcPr>
          <w:p w14:paraId="29B57993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4/476 (0.8)</w:t>
            </w:r>
          </w:p>
        </w:tc>
        <w:tc>
          <w:tcPr>
            <w:tcW w:w="3068" w:type="dxa"/>
            <w:vAlign w:val="center"/>
          </w:tcPr>
          <w:p w14:paraId="3205CBAD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18/2161 (0.8)</w:t>
            </w:r>
          </w:p>
        </w:tc>
        <w:tc>
          <w:tcPr>
            <w:tcW w:w="2537" w:type="dxa"/>
            <w:vAlign w:val="center"/>
          </w:tcPr>
          <w:p w14:paraId="23638C6F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1.22 (0.38, 3.97)</w:t>
            </w:r>
          </w:p>
        </w:tc>
        <w:tc>
          <w:tcPr>
            <w:tcW w:w="2537" w:type="dxa"/>
            <w:vAlign w:val="center"/>
          </w:tcPr>
          <w:p w14:paraId="3D0F36F8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30/2233 (1.3)</w:t>
            </w:r>
          </w:p>
        </w:tc>
        <w:tc>
          <w:tcPr>
            <w:tcW w:w="2538" w:type="dxa"/>
            <w:vAlign w:val="center"/>
          </w:tcPr>
          <w:p w14:paraId="0BBCAE39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  <w:szCs w:val="22"/>
              </w:rPr>
            </w:pPr>
            <w:r w:rsidRPr="006E3553">
              <w:rPr>
                <w:rFonts w:ascii="Arial" w:hAnsi="Arial" w:cs="Arial"/>
              </w:rPr>
              <w:t>0.68 (0.24, 1.93)</w:t>
            </w:r>
          </w:p>
        </w:tc>
      </w:tr>
      <w:tr w:rsidR="006E3553" w:rsidRPr="006E3553" w14:paraId="383F7E86" w14:textId="77777777" w:rsidTr="00C6569A">
        <w:trPr>
          <w:trHeight w:val="291"/>
        </w:trPr>
        <w:tc>
          <w:tcPr>
            <w:tcW w:w="15226" w:type="dxa"/>
            <w:gridSpan w:val="6"/>
            <w:shd w:val="clear" w:color="auto" w:fill="F2F2F2" w:themeFill="background1" w:themeFillShade="F2"/>
          </w:tcPr>
          <w:p w14:paraId="71E9FA98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  <w:b/>
                <w:bCs/>
              </w:rPr>
            </w:pPr>
            <w:r w:rsidRPr="006E3553">
              <w:rPr>
                <w:rFonts w:ascii="Arial" w:hAnsi="Arial" w:cs="Arial"/>
                <w:b/>
                <w:bCs/>
              </w:rPr>
              <w:lastRenderedPageBreak/>
              <w:t>Age ≥70 years</w:t>
            </w:r>
          </w:p>
        </w:tc>
      </w:tr>
      <w:tr w:rsidR="006E3553" w:rsidRPr="006E3553" w14:paraId="6738BEE7" w14:textId="77777777" w:rsidTr="00C6569A">
        <w:trPr>
          <w:trHeight w:val="291"/>
        </w:trPr>
        <w:tc>
          <w:tcPr>
            <w:tcW w:w="2537" w:type="dxa"/>
          </w:tcPr>
          <w:p w14:paraId="76E5A455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 xml:space="preserve">     Any AE</w:t>
            </w:r>
          </w:p>
        </w:tc>
        <w:tc>
          <w:tcPr>
            <w:tcW w:w="2006" w:type="dxa"/>
            <w:vAlign w:val="center"/>
          </w:tcPr>
          <w:p w14:paraId="62DE3FEC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719/927 (77.6)</w:t>
            </w:r>
          </w:p>
        </w:tc>
        <w:tc>
          <w:tcPr>
            <w:tcW w:w="3068" w:type="dxa"/>
            <w:vAlign w:val="center"/>
          </w:tcPr>
          <w:p w14:paraId="03472212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2575/3579 (71.9)</w:t>
            </w:r>
          </w:p>
        </w:tc>
        <w:tc>
          <w:tcPr>
            <w:tcW w:w="2537" w:type="dxa"/>
            <w:vAlign w:val="center"/>
          </w:tcPr>
          <w:p w14:paraId="5AF2BE24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1.07 (1.02, 1.12)</w:t>
            </w:r>
          </w:p>
        </w:tc>
        <w:tc>
          <w:tcPr>
            <w:tcW w:w="2537" w:type="dxa"/>
            <w:vAlign w:val="center"/>
          </w:tcPr>
          <w:p w14:paraId="2D754E5D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2584/3386 (76.3)</w:t>
            </w:r>
          </w:p>
        </w:tc>
        <w:tc>
          <w:tcPr>
            <w:tcW w:w="2538" w:type="dxa"/>
            <w:vAlign w:val="center"/>
          </w:tcPr>
          <w:p w14:paraId="084C03C1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1.02 (0.98, 1.06)</w:t>
            </w:r>
          </w:p>
        </w:tc>
      </w:tr>
      <w:tr w:rsidR="006E3553" w:rsidRPr="006E3553" w14:paraId="583BBB42" w14:textId="77777777" w:rsidTr="00C6569A">
        <w:trPr>
          <w:trHeight w:val="47"/>
        </w:trPr>
        <w:tc>
          <w:tcPr>
            <w:tcW w:w="2537" w:type="dxa"/>
          </w:tcPr>
          <w:p w14:paraId="0700A22D" w14:textId="77777777" w:rsidR="006E3553" w:rsidRPr="006E3553" w:rsidRDefault="006E3553" w:rsidP="00C6569A">
            <w:pPr>
              <w:pStyle w:val="BodyText"/>
              <w:spacing w:after="0" w:line="480" w:lineRule="auto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 xml:space="preserve">     Any SAE</w:t>
            </w:r>
            <w:r w:rsidRPr="006E3553">
              <w:rPr>
                <w:rFonts w:ascii="Arial" w:hAnsi="Arial" w:cs="Arial"/>
                <w:vertAlign w:val="superscript"/>
              </w:rPr>
              <w:t>‡</w:t>
            </w:r>
          </w:p>
        </w:tc>
        <w:tc>
          <w:tcPr>
            <w:tcW w:w="2006" w:type="dxa"/>
            <w:vAlign w:val="center"/>
          </w:tcPr>
          <w:p w14:paraId="3E5A4E4C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19/927 (2.0)</w:t>
            </w:r>
          </w:p>
        </w:tc>
        <w:tc>
          <w:tcPr>
            <w:tcW w:w="3068" w:type="dxa"/>
            <w:vAlign w:val="center"/>
          </w:tcPr>
          <w:p w14:paraId="297A8B0F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66/3579 (1.8)</w:t>
            </w:r>
          </w:p>
        </w:tc>
        <w:tc>
          <w:tcPr>
            <w:tcW w:w="2537" w:type="dxa"/>
            <w:vAlign w:val="center"/>
          </w:tcPr>
          <w:p w14:paraId="5D3582EF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0.88 (0.52, 1.50)</w:t>
            </w:r>
          </w:p>
        </w:tc>
        <w:tc>
          <w:tcPr>
            <w:tcW w:w="2537" w:type="dxa"/>
            <w:vAlign w:val="center"/>
          </w:tcPr>
          <w:p w14:paraId="68ECE569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76/3386 (2.2)</w:t>
            </w:r>
          </w:p>
        </w:tc>
        <w:tc>
          <w:tcPr>
            <w:tcW w:w="2538" w:type="dxa"/>
            <w:vAlign w:val="center"/>
          </w:tcPr>
          <w:p w14:paraId="6329DE22" w14:textId="77777777" w:rsidR="006E3553" w:rsidRPr="006E3553" w:rsidRDefault="006E3553" w:rsidP="00C6569A">
            <w:pPr>
              <w:pStyle w:val="BodyText"/>
              <w:spacing w:after="0" w:line="480" w:lineRule="auto"/>
              <w:jc w:val="center"/>
              <w:rPr>
                <w:rFonts w:ascii="Arial" w:hAnsi="Arial" w:cs="Arial"/>
              </w:rPr>
            </w:pPr>
            <w:r w:rsidRPr="006E3553">
              <w:rPr>
                <w:rFonts w:ascii="Arial" w:hAnsi="Arial" w:cs="Arial"/>
              </w:rPr>
              <w:t>0.81 (0.48, 1.36)</w:t>
            </w:r>
          </w:p>
        </w:tc>
      </w:tr>
    </w:tbl>
    <w:p w14:paraId="068BA4F4" w14:textId="77777777" w:rsidR="006E3553" w:rsidRPr="006E3553" w:rsidRDefault="006E3553" w:rsidP="006E3553">
      <w:pPr>
        <w:spacing w:after="0" w:line="480" w:lineRule="auto"/>
        <w:rPr>
          <w:rFonts w:ascii="Arial" w:hAnsi="Arial" w:cs="Arial"/>
          <w:sz w:val="20"/>
          <w:szCs w:val="22"/>
          <w:lang w:val="en-US"/>
        </w:rPr>
      </w:pPr>
      <w:r w:rsidRPr="006E3553">
        <w:rPr>
          <w:rFonts w:ascii="Arial" w:hAnsi="Arial" w:cs="Arial"/>
          <w:sz w:val="20"/>
          <w:szCs w:val="22"/>
          <w:lang w:val="en-US"/>
        </w:rPr>
        <w:t>AE, adverse event; BPH, benign prostatic hyperplasia; CI, confidence interval; RR, risk ratio; SAE, serious adverse event.</w:t>
      </w:r>
    </w:p>
    <w:p w14:paraId="3643CD2E" w14:textId="77777777" w:rsidR="006E3553" w:rsidRPr="006E3553" w:rsidRDefault="006E3553" w:rsidP="006E3553">
      <w:pPr>
        <w:spacing w:after="0" w:line="480" w:lineRule="auto"/>
        <w:rPr>
          <w:rFonts w:ascii="Arial" w:hAnsi="Arial" w:cs="Arial"/>
          <w:sz w:val="20"/>
          <w:szCs w:val="22"/>
          <w:lang w:val="en-US"/>
        </w:rPr>
      </w:pPr>
      <w:r w:rsidRPr="006E3553">
        <w:rPr>
          <w:rFonts w:ascii="Arial" w:hAnsi="Arial" w:cs="Arial"/>
          <w:sz w:val="20"/>
          <w:szCs w:val="22"/>
          <w:lang w:val="en-US"/>
        </w:rPr>
        <w:t>*RRs of any AEs or SAEs among BPH patients receiving free combination therapy compared to each monotherapy were estimated using log-binomial regression models adjusted for inverse probability of treatment weights.</w:t>
      </w:r>
    </w:p>
    <w:p w14:paraId="62231B73" w14:textId="77777777" w:rsidR="006E3553" w:rsidRPr="006E3553" w:rsidRDefault="006E3553" w:rsidP="006E3553">
      <w:pPr>
        <w:spacing w:after="0" w:line="480" w:lineRule="auto"/>
        <w:rPr>
          <w:rFonts w:ascii="Arial" w:hAnsi="Arial" w:cs="Arial"/>
          <w:color w:val="222222"/>
          <w:sz w:val="20"/>
          <w:szCs w:val="22"/>
          <w:shd w:val="clear" w:color="auto" w:fill="FFFFFF"/>
          <w:lang w:val="en-US"/>
        </w:rPr>
      </w:pPr>
      <w:r w:rsidRPr="006E3553">
        <w:rPr>
          <w:rFonts w:ascii="Arial" w:hAnsi="Arial" w:cs="Arial"/>
          <w:color w:val="222222"/>
          <w:sz w:val="20"/>
          <w:szCs w:val="22"/>
          <w:shd w:val="clear" w:color="auto" w:fill="FFFFFF"/>
          <w:vertAlign w:val="superscript"/>
          <w:lang w:val="en-US"/>
        </w:rPr>
        <w:t>†</w:t>
      </w:r>
      <w:r w:rsidRPr="006E3553">
        <w:rPr>
          <w:rFonts w:ascii="Arial" w:hAnsi="Arial" w:cs="Arial"/>
          <w:color w:val="222222"/>
          <w:sz w:val="20"/>
          <w:szCs w:val="22"/>
          <w:shd w:val="clear" w:color="auto" w:fill="FFFFFF"/>
          <w:lang w:val="en-US"/>
        </w:rPr>
        <w:t>A robust variance estimator was used to derive the 95% CIs.</w:t>
      </w:r>
    </w:p>
    <w:p w14:paraId="77E0FE63" w14:textId="77777777" w:rsidR="006E3553" w:rsidRPr="006E3553" w:rsidRDefault="006E3553" w:rsidP="006E3553">
      <w:pPr>
        <w:spacing w:after="0" w:line="480" w:lineRule="auto"/>
        <w:rPr>
          <w:rFonts w:ascii="Arial" w:hAnsi="Arial" w:cs="Arial"/>
          <w:color w:val="222222"/>
          <w:sz w:val="20"/>
          <w:szCs w:val="22"/>
          <w:shd w:val="clear" w:color="auto" w:fill="FFFFFF"/>
          <w:lang w:val="en-US"/>
        </w:rPr>
      </w:pPr>
      <w:r w:rsidRPr="006E3553">
        <w:rPr>
          <w:rFonts w:ascii="Arial" w:hAnsi="Arial" w:cs="Arial"/>
          <w:color w:val="222222"/>
          <w:sz w:val="20"/>
          <w:szCs w:val="22"/>
          <w:shd w:val="clear" w:color="auto" w:fill="FFFFFF"/>
          <w:vertAlign w:val="superscript"/>
          <w:lang w:val="en-US"/>
        </w:rPr>
        <w:t>‡</w:t>
      </w:r>
      <w:r w:rsidRPr="006E3553">
        <w:rPr>
          <w:rFonts w:ascii="Arial" w:hAnsi="Arial" w:cs="Arial"/>
          <w:color w:val="222222"/>
          <w:sz w:val="20"/>
          <w:szCs w:val="22"/>
          <w:shd w:val="clear" w:color="auto" w:fill="FFFFFF"/>
          <w:lang w:val="en-US"/>
        </w:rPr>
        <w:t>SAEs were defined as the primary diagnosis that was associated with a hospitalization or death during the observation period.</w:t>
      </w:r>
    </w:p>
    <w:p w14:paraId="3B7CBFCD" w14:textId="77777777" w:rsidR="00DB2349" w:rsidRPr="006E3553" w:rsidRDefault="00DB2349">
      <w:pPr>
        <w:rPr>
          <w:rFonts w:ascii="Arial" w:hAnsi="Arial" w:cs="Arial"/>
        </w:rPr>
      </w:pPr>
    </w:p>
    <w:sectPr w:rsidR="00DB2349" w:rsidRPr="006E3553" w:rsidSect="006E3553">
      <w:pgSz w:w="16840" w:h="11907" w:orient="landscape" w:code="9"/>
      <w:pgMar w:top="1797" w:right="1440" w:bottom="179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553"/>
    <w:rsid w:val="00007334"/>
    <w:rsid w:val="00013D65"/>
    <w:rsid w:val="00016913"/>
    <w:rsid w:val="0003448F"/>
    <w:rsid w:val="00094B0A"/>
    <w:rsid w:val="000A6070"/>
    <w:rsid w:val="000B710A"/>
    <w:rsid w:val="000C0060"/>
    <w:rsid w:val="000D1544"/>
    <w:rsid w:val="000D2E6A"/>
    <w:rsid w:val="000D7ACA"/>
    <w:rsid w:val="000E090E"/>
    <w:rsid w:val="0013618B"/>
    <w:rsid w:val="00154824"/>
    <w:rsid w:val="00162340"/>
    <w:rsid w:val="00162A62"/>
    <w:rsid w:val="0017047B"/>
    <w:rsid w:val="00176CD6"/>
    <w:rsid w:val="001864F8"/>
    <w:rsid w:val="00196297"/>
    <w:rsid w:val="001A2EC5"/>
    <w:rsid w:val="001B2B0F"/>
    <w:rsid w:val="001B3A8D"/>
    <w:rsid w:val="001C5672"/>
    <w:rsid w:val="001D13C8"/>
    <w:rsid w:val="001E5E35"/>
    <w:rsid w:val="002158B7"/>
    <w:rsid w:val="00220457"/>
    <w:rsid w:val="002470A2"/>
    <w:rsid w:val="0025685E"/>
    <w:rsid w:val="00281B5D"/>
    <w:rsid w:val="002823B8"/>
    <w:rsid w:val="00286340"/>
    <w:rsid w:val="002931D9"/>
    <w:rsid w:val="00296B49"/>
    <w:rsid w:val="002B613A"/>
    <w:rsid w:val="002F4790"/>
    <w:rsid w:val="003348F4"/>
    <w:rsid w:val="00350F3D"/>
    <w:rsid w:val="003647CA"/>
    <w:rsid w:val="003B52E8"/>
    <w:rsid w:val="0041413E"/>
    <w:rsid w:val="0042485F"/>
    <w:rsid w:val="00436E7B"/>
    <w:rsid w:val="00437573"/>
    <w:rsid w:val="0046798A"/>
    <w:rsid w:val="00470F32"/>
    <w:rsid w:val="0047230D"/>
    <w:rsid w:val="00475FB0"/>
    <w:rsid w:val="0049458A"/>
    <w:rsid w:val="004F41EF"/>
    <w:rsid w:val="00500228"/>
    <w:rsid w:val="00507F1E"/>
    <w:rsid w:val="00533B0A"/>
    <w:rsid w:val="00535A48"/>
    <w:rsid w:val="0054145F"/>
    <w:rsid w:val="00572CA0"/>
    <w:rsid w:val="00596737"/>
    <w:rsid w:val="005A00BE"/>
    <w:rsid w:val="005B77EE"/>
    <w:rsid w:val="005C1B46"/>
    <w:rsid w:val="005C220C"/>
    <w:rsid w:val="005E11C5"/>
    <w:rsid w:val="00603DA7"/>
    <w:rsid w:val="00612E51"/>
    <w:rsid w:val="00637F14"/>
    <w:rsid w:val="00657329"/>
    <w:rsid w:val="0066672E"/>
    <w:rsid w:val="006779F4"/>
    <w:rsid w:val="0069188F"/>
    <w:rsid w:val="006E3553"/>
    <w:rsid w:val="006F68FC"/>
    <w:rsid w:val="006F79E5"/>
    <w:rsid w:val="00750360"/>
    <w:rsid w:val="00763A56"/>
    <w:rsid w:val="0077409B"/>
    <w:rsid w:val="007750B3"/>
    <w:rsid w:val="0078333F"/>
    <w:rsid w:val="00793679"/>
    <w:rsid w:val="007A27FE"/>
    <w:rsid w:val="007A76D7"/>
    <w:rsid w:val="007B5808"/>
    <w:rsid w:val="007B6BD1"/>
    <w:rsid w:val="0080353D"/>
    <w:rsid w:val="00804B33"/>
    <w:rsid w:val="00810D4D"/>
    <w:rsid w:val="00815AE9"/>
    <w:rsid w:val="008167D6"/>
    <w:rsid w:val="00891BF9"/>
    <w:rsid w:val="00895441"/>
    <w:rsid w:val="00895B69"/>
    <w:rsid w:val="008A3C6B"/>
    <w:rsid w:val="008A641B"/>
    <w:rsid w:val="00907520"/>
    <w:rsid w:val="00910E2B"/>
    <w:rsid w:val="00914C2A"/>
    <w:rsid w:val="00914D15"/>
    <w:rsid w:val="009350F2"/>
    <w:rsid w:val="00936BD6"/>
    <w:rsid w:val="00994CA5"/>
    <w:rsid w:val="009B4231"/>
    <w:rsid w:val="009C619E"/>
    <w:rsid w:val="00A2434D"/>
    <w:rsid w:val="00A415D5"/>
    <w:rsid w:val="00A45B3E"/>
    <w:rsid w:val="00A574FF"/>
    <w:rsid w:val="00A63112"/>
    <w:rsid w:val="00A673D3"/>
    <w:rsid w:val="00AA3D1F"/>
    <w:rsid w:val="00AA4775"/>
    <w:rsid w:val="00AA78C9"/>
    <w:rsid w:val="00AC7C51"/>
    <w:rsid w:val="00AD2BEA"/>
    <w:rsid w:val="00AF0F1E"/>
    <w:rsid w:val="00B02495"/>
    <w:rsid w:val="00B04FCF"/>
    <w:rsid w:val="00B05519"/>
    <w:rsid w:val="00B23402"/>
    <w:rsid w:val="00B339CA"/>
    <w:rsid w:val="00B45093"/>
    <w:rsid w:val="00B47316"/>
    <w:rsid w:val="00B63868"/>
    <w:rsid w:val="00B65E4F"/>
    <w:rsid w:val="00B84709"/>
    <w:rsid w:val="00B87186"/>
    <w:rsid w:val="00BF1FA7"/>
    <w:rsid w:val="00BF2A3D"/>
    <w:rsid w:val="00BF6B24"/>
    <w:rsid w:val="00C06179"/>
    <w:rsid w:val="00C23059"/>
    <w:rsid w:val="00CB15D3"/>
    <w:rsid w:val="00CE67B1"/>
    <w:rsid w:val="00D34F37"/>
    <w:rsid w:val="00D46F2A"/>
    <w:rsid w:val="00D67B00"/>
    <w:rsid w:val="00DB2349"/>
    <w:rsid w:val="00DC33B4"/>
    <w:rsid w:val="00DC7593"/>
    <w:rsid w:val="00DC7F09"/>
    <w:rsid w:val="00DE5BA5"/>
    <w:rsid w:val="00DF000B"/>
    <w:rsid w:val="00E30B01"/>
    <w:rsid w:val="00E32D5C"/>
    <w:rsid w:val="00E36EF9"/>
    <w:rsid w:val="00E4398F"/>
    <w:rsid w:val="00E638AD"/>
    <w:rsid w:val="00E65457"/>
    <w:rsid w:val="00E7590F"/>
    <w:rsid w:val="00E80FC0"/>
    <w:rsid w:val="00E83935"/>
    <w:rsid w:val="00EB29FB"/>
    <w:rsid w:val="00EE609B"/>
    <w:rsid w:val="00EF418A"/>
    <w:rsid w:val="00F051F5"/>
    <w:rsid w:val="00F10032"/>
    <w:rsid w:val="00F3619D"/>
    <w:rsid w:val="00F52158"/>
    <w:rsid w:val="00F576D5"/>
    <w:rsid w:val="00F60B3E"/>
    <w:rsid w:val="00F6637A"/>
    <w:rsid w:val="00F9675C"/>
    <w:rsid w:val="00FA258E"/>
    <w:rsid w:val="00FB1B51"/>
    <w:rsid w:val="00FB1F8D"/>
    <w:rsid w:val="00FC25A3"/>
    <w:rsid w:val="00FE0789"/>
    <w:rsid w:val="00FE5EAF"/>
    <w:rsid w:val="00FF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296B8"/>
  <w15:chartTrackingRefBased/>
  <w15:docId w15:val="{120C2378-C923-493A-B6A5-AA428AD6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553"/>
    <w:pPr>
      <w:spacing w:after="220" w:line="360" w:lineRule="auto"/>
    </w:pPr>
    <w:rPr>
      <w:rFonts w:ascii="Calibri" w:eastAsiaTheme="minorEastAsia" w:hAnsi="Calibri" w:cs="Calibri"/>
      <w:szCs w:val="24"/>
      <w:lang w:eastAsia="en-GB"/>
    </w:rPr>
  </w:style>
  <w:style w:type="paragraph" w:styleId="Heading2">
    <w:name w:val="heading 2"/>
    <w:basedOn w:val="Normal"/>
    <w:next w:val="BodyText"/>
    <w:link w:val="Heading2Char"/>
    <w:qFormat/>
    <w:rsid w:val="006E3553"/>
    <w:pPr>
      <w:keepNext/>
      <w:spacing w:after="120"/>
      <w:outlineLvl w:val="1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E3553"/>
    <w:rPr>
      <w:rFonts w:ascii="Calibri" w:eastAsiaTheme="minorEastAsia" w:hAnsi="Calibri" w:cs="Calibri"/>
      <w:b/>
      <w:bCs/>
      <w:szCs w:val="20"/>
      <w:lang w:eastAsia="en-GB"/>
    </w:rPr>
  </w:style>
  <w:style w:type="paragraph" w:styleId="BodyText">
    <w:name w:val="Body Text"/>
    <w:basedOn w:val="Normal"/>
    <w:link w:val="BodyTextChar"/>
    <w:rsid w:val="006E3553"/>
  </w:style>
  <w:style w:type="character" w:customStyle="1" w:styleId="BodyTextChar">
    <w:name w:val="Body Text Char"/>
    <w:basedOn w:val="DefaultParagraphFont"/>
    <w:link w:val="BodyText"/>
    <w:rsid w:val="006E3553"/>
    <w:rPr>
      <w:rFonts w:ascii="Calibri" w:eastAsiaTheme="minorEastAsia" w:hAnsi="Calibri" w:cs="Calibri"/>
      <w:szCs w:val="24"/>
      <w:lang w:eastAsia="en-GB"/>
    </w:rPr>
  </w:style>
  <w:style w:type="table" w:styleId="TableGrid">
    <w:name w:val="Table Grid"/>
    <w:basedOn w:val="TableNormal"/>
    <w:uiPriority w:val="59"/>
    <w:rsid w:val="006E3553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E3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Bullingham</dc:creator>
  <cp:keywords/>
  <dc:description/>
  <cp:lastModifiedBy>Amber Bullingham</cp:lastModifiedBy>
  <cp:revision>1</cp:revision>
  <dcterms:created xsi:type="dcterms:W3CDTF">2021-05-24T15:38:00Z</dcterms:created>
  <dcterms:modified xsi:type="dcterms:W3CDTF">2021-05-24T15:38:00Z</dcterms:modified>
</cp:coreProperties>
</file>