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CA0" w:rsidRPr="00654A26" w:rsidRDefault="00A43CA0" w:rsidP="00A43CA0">
      <w:pPr>
        <w:rPr>
          <w:rFonts w:ascii="Arial" w:eastAsia="Times New Roman" w:hAnsi="Arial" w:cs="Arial"/>
          <w:b/>
          <w:bCs/>
          <w:color w:val="000000"/>
        </w:rPr>
      </w:pPr>
      <w:bookmarkStart w:id="0" w:name="_GoBack"/>
      <w:bookmarkEnd w:id="0"/>
      <w:r w:rsidRPr="00654A26">
        <w:rPr>
          <w:rFonts w:ascii="Arial" w:eastAsia="Times New Roman" w:hAnsi="Arial" w:cs="Arial"/>
          <w:b/>
          <w:bCs/>
          <w:color w:val="000000"/>
        </w:rPr>
        <w:t>SUPPLEMENTARY INFORMATION</w:t>
      </w:r>
      <w:r w:rsidRPr="00654A26">
        <w:rPr>
          <w:rFonts w:ascii="Arial" w:eastAsia="Times New Roman" w:hAnsi="Arial" w:cs="Arial"/>
          <w:b/>
          <w:bCs/>
          <w:color w:val="000000"/>
        </w:rPr>
        <w:br/>
      </w:r>
    </w:p>
    <w:p w:rsidR="00A43CA0" w:rsidRPr="00CA6899" w:rsidRDefault="00A43CA0" w:rsidP="00A43CA0">
      <w:pPr>
        <w:rPr>
          <w:rFonts w:ascii="Arial" w:eastAsia="Times New Roman" w:hAnsi="Arial" w:cs="Arial"/>
          <w:bCs/>
          <w:color w:val="000000"/>
        </w:rPr>
      </w:pPr>
      <w:r w:rsidRPr="00654A26">
        <w:rPr>
          <w:rFonts w:ascii="Arial" w:eastAsia="Times New Roman" w:hAnsi="Arial" w:cs="Arial"/>
          <w:bCs/>
          <w:color w:val="000000"/>
        </w:rPr>
        <w:t>Supplementary Table 1. T2D-PRS association with pre-transplant DM for individual cohorts (multivariate analysis)</w:t>
      </w:r>
    </w:p>
    <w:p w:rsidR="00A43CA0" w:rsidRPr="00CA6899" w:rsidRDefault="00A43CA0" w:rsidP="00A43CA0">
      <w:pPr>
        <w:rPr>
          <w:rFonts w:ascii="Arial" w:eastAsia="Times New Roman" w:hAnsi="Arial" w:cs="Arial"/>
          <w:bCs/>
          <w:color w:val="000000"/>
        </w:rPr>
      </w:pPr>
      <w:r w:rsidRPr="00570FB5">
        <w:rPr>
          <w:noProof/>
        </w:rPr>
        <w:drawing>
          <wp:inline distT="0" distB="0" distL="0" distR="0" wp14:anchorId="33DF9D2B" wp14:editId="249D4F4B">
            <wp:extent cx="8753475" cy="1400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53475" cy="1400175"/>
                    </a:xfrm>
                    <a:prstGeom prst="rect">
                      <a:avLst/>
                    </a:prstGeom>
                    <a:noFill/>
                    <a:ln>
                      <a:noFill/>
                    </a:ln>
                  </pic:spPr>
                </pic:pic>
              </a:graphicData>
            </a:graphic>
          </wp:inline>
        </w:drawing>
      </w:r>
      <w:r w:rsidRPr="00570FB5">
        <w:t xml:space="preserve"> </w:t>
      </w:r>
    </w:p>
    <w:p w:rsidR="00A43CA0" w:rsidRPr="00CA6899" w:rsidRDefault="00A43CA0" w:rsidP="00A43CA0">
      <w:pPr>
        <w:rPr>
          <w:rFonts w:ascii="Arial" w:eastAsia="Times New Roman" w:hAnsi="Arial" w:cs="Arial"/>
          <w:bCs/>
          <w:color w:val="000000"/>
        </w:rPr>
      </w:pPr>
    </w:p>
    <w:tbl>
      <w:tblPr>
        <w:tblStyle w:val="TableGrid"/>
        <w:tblW w:w="12965" w:type="dxa"/>
        <w:tblLook w:val="04A0" w:firstRow="1" w:lastRow="0" w:firstColumn="1" w:lastColumn="0" w:noHBand="0" w:noVBand="1"/>
      </w:tblPr>
      <w:tblGrid>
        <w:gridCol w:w="3896"/>
        <w:gridCol w:w="949"/>
        <w:gridCol w:w="949"/>
        <w:gridCol w:w="949"/>
        <w:gridCol w:w="949"/>
        <w:gridCol w:w="949"/>
        <w:gridCol w:w="1792"/>
        <w:gridCol w:w="2532"/>
      </w:tblGrid>
      <w:tr w:rsidR="00A43CA0" w:rsidRPr="00CA6899" w:rsidTr="00404EB8">
        <w:trPr>
          <w:trHeight w:val="421"/>
        </w:trPr>
        <w:tc>
          <w:tcPr>
            <w:tcW w:w="12965" w:type="dxa"/>
            <w:gridSpan w:val="8"/>
            <w:noWrap/>
            <w:hideMark/>
          </w:tcPr>
          <w:p w:rsidR="00A43CA0" w:rsidRPr="00CA6899" w:rsidRDefault="00A43CA0" w:rsidP="00404EB8">
            <w:pPr>
              <w:rPr>
                <w:rFonts w:ascii="Arial" w:eastAsia="Times New Roman" w:hAnsi="Arial" w:cs="Arial"/>
                <w:bCs/>
                <w:color w:val="000000"/>
              </w:rPr>
            </w:pPr>
            <w:r w:rsidRPr="00CA6899">
              <w:rPr>
                <w:rFonts w:ascii="Arial" w:eastAsia="Times New Roman" w:hAnsi="Arial" w:cs="Arial"/>
                <w:bCs/>
                <w:color w:val="000000"/>
              </w:rPr>
              <w:t>Supplementary Table 2. Under the scenario of treating liver transplant recipients in higher risk categories Q4/Q5</w:t>
            </w:r>
          </w:p>
        </w:tc>
      </w:tr>
      <w:tr w:rsidR="00A43CA0" w:rsidRPr="00CA6899" w:rsidTr="00404EB8">
        <w:trPr>
          <w:trHeight w:val="529"/>
        </w:trPr>
        <w:tc>
          <w:tcPr>
            <w:tcW w:w="3896"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Number of recipients in each Q</w:t>
            </w:r>
          </w:p>
        </w:tc>
        <w:tc>
          <w:tcPr>
            <w:tcW w:w="9069" w:type="dxa"/>
            <w:gridSpan w:val="7"/>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Weighted Transplant Donor-Recipient T2D PRS quintiles</w:t>
            </w:r>
          </w:p>
        </w:tc>
      </w:tr>
      <w:tr w:rsidR="00A43CA0" w:rsidRPr="00CA6899" w:rsidTr="00404EB8">
        <w:trPr>
          <w:trHeight w:val="421"/>
        </w:trPr>
        <w:tc>
          <w:tcPr>
            <w:tcW w:w="3896"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PTDM</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Q1</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Q2</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Q3</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Q4</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Q5</w:t>
            </w:r>
          </w:p>
        </w:tc>
        <w:tc>
          <w:tcPr>
            <w:tcW w:w="1792"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Total</w:t>
            </w:r>
          </w:p>
        </w:tc>
        <w:tc>
          <w:tcPr>
            <w:tcW w:w="2531"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PTDM incidence</w:t>
            </w:r>
          </w:p>
        </w:tc>
      </w:tr>
      <w:tr w:rsidR="00A43CA0" w:rsidRPr="00CA6899" w:rsidTr="00404EB8">
        <w:trPr>
          <w:trHeight w:val="421"/>
        </w:trPr>
        <w:tc>
          <w:tcPr>
            <w:tcW w:w="3896"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No</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196</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181</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160</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154</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144</w:t>
            </w:r>
          </w:p>
        </w:tc>
        <w:tc>
          <w:tcPr>
            <w:tcW w:w="1792"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835</w:t>
            </w:r>
          </w:p>
        </w:tc>
        <w:tc>
          <w:tcPr>
            <w:tcW w:w="2531" w:type="dxa"/>
            <w:noWrap/>
            <w:vAlign w:val="center"/>
            <w:hideMark/>
          </w:tcPr>
          <w:p w:rsidR="00A43CA0" w:rsidRPr="00CA6899" w:rsidRDefault="00A43CA0" w:rsidP="00404EB8">
            <w:pPr>
              <w:jc w:val="center"/>
              <w:rPr>
                <w:rFonts w:ascii="Arial" w:eastAsia="Times New Roman" w:hAnsi="Arial" w:cs="Arial"/>
                <w:bCs/>
                <w:color w:val="000000"/>
              </w:rPr>
            </w:pPr>
          </w:p>
        </w:tc>
      </w:tr>
      <w:tr w:rsidR="00A43CA0" w:rsidRPr="00CA6899" w:rsidTr="00404EB8">
        <w:trPr>
          <w:trHeight w:val="421"/>
        </w:trPr>
        <w:tc>
          <w:tcPr>
            <w:tcW w:w="3896"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Yes (no treatment)</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37</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52</w:t>
            </w:r>
          </w:p>
        </w:tc>
        <w:tc>
          <w:tcPr>
            <w:tcW w:w="949" w:type="dxa"/>
            <w:noWrap/>
            <w:vAlign w:val="center"/>
            <w:hideMark/>
          </w:tcPr>
          <w:p w:rsidR="00A43CA0" w:rsidRPr="00210553" w:rsidRDefault="00A43CA0" w:rsidP="00404EB8">
            <w:pPr>
              <w:jc w:val="center"/>
              <w:rPr>
                <w:rFonts w:ascii="Arial" w:eastAsia="Times New Roman" w:hAnsi="Arial" w:cs="Arial"/>
                <w:bCs/>
                <w:color w:val="000000"/>
              </w:rPr>
            </w:pPr>
            <w:r w:rsidRPr="00D77F44">
              <w:rPr>
                <w:rFonts w:ascii="Arial" w:eastAsia="Times New Roman" w:hAnsi="Arial" w:cs="Arial"/>
                <w:bCs/>
                <w:color w:val="000000"/>
              </w:rPr>
              <w:t>71</w:t>
            </w:r>
          </w:p>
        </w:tc>
        <w:tc>
          <w:tcPr>
            <w:tcW w:w="949" w:type="dxa"/>
            <w:noWrap/>
            <w:vAlign w:val="center"/>
            <w:hideMark/>
          </w:tcPr>
          <w:p w:rsidR="00A43CA0" w:rsidRPr="00CA6899" w:rsidRDefault="00A43CA0" w:rsidP="00404EB8">
            <w:pPr>
              <w:jc w:val="center"/>
              <w:rPr>
                <w:rFonts w:ascii="Arial" w:eastAsia="Times New Roman" w:hAnsi="Arial" w:cs="Arial"/>
                <w:b/>
                <w:bCs/>
                <w:color w:val="000000"/>
              </w:rPr>
            </w:pPr>
            <w:r w:rsidRPr="00CA6899">
              <w:rPr>
                <w:rFonts w:ascii="Arial" w:eastAsia="Times New Roman" w:hAnsi="Arial" w:cs="Arial"/>
                <w:b/>
                <w:bCs/>
                <w:color w:val="000000"/>
              </w:rPr>
              <w:t>78</w:t>
            </w:r>
          </w:p>
        </w:tc>
        <w:tc>
          <w:tcPr>
            <w:tcW w:w="949" w:type="dxa"/>
            <w:noWrap/>
            <w:vAlign w:val="center"/>
            <w:hideMark/>
          </w:tcPr>
          <w:p w:rsidR="00A43CA0" w:rsidRPr="00CA6899" w:rsidRDefault="00A43CA0" w:rsidP="00404EB8">
            <w:pPr>
              <w:jc w:val="center"/>
              <w:rPr>
                <w:rFonts w:ascii="Arial" w:eastAsia="Times New Roman" w:hAnsi="Arial" w:cs="Arial"/>
                <w:b/>
                <w:bCs/>
                <w:color w:val="000000"/>
              </w:rPr>
            </w:pPr>
            <w:r w:rsidRPr="00CA6899">
              <w:rPr>
                <w:rFonts w:ascii="Arial" w:eastAsia="Times New Roman" w:hAnsi="Arial" w:cs="Arial"/>
                <w:b/>
                <w:bCs/>
                <w:color w:val="000000"/>
              </w:rPr>
              <w:t>89</w:t>
            </w:r>
          </w:p>
        </w:tc>
        <w:tc>
          <w:tcPr>
            <w:tcW w:w="1792"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327</w:t>
            </w:r>
          </w:p>
        </w:tc>
        <w:tc>
          <w:tcPr>
            <w:tcW w:w="2531"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28.1%</w:t>
            </w:r>
          </w:p>
        </w:tc>
      </w:tr>
      <w:tr w:rsidR="00A43CA0" w:rsidRPr="00CA6899" w:rsidTr="00404EB8">
        <w:trPr>
          <w:trHeight w:val="421"/>
        </w:trPr>
        <w:tc>
          <w:tcPr>
            <w:tcW w:w="3896" w:type="dxa"/>
            <w:noWrap/>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PTDM = Y</w:t>
            </w:r>
            <w:r>
              <w:rPr>
                <w:rFonts w:ascii="Arial" w:eastAsia="Times New Roman" w:hAnsi="Arial" w:cs="Arial"/>
                <w:bCs/>
                <w:color w:val="000000"/>
              </w:rPr>
              <w:t>es</w:t>
            </w:r>
            <w:r w:rsidRPr="00CA6899">
              <w:rPr>
                <w:rFonts w:ascii="Arial" w:eastAsia="Times New Roman" w:hAnsi="Arial" w:cs="Arial"/>
                <w:bCs/>
                <w:color w:val="000000"/>
              </w:rPr>
              <w:t xml:space="preserve"> after treatment of Q4-5 recipients (60% effective)</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37</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52</w:t>
            </w:r>
          </w:p>
        </w:tc>
        <w:tc>
          <w:tcPr>
            <w:tcW w:w="949" w:type="dxa"/>
            <w:noWrap/>
            <w:vAlign w:val="center"/>
            <w:hideMark/>
          </w:tcPr>
          <w:p w:rsidR="00A43CA0" w:rsidRPr="00D77F44" w:rsidRDefault="00A43CA0" w:rsidP="00404EB8">
            <w:pPr>
              <w:jc w:val="center"/>
              <w:rPr>
                <w:rFonts w:ascii="Arial" w:eastAsia="Times New Roman" w:hAnsi="Arial" w:cs="Arial"/>
                <w:b/>
                <w:bCs/>
                <w:color w:val="000000"/>
              </w:rPr>
            </w:pPr>
            <w:r w:rsidRPr="00D77F44">
              <w:rPr>
                <w:rFonts w:ascii="Arial" w:eastAsia="Times New Roman" w:hAnsi="Arial" w:cs="Arial"/>
                <w:bCs/>
                <w:color w:val="000000"/>
              </w:rPr>
              <w:t>71</w:t>
            </w:r>
          </w:p>
        </w:tc>
        <w:tc>
          <w:tcPr>
            <w:tcW w:w="949" w:type="dxa"/>
            <w:noWrap/>
            <w:vAlign w:val="center"/>
            <w:hideMark/>
          </w:tcPr>
          <w:p w:rsidR="00A43CA0" w:rsidRPr="00CA6899" w:rsidRDefault="00A43CA0" w:rsidP="00404EB8">
            <w:pPr>
              <w:jc w:val="center"/>
              <w:rPr>
                <w:rFonts w:ascii="Arial" w:eastAsia="Times New Roman" w:hAnsi="Arial" w:cs="Arial"/>
                <w:b/>
                <w:bCs/>
                <w:color w:val="000000"/>
              </w:rPr>
            </w:pPr>
            <w:r w:rsidRPr="00CA6899">
              <w:rPr>
                <w:rFonts w:ascii="Arial" w:eastAsia="Times New Roman" w:hAnsi="Arial" w:cs="Arial"/>
                <w:b/>
                <w:bCs/>
                <w:color w:val="000000"/>
              </w:rPr>
              <w:t>31.2</w:t>
            </w:r>
          </w:p>
        </w:tc>
        <w:tc>
          <w:tcPr>
            <w:tcW w:w="949" w:type="dxa"/>
            <w:noWrap/>
            <w:vAlign w:val="center"/>
            <w:hideMark/>
          </w:tcPr>
          <w:p w:rsidR="00A43CA0" w:rsidRPr="00CA6899" w:rsidRDefault="00A43CA0" w:rsidP="00404EB8">
            <w:pPr>
              <w:jc w:val="center"/>
              <w:rPr>
                <w:rFonts w:ascii="Arial" w:eastAsia="Times New Roman" w:hAnsi="Arial" w:cs="Arial"/>
                <w:b/>
                <w:bCs/>
                <w:color w:val="000000"/>
              </w:rPr>
            </w:pPr>
            <w:r w:rsidRPr="00CA6899">
              <w:rPr>
                <w:rFonts w:ascii="Arial" w:eastAsia="Times New Roman" w:hAnsi="Arial" w:cs="Arial"/>
                <w:b/>
                <w:bCs/>
                <w:color w:val="000000"/>
              </w:rPr>
              <w:t>35.6</w:t>
            </w:r>
          </w:p>
        </w:tc>
        <w:tc>
          <w:tcPr>
            <w:tcW w:w="1792"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226.8</w:t>
            </w:r>
          </w:p>
        </w:tc>
        <w:tc>
          <w:tcPr>
            <w:tcW w:w="2531" w:type="dxa"/>
            <w:noWrap/>
            <w:vAlign w:val="center"/>
            <w:hideMark/>
          </w:tcPr>
          <w:p w:rsidR="00A43CA0" w:rsidRPr="00CA6899" w:rsidRDefault="00A43CA0" w:rsidP="00404EB8">
            <w:pPr>
              <w:jc w:val="center"/>
              <w:rPr>
                <w:rFonts w:ascii="Arial" w:eastAsia="Times New Roman" w:hAnsi="Arial" w:cs="Arial"/>
                <w:b/>
                <w:bCs/>
                <w:color w:val="000000"/>
              </w:rPr>
            </w:pPr>
            <w:r w:rsidRPr="00CA6899">
              <w:rPr>
                <w:rFonts w:ascii="Arial" w:eastAsia="Times New Roman" w:hAnsi="Arial" w:cs="Arial"/>
                <w:b/>
                <w:bCs/>
                <w:color w:val="000000"/>
              </w:rPr>
              <w:t>19.5%</w:t>
            </w:r>
          </w:p>
        </w:tc>
      </w:tr>
      <w:tr w:rsidR="00A43CA0" w:rsidRPr="00CA6899" w:rsidTr="00404EB8">
        <w:trPr>
          <w:trHeight w:val="421"/>
        </w:trPr>
        <w:tc>
          <w:tcPr>
            <w:tcW w:w="3896" w:type="dxa"/>
            <w:noWrap/>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PTDM = Y</w:t>
            </w:r>
            <w:r>
              <w:rPr>
                <w:rFonts w:ascii="Arial" w:eastAsia="Times New Roman" w:hAnsi="Arial" w:cs="Arial"/>
                <w:bCs/>
                <w:color w:val="000000"/>
              </w:rPr>
              <w:t>es</w:t>
            </w:r>
            <w:r w:rsidRPr="00CA6899">
              <w:rPr>
                <w:rFonts w:ascii="Arial" w:eastAsia="Times New Roman" w:hAnsi="Arial" w:cs="Arial"/>
                <w:bCs/>
                <w:color w:val="000000"/>
              </w:rPr>
              <w:t xml:space="preserve"> after treatment of Q4-5 recipients (30% effective)</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37</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52</w:t>
            </w:r>
          </w:p>
        </w:tc>
        <w:tc>
          <w:tcPr>
            <w:tcW w:w="949" w:type="dxa"/>
            <w:noWrap/>
            <w:vAlign w:val="center"/>
            <w:hideMark/>
          </w:tcPr>
          <w:p w:rsidR="00A43CA0" w:rsidRPr="00D77F44" w:rsidRDefault="00A43CA0" w:rsidP="00404EB8">
            <w:pPr>
              <w:jc w:val="center"/>
              <w:rPr>
                <w:rFonts w:ascii="Arial" w:eastAsia="Times New Roman" w:hAnsi="Arial" w:cs="Arial"/>
                <w:b/>
                <w:bCs/>
                <w:color w:val="000000"/>
              </w:rPr>
            </w:pPr>
            <w:r w:rsidRPr="00D77F44">
              <w:rPr>
                <w:rFonts w:ascii="Arial" w:eastAsia="Times New Roman" w:hAnsi="Arial" w:cs="Arial"/>
                <w:bCs/>
                <w:color w:val="000000"/>
              </w:rPr>
              <w:t>71</w:t>
            </w:r>
          </w:p>
        </w:tc>
        <w:tc>
          <w:tcPr>
            <w:tcW w:w="949" w:type="dxa"/>
            <w:noWrap/>
            <w:vAlign w:val="center"/>
            <w:hideMark/>
          </w:tcPr>
          <w:p w:rsidR="00A43CA0" w:rsidRPr="00CA6899" w:rsidRDefault="00A43CA0" w:rsidP="00404EB8">
            <w:pPr>
              <w:jc w:val="center"/>
              <w:rPr>
                <w:rFonts w:ascii="Arial" w:eastAsia="Times New Roman" w:hAnsi="Arial" w:cs="Arial"/>
                <w:b/>
                <w:bCs/>
                <w:color w:val="000000"/>
              </w:rPr>
            </w:pPr>
            <w:r w:rsidRPr="00CA6899">
              <w:rPr>
                <w:rFonts w:ascii="Arial" w:eastAsia="Times New Roman" w:hAnsi="Arial" w:cs="Arial"/>
                <w:b/>
                <w:bCs/>
                <w:color w:val="000000"/>
              </w:rPr>
              <w:t>54.6</w:t>
            </w:r>
          </w:p>
        </w:tc>
        <w:tc>
          <w:tcPr>
            <w:tcW w:w="949" w:type="dxa"/>
            <w:noWrap/>
            <w:vAlign w:val="center"/>
            <w:hideMark/>
          </w:tcPr>
          <w:p w:rsidR="00A43CA0" w:rsidRPr="00CA6899" w:rsidRDefault="00A43CA0" w:rsidP="00404EB8">
            <w:pPr>
              <w:jc w:val="center"/>
              <w:rPr>
                <w:rFonts w:ascii="Arial" w:eastAsia="Times New Roman" w:hAnsi="Arial" w:cs="Arial"/>
                <w:b/>
                <w:bCs/>
                <w:color w:val="000000"/>
              </w:rPr>
            </w:pPr>
            <w:r w:rsidRPr="00CA6899">
              <w:rPr>
                <w:rFonts w:ascii="Arial" w:eastAsia="Times New Roman" w:hAnsi="Arial" w:cs="Arial"/>
                <w:b/>
                <w:bCs/>
                <w:color w:val="000000"/>
              </w:rPr>
              <w:t>62.3</w:t>
            </w:r>
          </w:p>
        </w:tc>
        <w:tc>
          <w:tcPr>
            <w:tcW w:w="1792"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276.9</w:t>
            </w:r>
          </w:p>
        </w:tc>
        <w:tc>
          <w:tcPr>
            <w:tcW w:w="2531" w:type="dxa"/>
            <w:noWrap/>
            <w:vAlign w:val="center"/>
            <w:hideMark/>
          </w:tcPr>
          <w:p w:rsidR="00A43CA0" w:rsidRPr="00CA6899" w:rsidRDefault="00A43CA0" w:rsidP="00404EB8">
            <w:pPr>
              <w:jc w:val="center"/>
              <w:rPr>
                <w:rFonts w:ascii="Arial" w:eastAsia="Times New Roman" w:hAnsi="Arial" w:cs="Arial"/>
                <w:b/>
                <w:bCs/>
                <w:color w:val="000000"/>
              </w:rPr>
            </w:pPr>
            <w:r w:rsidRPr="00CA6899">
              <w:rPr>
                <w:rFonts w:ascii="Arial" w:eastAsia="Times New Roman" w:hAnsi="Arial" w:cs="Arial"/>
                <w:b/>
                <w:bCs/>
                <w:color w:val="000000"/>
              </w:rPr>
              <w:t>23.8%</w:t>
            </w:r>
          </w:p>
        </w:tc>
      </w:tr>
      <w:tr w:rsidR="00A43CA0" w:rsidRPr="00CA6899" w:rsidTr="00404EB8">
        <w:trPr>
          <w:trHeight w:val="421"/>
        </w:trPr>
        <w:tc>
          <w:tcPr>
            <w:tcW w:w="3896"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Total</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233</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233</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231</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232</w:t>
            </w:r>
          </w:p>
        </w:tc>
        <w:tc>
          <w:tcPr>
            <w:tcW w:w="949"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233</w:t>
            </w:r>
          </w:p>
        </w:tc>
        <w:tc>
          <w:tcPr>
            <w:tcW w:w="1792" w:type="dxa"/>
            <w:noWrap/>
            <w:vAlign w:val="center"/>
            <w:hideMark/>
          </w:tcPr>
          <w:p w:rsidR="00A43CA0" w:rsidRPr="00CA6899" w:rsidRDefault="00A43CA0" w:rsidP="00404EB8">
            <w:pPr>
              <w:jc w:val="center"/>
              <w:rPr>
                <w:rFonts w:ascii="Arial" w:eastAsia="Times New Roman" w:hAnsi="Arial" w:cs="Arial"/>
                <w:bCs/>
                <w:color w:val="000000"/>
              </w:rPr>
            </w:pPr>
            <w:r w:rsidRPr="00CA6899">
              <w:rPr>
                <w:rFonts w:ascii="Arial" w:eastAsia="Times New Roman" w:hAnsi="Arial" w:cs="Arial"/>
                <w:bCs/>
                <w:color w:val="000000"/>
              </w:rPr>
              <w:t>1162</w:t>
            </w:r>
          </w:p>
        </w:tc>
        <w:tc>
          <w:tcPr>
            <w:tcW w:w="2531" w:type="dxa"/>
            <w:noWrap/>
            <w:vAlign w:val="center"/>
            <w:hideMark/>
          </w:tcPr>
          <w:p w:rsidR="00A43CA0" w:rsidRPr="00CA6899" w:rsidRDefault="00A43CA0" w:rsidP="00404EB8">
            <w:pPr>
              <w:jc w:val="center"/>
              <w:rPr>
                <w:rFonts w:ascii="Arial" w:eastAsia="Times New Roman" w:hAnsi="Arial" w:cs="Arial"/>
                <w:bCs/>
                <w:color w:val="000000"/>
              </w:rPr>
            </w:pPr>
          </w:p>
        </w:tc>
      </w:tr>
    </w:tbl>
    <w:p w:rsidR="00A43CA0" w:rsidRPr="00CA6899" w:rsidRDefault="00A43CA0" w:rsidP="00A43CA0">
      <w:pPr>
        <w:rPr>
          <w:rFonts w:ascii="Arial" w:eastAsia="Times New Roman" w:hAnsi="Arial" w:cs="Arial"/>
          <w:bCs/>
          <w:color w:val="000000"/>
        </w:rPr>
      </w:pPr>
    </w:p>
    <w:p w:rsidR="00A43CA0" w:rsidRPr="00CA6899" w:rsidRDefault="00A43CA0" w:rsidP="00A43CA0">
      <w:pPr>
        <w:rPr>
          <w:rFonts w:ascii="Arial" w:eastAsia="Times New Roman" w:hAnsi="Arial" w:cs="Arial"/>
          <w:bCs/>
          <w:color w:val="000000"/>
        </w:rPr>
      </w:pPr>
      <w:r w:rsidRPr="00CA6899">
        <w:rPr>
          <w:rFonts w:ascii="Arial" w:eastAsia="Times New Roman" w:hAnsi="Arial" w:cs="Arial"/>
          <w:bCs/>
          <w:color w:val="000000"/>
        </w:rPr>
        <w:br w:type="page"/>
      </w:r>
    </w:p>
    <w:p w:rsidR="00A43CA0" w:rsidRPr="00CA6899" w:rsidRDefault="00A43CA0" w:rsidP="00A43CA0">
      <w:pPr>
        <w:spacing w:after="0" w:line="360" w:lineRule="auto"/>
        <w:rPr>
          <w:rFonts w:ascii="Arial" w:hAnsi="Arial" w:cs="Arial"/>
        </w:rPr>
      </w:pPr>
      <w:r w:rsidRPr="00CA6899">
        <w:rPr>
          <w:rFonts w:ascii="Arial" w:hAnsi="Arial" w:cs="Arial"/>
          <w:b/>
        </w:rPr>
        <w:lastRenderedPageBreak/>
        <w:t xml:space="preserve">Genotyping data quality control: </w:t>
      </w:r>
      <w:r w:rsidRPr="00CA6899">
        <w:rPr>
          <w:rFonts w:ascii="Arial" w:hAnsi="Arial" w:cs="Arial"/>
        </w:rPr>
        <w:t>Extensive quality control (QC) was performed on SNP genotypes according to community standards. Samples with a genotype missing rate &gt;3% were removed. Next, a set of high-quality autosomal variants (genotyping rate &gt;99%, minor allele frequency &gt;5%, Hardy-Weinberg Equilibrium (HWE) P value &gt;0.001, pairwise linkage disequilibrium (LD) r</w:t>
      </w:r>
      <w:r w:rsidRPr="00CA6899">
        <w:rPr>
          <w:rFonts w:ascii="Arial" w:hAnsi="Arial" w:cs="Arial"/>
          <w:vertAlign w:val="superscript"/>
        </w:rPr>
        <w:t>2</w:t>
      </w:r>
      <w:r w:rsidRPr="00CA6899">
        <w:rPr>
          <w:rFonts w:ascii="Arial" w:hAnsi="Arial" w:cs="Arial"/>
        </w:rPr>
        <w:t xml:space="preserve"> between variants &lt;</w:t>
      </w:r>
      <w:r>
        <w:rPr>
          <w:rFonts w:ascii="Arial" w:hAnsi="Arial" w:cs="Arial"/>
        </w:rPr>
        <w:t xml:space="preserve"> </w:t>
      </w:r>
      <w:r w:rsidRPr="00CA6899">
        <w:rPr>
          <w:rFonts w:ascii="Arial" w:hAnsi="Arial" w:cs="Arial"/>
        </w:rPr>
        <w:t>0.2 located outside regions known for long-range LD) were selected to calculate relatedness between individuals, heterozygosity, and principal components (PCs). Relatedness between samples was estimated based on identity by descent (IBD). Samples with very high heterozygosity and suspected contamination, as well as sex-mismatches, were removed from further analysis. Unrelated samples with pairwise IBD &gt;0.3</w:t>
      </w:r>
      <w:r>
        <w:rPr>
          <w:rFonts w:ascii="Arial" w:hAnsi="Arial" w:cs="Arial"/>
        </w:rPr>
        <w:t xml:space="preserve"> in genetically more heterogeneous US cohorts and &gt;0.1 in majority European descent Leuven cohort</w:t>
      </w:r>
      <w:r w:rsidRPr="00CA6899">
        <w:rPr>
          <w:rFonts w:ascii="Arial" w:hAnsi="Arial" w:cs="Arial"/>
        </w:rPr>
        <w:t xml:space="preserve"> were excluded from the study.</w:t>
      </w:r>
    </w:p>
    <w:p w:rsidR="00A43CA0" w:rsidRPr="00CA6899" w:rsidRDefault="00A43CA0" w:rsidP="00A43CA0">
      <w:pPr>
        <w:spacing w:after="0" w:line="360" w:lineRule="auto"/>
        <w:rPr>
          <w:rFonts w:ascii="Arial" w:hAnsi="Arial" w:cs="Arial"/>
          <w:b/>
        </w:rPr>
      </w:pPr>
    </w:p>
    <w:p w:rsidR="00A43CA0" w:rsidRDefault="00A43CA0" w:rsidP="00A43CA0">
      <w:pPr>
        <w:spacing w:after="0" w:line="360" w:lineRule="auto"/>
        <w:rPr>
          <w:rFonts w:ascii="Arial" w:hAnsi="Arial" w:cs="Arial"/>
        </w:rPr>
      </w:pPr>
      <w:r w:rsidRPr="00CA6899">
        <w:rPr>
          <w:rFonts w:ascii="Arial" w:hAnsi="Arial" w:cs="Arial"/>
          <w:b/>
        </w:rPr>
        <w:t xml:space="preserve">Imputation of </w:t>
      </w:r>
      <w:proofErr w:type="spellStart"/>
      <w:r w:rsidRPr="00CA6899">
        <w:rPr>
          <w:rFonts w:ascii="Arial" w:hAnsi="Arial" w:cs="Arial"/>
          <w:b/>
        </w:rPr>
        <w:t>ungenotyped</w:t>
      </w:r>
      <w:proofErr w:type="spellEnd"/>
      <w:r w:rsidRPr="00CA6899">
        <w:rPr>
          <w:rFonts w:ascii="Arial" w:hAnsi="Arial" w:cs="Arial"/>
          <w:b/>
        </w:rPr>
        <w:t xml:space="preserve"> SNPs: </w:t>
      </w:r>
      <w:proofErr w:type="spellStart"/>
      <w:r w:rsidRPr="00CA6899">
        <w:rPr>
          <w:rFonts w:ascii="Arial" w:hAnsi="Arial" w:cs="Arial"/>
        </w:rPr>
        <w:t>Ungenotyped</w:t>
      </w:r>
      <w:proofErr w:type="spellEnd"/>
      <w:r w:rsidRPr="00CA6899">
        <w:rPr>
          <w:rFonts w:ascii="Arial" w:hAnsi="Arial" w:cs="Arial"/>
        </w:rPr>
        <w:t xml:space="preserve"> SNPs were imputed using 1000 Genomes Project (1KGP) phase 3 </w:t>
      </w:r>
      <w:r w:rsidRPr="0030714C">
        <w:rPr>
          <w:rFonts w:ascii="Arial" w:hAnsi="Arial" w:cs="Arial"/>
        </w:rPr>
        <w:t>genotypes (1,2) and Genome of the Netherlands (</w:t>
      </w:r>
      <w:proofErr w:type="spellStart"/>
      <w:r w:rsidRPr="0030714C">
        <w:rPr>
          <w:rFonts w:ascii="Arial" w:hAnsi="Arial" w:cs="Arial"/>
        </w:rPr>
        <w:t>GoNL</w:t>
      </w:r>
      <w:proofErr w:type="spellEnd"/>
      <w:r w:rsidRPr="0030714C">
        <w:rPr>
          <w:rFonts w:ascii="Arial" w:hAnsi="Arial" w:cs="Arial"/>
        </w:rPr>
        <w:t>) version5 genotypes (3) as reference panels for both phasing and imputation. Genotypes were phased using SHAPEIT (</w:t>
      </w:r>
      <w:r w:rsidRPr="000F6D35">
        <w:rPr>
          <w:rFonts w:ascii="Arial" w:hAnsi="Arial" w:cs="Arial"/>
        </w:rPr>
        <w:t>4</w:t>
      </w:r>
      <w:r w:rsidRPr="0030714C">
        <w:rPr>
          <w:rFonts w:ascii="Arial" w:hAnsi="Arial" w:cs="Arial"/>
        </w:rPr>
        <w:t>) and imputed with IMPUTE2 (5). SNPs with imputation info score &gt; 0.8, minor allele frequency &gt;0.001, and Hardy-Weinberg Equilibrium (HWE) P value &gt;1E-6 were qualified to be include</w:t>
      </w:r>
      <w:r>
        <w:rPr>
          <w:rFonts w:ascii="Arial" w:hAnsi="Arial" w:cs="Arial"/>
        </w:rPr>
        <w:t>d</w:t>
      </w:r>
      <w:r w:rsidRPr="0030714C">
        <w:rPr>
          <w:rFonts w:ascii="Arial" w:hAnsi="Arial" w:cs="Arial"/>
        </w:rPr>
        <w:t xml:space="preserve"> to calculate T2D-PRS.</w:t>
      </w:r>
      <w:r>
        <w:rPr>
          <w:rFonts w:ascii="Arial" w:hAnsi="Arial" w:cs="Arial"/>
        </w:rPr>
        <w:t xml:space="preserve"> </w:t>
      </w:r>
      <w:r w:rsidRPr="0030714C">
        <w:rPr>
          <w:rFonts w:ascii="Arial" w:hAnsi="Arial" w:cs="Arial"/>
        </w:rPr>
        <w:t xml:space="preserve">In total, 361, 361, 326, and 355 SNPs in Baylor, </w:t>
      </w:r>
      <w:proofErr w:type="spellStart"/>
      <w:r w:rsidRPr="0030714C">
        <w:rPr>
          <w:rFonts w:ascii="Arial" w:hAnsi="Arial" w:cs="Arial"/>
        </w:rPr>
        <w:t>BioTIP</w:t>
      </w:r>
      <w:proofErr w:type="spellEnd"/>
      <w:r w:rsidRPr="0030714C">
        <w:rPr>
          <w:rFonts w:ascii="Arial" w:hAnsi="Arial" w:cs="Arial"/>
        </w:rPr>
        <w:t xml:space="preserve">, </w:t>
      </w:r>
      <w:proofErr w:type="spellStart"/>
      <w:r w:rsidRPr="0030714C">
        <w:rPr>
          <w:rFonts w:ascii="Arial" w:hAnsi="Arial" w:cs="Arial"/>
        </w:rPr>
        <w:t>DeKAF</w:t>
      </w:r>
      <w:proofErr w:type="spellEnd"/>
      <w:r w:rsidRPr="0030714C">
        <w:rPr>
          <w:rFonts w:ascii="Arial" w:hAnsi="Arial" w:cs="Arial"/>
        </w:rPr>
        <w:t xml:space="preserve">, and </w:t>
      </w:r>
      <w:r w:rsidRPr="003C452F">
        <w:rPr>
          <w:rFonts w:ascii="Arial" w:hAnsi="Arial" w:cs="Arial"/>
        </w:rPr>
        <w:t>Leuven</w:t>
      </w:r>
      <w:r w:rsidRPr="0030714C">
        <w:rPr>
          <w:rFonts w:ascii="Arial" w:hAnsi="Arial" w:cs="Arial"/>
        </w:rPr>
        <w:t xml:space="preserve"> cohorts, respectively, overlapped with the top 403 T2D-associated independent signals and were included in the calculation of T2D-PRS using PRSice2 (6).</w:t>
      </w:r>
    </w:p>
    <w:p w:rsidR="00A43CA0" w:rsidRDefault="00A43CA0" w:rsidP="00A43CA0">
      <w:pPr>
        <w:spacing w:line="360" w:lineRule="auto"/>
        <w:rPr>
          <w:rFonts w:ascii="Arial" w:hAnsi="Arial" w:cs="Arial"/>
        </w:rPr>
      </w:pPr>
    </w:p>
    <w:p w:rsidR="00A43CA0" w:rsidRPr="00CA6899" w:rsidRDefault="00A43CA0" w:rsidP="00A43CA0">
      <w:pPr>
        <w:spacing w:line="360" w:lineRule="auto"/>
        <w:rPr>
          <w:rFonts w:ascii="Arial" w:hAnsi="Arial" w:cs="Arial"/>
        </w:rPr>
      </w:pPr>
      <w:r>
        <w:rPr>
          <w:rFonts w:ascii="Arial" w:hAnsi="Arial" w:cs="Arial"/>
          <w:b/>
        </w:rPr>
        <w:t xml:space="preserve">Power consideration to detect effect of donor T2D-PRS on PTDM in </w:t>
      </w:r>
      <w:proofErr w:type="spellStart"/>
      <w:r>
        <w:rPr>
          <w:rFonts w:ascii="Arial" w:hAnsi="Arial" w:cs="Arial"/>
          <w:b/>
        </w:rPr>
        <w:t>DeKAF</w:t>
      </w:r>
      <w:proofErr w:type="spellEnd"/>
      <w:r>
        <w:rPr>
          <w:rFonts w:ascii="Arial" w:hAnsi="Arial" w:cs="Arial"/>
          <w:b/>
        </w:rPr>
        <w:t xml:space="preserve"> cohort</w:t>
      </w:r>
      <w:r w:rsidRPr="00CA6899">
        <w:rPr>
          <w:rFonts w:ascii="Arial" w:hAnsi="Arial" w:cs="Arial"/>
          <w:b/>
        </w:rPr>
        <w:t xml:space="preserve">: </w:t>
      </w:r>
      <w:r w:rsidRPr="00B879DB">
        <w:rPr>
          <w:rFonts w:ascii="Arial" w:hAnsi="Arial" w:cs="Arial"/>
        </w:rPr>
        <w:t xml:space="preserve">Assuming the same effect size from donor-PRS seen in liver cohort (R=1.18), PTDM incidence rate of 6% in </w:t>
      </w:r>
      <w:proofErr w:type="spellStart"/>
      <w:r w:rsidRPr="00B879DB">
        <w:rPr>
          <w:rFonts w:ascii="Arial" w:hAnsi="Arial" w:cs="Arial"/>
        </w:rPr>
        <w:t>DeKAF</w:t>
      </w:r>
      <w:proofErr w:type="spellEnd"/>
      <w:r w:rsidRPr="00B879DB">
        <w:rPr>
          <w:rFonts w:ascii="Arial" w:hAnsi="Arial" w:cs="Arial"/>
        </w:rPr>
        <w:t xml:space="preserve">, and current </w:t>
      </w:r>
      <w:proofErr w:type="spellStart"/>
      <w:r w:rsidRPr="00B879DB">
        <w:rPr>
          <w:rFonts w:ascii="Arial" w:hAnsi="Arial" w:cs="Arial"/>
        </w:rPr>
        <w:t>DeKAF</w:t>
      </w:r>
      <w:proofErr w:type="spellEnd"/>
      <w:r w:rsidRPr="00B879DB">
        <w:rPr>
          <w:rFonts w:ascii="Arial" w:hAnsi="Arial" w:cs="Arial"/>
        </w:rPr>
        <w:t xml:space="preserve"> sample size (533 D-R pairs), we have limited power (13%) at alpha=0.05 to detect such association. Our null observation of kidney donor genetic contribution to PTDM would require to be confirmed in other kidney cohorts with larger sample sizes, or with higher PTDM incidence.</w:t>
      </w:r>
    </w:p>
    <w:p w:rsidR="00A43CA0" w:rsidRPr="00CA6899" w:rsidRDefault="00A43CA0" w:rsidP="00A43CA0">
      <w:pPr>
        <w:spacing w:after="0" w:line="360" w:lineRule="auto"/>
        <w:rPr>
          <w:rFonts w:ascii="Arial" w:hAnsi="Arial" w:cs="Arial"/>
        </w:rPr>
      </w:pPr>
      <w:r w:rsidRPr="00CA6899">
        <w:rPr>
          <w:rFonts w:ascii="Arial" w:hAnsi="Arial" w:cs="Arial"/>
        </w:rPr>
        <w:t xml:space="preserve"> </w:t>
      </w:r>
    </w:p>
    <w:p w:rsidR="00A43CA0" w:rsidRDefault="00A43CA0" w:rsidP="00A43CA0">
      <w:pPr>
        <w:rPr>
          <w:rFonts w:ascii="Arial" w:eastAsia="Times New Roman" w:hAnsi="Arial" w:cs="Arial"/>
          <w:bCs/>
          <w:color w:val="000000"/>
        </w:rPr>
      </w:pPr>
    </w:p>
    <w:p w:rsidR="00A43CA0" w:rsidRPr="00CA6899" w:rsidRDefault="00A43CA0" w:rsidP="00A43CA0">
      <w:pPr>
        <w:spacing w:after="0" w:line="360" w:lineRule="auto"/>
        <w:rPr>
          <w:rFonts w:ascii="Arial" w:hAnsi="Arial" w:cs="Arial"/>
        </w:rPr>
      </w:pPr>
      <w:r w:rsidRPr="00CA6899">
        <w:rPr>
          <w:rFonts w:ascii="Arial" w:hAnsi="Arial" w:cs="Arial"/>
        </w:rPr>
        <w:t>References for supplementary information:</w:t>
      </w:r>
    </w:p>
    <w:p w:rsidR="00A43CA0" w:rsidRPr="00CA6899" w:rsidRDefault="00A43CA0" w:rsidP="00A43CA0">
      <w:pPr>
        <w:pStyle w:val="ListParagraph"/>
        <w:numPr>
          <w:ilvl w:val="0"/>
          <w:numId w:val="1"/>
        </w:numPr>
        <w:spacing w:after="0" w:line="360" w:lineRule="auto"/>
        <w:ind w:left="0"/>
        <w:rPr>
          <w:rFonts w:ascii="Arial" w:hAnsi="Arial" w:cs="Arial"/>
        </w:rPr>
      </w:pPr>
      <w:r w:rsidRPr="00CA6899">
        <w:rPr>
          <w:rFonts w:ascii="Arial" w:hAnsi="Arial" w:cs="Arial"/>
        </w:rPr>
        <w:t xml:space="preserve">1000 Genomes Project Consortium, </w:t>
      </w:r>
      <w:proofErr w:type="spellStart"/>
      <w:r w:rsidRPr="00CA6899">
        <w:rPr>
          <w:rFonts w:ascii="Arial" w:hAnsi="Arial" w:cs="Arial"/>
        </w:rPr>
        <w:t>Auton</w:t>
      </w:r>
      <w:proofErr w:type="spellEnd"/>
      <w:r w:rsidRPr="00CA6899">
        <w:rPr>
          <w:rFonts w:ascii="Arial" w:hAnsi="Arial" w:cs="Arial"/>
        </w:rPr>
        <w:t xml:space="preserve"> A, Brooks LD, et al. A global reference for human genetic variation. Nature. 2015;526(7571):68–74.</w:t>
      </w:r>
    </w:p>
    <w:p w:rsidR="00A43CA0" w:rsidRPr="00CA6899" w:rsidRDefault="00A43CA0" w:rsidP="00A43CA0">
      <w:pPr>
        <w:pStyle w:val="ListParagraph"/>
        <w:numPr>
          <w:ilvl w:val="0"/>
          <w:numId w:val="1"/>
        </w:numPr>
        <w:spacing w:after="0" w:line="360" w:lineRule="auto"/>
        <w:ind w:left="0"/>
        <w:rPr>
          <w:rFonts w:ascii="Arial" w:hAnsi="Arial" w:cs="Arial"/>
        </w:rPr>
      </w:pPr>
      <w:proofErr w:type="spellStart"/>
      <w:r w:rsidRPr="00CA6899">
        <w:rPr>
          <w:rFonts w:ascii="Arial" w:hAnsi="Arial" w:cs="Arial"/>
        </w:rPr>
        <w:lastRenderedPageBreak/>
        <w:t>Sudmant</w:t>
      </w:r>
      <w:proofErr w:type="spellEnd"/>
      <w:r w:rsidRPr="00CA6899">
        <w:rPr>
          <w:rFonts w:ascii="Arial" w:hAnsi="Arial" w:cs="Arial"/>
        </w:rPr>
        <w:t xml:space="preserve"> PH, Rausch T, Gardner EJ, et al; 1000 Genomes Project Consortium. An integrated map of structural variation in 2,504 human genomes. Nature. 2015;526(7571):75–81.</w:t>
      </w:r>
    </w:p>
    <w:p w:rsidR="00A43CA0" w:rsidRPr="00CA6899" w:rsidRDefault="00A43CA0" w:rsidP="00A43CA0">
      <w:pPr>
        <w:pStyle w:val="ListParagraph"/>
        <w:numPr>
          <w:ilvl w:val="0"/>
          <w:numId w:val="1"/>
        </w:numPr>
        <w:spacing w:after="0" w:line="360" w:lineRule="auto"/>
        <w:ind w:left="0"/>
        <w:rPr>
          <w:rFonts w:ascii="Arial" w:hAnsi="Arial" w:cs="Arial"/>
        </w:rPr>
      </w:pPr>
      <w:r w:rsidRPr="00CA6899">
        <w:rPr>
          <w:rFonts w:ascii="Arial" w:hAnsi="Arial" w:cs="Arial"/>
        </w:rPr>
        <w:t>Genome of the Netherlands Consortium. Whole-genome sequence variation, population structure and demographic history of the Dutch population. Nat Genet. 2014;46(8):818–825.</w:t>
      </w:r>
    </w:p>
    <w:p w:rsidR="00A43CA0" w:rsidRPr="0030714C" w:rsidRDefault="00A43CA0" w:rsidP="00A43CA0">
      <w:pPr>
        <w:pStyle w:val="ListParagraph"/>
        <w:numPr>
          <w:ilvl w:val="0"/>
          <w:numId w:val="1"/>
        </w:numPr>
        <w:spacing w:after="0" w:line="360" w:lineRule="auto"/>
        <w:ind w:left="0"/>
        <w:rPr>
          <w:rFonts w:ascii="Arial" w:hAnsi="Arial" w:cs="Arial"/>
        </w:rPr>
      </w:pPr>
      <w:proofErr w:type="spellStart"/>
      <w:r w:rsidRPr="00CA6899">
        <w:rPr>
          <w:rFonts w:ascii="Arial" w:hAnsi="Arial" w:cs="Arial"/>
        </w:rPr>
        <w:t>Delaneau</w:t>
      </w:r>
      <w:proofErr w:type="spellEnd"/>
      <w:r w:rsidRPr="00CA6899">
        <w:rPr>
          <w:rFonts w:ascii="Arial" w:hAnsi="Arial" w:cs="Arial"/>
        </w:rPr>
        <w:t xml:space="preserve"> O, </w:t>
      </w:r>
      <w:proofErr w:type="spellStart"/>
      <w:r w:rsidRPr="00CA6899">
        <w:rPr>
          <w:rFonts w:ascii="Arial" w:hAnsi="Arial" w:cs="Arial"/>
        </w:rPr>
        <w:t>Marchini</w:t>
      </w:r>
      <w:proofErr w:type="spellEnd"/>
      <w:r w:rsidRPr="00CA6899">
        <w:rPr>
          <w:rFonts w:ascii="Arial" w:hAnsi="Arial" w:cs="Arial"/>
        </w:rPr>
        <w:t xml:space="preserve"> J, </w:t>
      </w:r>
      <w:proofErr w:type="spellStart"/>
      <w:r w:rsidRPr="00CA6899">
        <w:rPr>
          <w:rFonts w:ascii="Arial" w:hAnsi="Arial" w:cs="Arial"/>
        </w:rPr>
        <w:t>Zagury</w:t>
      </w:r>
      <w:proofErr w:type="spellEnd"/>
      <w:r w:rsidRPr="00CA6899">
        <w:rPr>
          <w:rFonts w:ascii="Arial" w:hAnsi="Arial" w:cs="Arial"/>
        </w:rPr>
        <w:t xml:space="preserve"> JF. A linear complexity phasing method for thousands of genomes. Nat M</w:t>
      </w:r>
      <w:r>
        <w:rPr>
          <w:rFonts w:ascii="Arial" w:hAnsi="Arial" w:cs="Arial"/>
        </w:rPr>
        <w:t>ethods. 2011 Dec 4;9(2):179-81.</w:t>
      </w:r>
    </w:p>
    <w:p w:rsidR="00A43CA0" w:rsidRDefault="00A43CA0" w:rsidP="00A43CA0">
      <w:pPr>
        <w:pStyle w:val="ListParagraph"/>
        <w:numPr>
          <w:ilvl w:val="0"/>
          <w:numId w:val="1"/>
        </w:numPr>
        <w:spacing w:after="0" w:line="360" w:lineRule="auto"/>
        <w:ind w:left="0"/>
        <w:rPr>
          <w:rFonts w:ascii="Arial" w:hAnsi="Arial" w:cs="Arial"/>
        </w:rPr>
      </w:pPr>
      <w:r w:rsidRPr="0030714C">
        <w:rPr>
          <w:rFonts w:ascii="Arial" w:hAnsi="Arial" w:cs="Arial"/>
        </w:rPr>
        <w:t xml:space="preserve">B. N. Howie, P. Donnelly, and J. </w:t>
      </w:r>
      <w:proofErr w:type="spellStart"/>
      <w:r w:rsidRPr="0030714C">
        <w:rPr>
          <w:rFonts w:ascii="Arial" w:hAnsi="Arial" w:cs="Arial"/>
        </w:rPr>
        <w:t>Marchini</w:t>
      </w:r>
      <w:proofErr w:type="spellEnd"/>
      <w:r w:rsidRPr="0030714C">
        <w:rPr>
          <w:rFonts w:ascii="Arial" w:hAnsi="Arial" w:cs="Arial"/>
        </w:rPr>
        <w:t xml:space="preserve"> (2009) A flexible and accurate genotype imputation method for the next generation of genome-wide association studies. </w:t>
      </w:r>
      <w:proofErr w:type="spellStart"/>
      <w:r w:rsidRPr="0030714C">
        <w:rPr>
          <w:rFonts w:ascii="Arial" w:hAnsi="Arial" w:cs="Arial"/>
        </w:rPr>
        <w:t>PLoS</w:t>
      </w:r>
      <w:proofErr w:type="spellEnd"/>
      <w:r w:rsidRPr="0030714C">
        <w:rPr>
          <w:rFonts w:ascii="Arial" w:hAnsi="Arial" w:cs="Arial"/>
        </w:rPr>
        <w:t xml:space="preserve"> Genetics 5(6): e1000529</w:t>
      </w:r>
    </w:p>
    <w:p w:rsidR="00A43CA0" w:rsidRPr="0030714C" w:rsidRDefault="00A43CA0" w:rsidP="00A43CA0">
      <w:pPr>
        <w:pStyle w:val="ListParagraph"/>
        <w:numPr>
          <w:ilvl w:val="0"/>
          <w:numId w:val="1"/>
        </w:numPr>
        <w:spacing w:after="0" w:line="360" w:lineRule="auto"/>
        <w:ind w:left="0"/>
        <w:rPr>
          <w:rFonts w:ascii="Arial" w:hAnsi="Arial" w:cs="Arial"/>
        </w:rPr>
      </w:pPr>
      <w:r w:rsidRPr="0030714C">
        <w:rPr>
          <w:rFonts w:ascii="Arial" w:hAnsi="Arial" w:cs="Arial"/>
        </w:rPr>
        <w:t xml:space="preserve">Choi SW, </w:t>
      </w:r>
      <w:proofErr w:type="spellStart"/>
      <w:r w:rsidRPr="0030714C">
        <w:rPr>
          <w:rFonts w:ascii="Arial" w:hAnsi="Arial" w:cs="Arial"/>
        </w:rPr>
        <w:t>Mak</w:t>
      </w:r>
      <w:proofErr w:type="spellEnd"/>
      <w:r w:rsidRPr="0030714C">
        <w:rPr>
          <w:rFonts w:ascii="Arial" w:hAnsi="Arial" w:cs="Arial"/>
        </w:rPr>
        <w:t xml:space="preserve"> TS, O'Reilly PF. Tutorial: a guide to performing polygenic risk score analyses. Nat </w:t>
      </w:r>
      <w:proofErr w:type="spellStart"/>
      <w:r w:rsidRPr="0030714C">
        <w:rPr>
          <w:rFonts w:ascii="Arial" w:hAnsi="Arial" w:cs="Arial"/>
        </w:rPr>
        <w:t>Protoc</w:t>
      </w:r>
      <w:proofErr w:type="spellEnd"/>
      <w:r w:rsidRPr="0030714C">
        <w:rPr>
          <w:rFonts w:ascii="Arial" w:hAnsi="Arial" w:cs="Arial"/>
        </w:rPr>
        <w:t>. Sep 2020;15(9):2759-2772.</w:t>
      </w:r>
      <w:r w:rsidRPr="0030714C">
        <w:rPr>
          <w:rFonts w:ascii="Arial" w:hAnsi="Arial" w:cs="Arial"/>
        </w:rPr>
        <w:br/>
      </w:r>
    </w:p>
    <w:p w:rsidR="00A43CA0" w:rsidRPr="00CA6899" w:rsidRDefault="00A43CA0" w:rsidP="00A43CA0">
      <w:pPr>
        <w:rPr>
          <w:rFonts w:ascii="Arial" w:eastAsia="Times New Roman" w:hAnsi="Arial" w:cs="Arial"/>
          <w:bCs/>
          <w:color w:val="000000"/>
        </w:rPr>
      </w:pPr>
    </w:p>
    <w:p w:rsidR="0084317E" w:rsidRDefault="00A43CA0"/>
    <w:sectPr w:rsidR="0084317E" w:rsidSect="0030714C">
      <w:pgSz w:w="15840" w:h="12240" w:orient="landscape"/>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248A"/>
    <w:multiLevelType w:val="hybridMultilevel"/>
    <w:tmpl w:val="F3F6B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A0"/>
    <w:rsid w:val="002723BC"/>
    <w:rsid w:val="00406988"/>
    <w:rsid w:val="00A4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AD76"/>
  <w15:chartTrackingRefBased/>
  <w15:docId w15:val="{EC1A9D33-8AE8-416F-91C1-42AD477D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Penn Medicine</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Bao-Li</dc:creator>
  <cp:keywords/>
  <dc:description/>
  <cp:lastModifiedBy>Chang, Bao-Li</cp:lastModifiedBy>
  <cp:revision>1</cp:revision>
  <dcterms:created xsi:type="dcterms:W3CDTF">2021-08-09T21:32:00Z</dcterms:created>
  <dcterms:modified xsi:type="dcterms:W3CDTF">2021-08-09T21:42:00Z</dcterms:modified>
</cp:coreProperties>
</file>