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E17F7" w14:textId="77777777" w:rsidR="0079057D" w:rsidRDefault="00CD56BD">
      <w:pPr>
        <w:pStyle w:val="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Supplementary Material</w:t>
      </w:r>
    </w:p>
    <w:p w14:paraId="22CE17F8" w14:textId="77777777" w:rsidR="0079057D" w:rsidRPr="00052119" w:rsidRDefault="00CD56BD">
      <w:pPr>
        <w:pStyle w:val="3"/>
        <w:spacing w:before="0" w:after="120" w:line="275" w:lineRule="auto"/>
        <w:rPr>
          <w:rFonts w:ascii="Google Sans" w:eastAsia="Google Sans" w:hAnsi="Google Sans" w:cs="Google Sans"/>
          <w:color w:val="1B1C1D"/>
          <w:sz w:val="22"/>
          <w:szCs w:val="22"/>
        </w:rPr>
      </w:pPr>
      <w:r w:rsidRPr="00052119">
        <w:rPr>
          <w:rFonts w:ascii="Google Sans" w:eastAsia="Google Sans" w:hAnsi="Google Sans" w:cs="Google Sans"/>
          <w:color w:val="1B1C1D"/>
          <w:sz w:val="22"/>
          <w:szCs w:val="22"/>
        </w:rPr>
        <w:t>Supplementary Table 1: Treatment Efficacy and Outcomes by Lenvatinib Starting Dose (N=33)</w:t>
      </w:r>
    </w:p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79057D" w14:paraId="22CE17FE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7F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Efficacy Endpoint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7FA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Total (N=33)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7F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Lenvatinib &lt;20 mg (n=17)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7F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Lenvatinib 20 mg (n=16)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7F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P-value</w:t>
            </w:r>
          </w:p>
        </w:tc>
      </w:tr>
      <w:tr w:rsidR="0079057D" w14:paraId="22CE1804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7F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Response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Rates, n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(%)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0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1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3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79057D" w14:paraId="22CE180A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Objective Response Rate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6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16 (48.5)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9 (52.9)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7 (43.8)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0.715</w:t>
            </w:r>
          </w:p>
        </w:tc>
      </w:tr>
      <w:tr w:rsidR="0079057D" w14:paraId="22CE1810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     Complete Response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 (9.1)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 (11.8)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E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 (6.3)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0F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16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     Partial Response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2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13 (39.4)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7 (41.2)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6 (37.5)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5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1C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Disease Control Rate¹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29 (87.9)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14 (82.4)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A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15 (93.8)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1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0.344</w:t>
            </w:r>
          </w:p>
        </w:tc>
      </w:tr>
    </w:tbl>
    <w:p w14:paraId="22CE181D" w14:textId="77777777" w:rsidR="0079057D" w:rsidRDefault="00CD56BD">
      <w:pPr>
        <w:pBdr>
          <w:top w:val="nil"/>
          <w:left w:val="nil"/>
          <w:bottom w:val="nil"/>
          <w:right w:val="nil"/>
          <w:between w:val="nil"/>
        </w:pBdr>
        <w:spacing w:before="48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Abbreviations: CI, confidence interval; DCR, disease control rate; NE, not estimable; ORR, objective response rate.</w:t>
      </w:r>
    </w:p>
    <w:p w14:paraId="22CE181E" w14:textId="77777777" w:rsidR="0079057D" w:rsidRDefault="00CD56B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¹Disease control rate includes patients with complete response, partial response, and stable disease.</w:t>
      </w:r>
    </w:p>
    <w:p w14:paraId="22CE181F" w14:textId="77777777" w:rsidR="0079057D" w:rsidRDefault="00CD56B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P-values for response rates were calculated using Fisher's exact test.</w:t>
      </w:r>
    </w:p>
    <w:p w14:paraId="22CE1820" w14:textId="77777777" w:rsidR="0079057D" w:rsidRDefault="0079057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2CE1821" w14:textId="77777777" w:rsidR="0079057D" w:rsidRPr="00475409" w:rsidRDefault="00CD56BD">
      <w:pPr>
        <w:pStyle w:val="3"/>
        <w:spacing w:before="0" w:after="120" w:line="275" w:lineRule="auto"/>
        <w:rPr>
          <w:rFonts w:ascii="Google Sans" w:eastAsia="Google Sans" w:hAnsi="Google Sans" w:cs="Google Sans"/>
          <w:color w:val="1B1C1D"/>
          <w:sz w:val="22"/>
          <w:szCs w:val="22"/>
        </w:rPr>
      </w:pPr>
      <w:r w:rsidRPr="00475409">
        <w:rPr>
          <w:rFonts w:ascii="Google Sans" w:eastAsia="Google Sans" w:hAnsi="Google Sans" w:cs="Google Sans"/>
          <w:color w:val="1B1C1D"/>
          <w:sz w:val="22"/>
          <w:szCs w:val="22"/>
        </w:rPr>
        <w:t>Supplementary Table 2: Univariate Analysis of Prognostic Factors for Progression-Free Survival (N=33)</w:t>
      </w:r>
    </w:p>
    <w:tbl>
      <w:tblPr>
        <w:tblStyle w:val="a6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79057D" w14:paraId="22CE1827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2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Characteristic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Category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Median PFS (months) (95% CI)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6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P-value</w:t>
            </w:r>
          </w:p>
        </w:tc>
      </w:tr>
      <w:tr w:rsidR="0079057D" w14:paraId="22CE182D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Lenvatinib Starting Dose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20 mg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A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16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21.6 (4.9–NE)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0.001</w:t>
            </w:r>
          </w:p>
        </w:tc>
      </w:tr>
      <w:tr w:rsidR="0079057D" w14:paraId="22CE1833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2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&lt;20 mg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17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4.9 (3.0–6.7)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79057D" w14:paraId="22CE1839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8w-RDI of Lenvatinib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≥80%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6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21.6 (4.9–NE)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0.004</w:t>
            </w:r>
          </w:p>
        </w:tc>
      </w:tr>
      <w:tr w:rsidR="0079057D" w14:paraId="22CE183F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&lt;80%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4.9 (3.1–6.7)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3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79057D" w14:paraId="22CE1845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8w-RDI of Lenvatinib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≥50%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2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10.8 (5.3–26.8)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&lt;0.001</w:t>
            </w:r>
          </w:p>
        </w:tc>
      </w:tr>
      <w:tr w:rsidR="0079057D" w14:paraId="22CE184B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&lt;50%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4.3 (1.7–5.3)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79057D" w14:paraId="22CE1851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Age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≥75 years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E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10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4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5.3 (1.3–10.3)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0.087</w:t>
            </w:r>
          </w:p>
        </w:tc>
      </w:tr>
      <w:tr w:rsidR="0079057D" w14:paraId="22CE1857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&lt;75 years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23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9.0 (4.3–21.6)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5D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ECOG PS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≥1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A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16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5.3 (3.2–10.8)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0.557</w:t>
            </w:r>
          </w:p>
        </w:tc>
      </w:tr>
      <w:tr w:rsidR="0079057D" w14:paraId="22CE1863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5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17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9.0 (3.2–26.8)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69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Platinum-Free Interval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≥6 months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6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8.5 (4.3–26.8)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0.312</w:t>
            </w:r>
          </w:p>
        </w:tc>
      </w:tr>
      <w:tr w:rsidR="0079057D" w14:paraId="22CE186F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&lt;6 months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4.9 (3.2–10.8)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6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75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Number of prior regimens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≥2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2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12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5.3 (3.0–NE)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0.399</w:t>
            </w:r>
          </w:p>
        </w:tc>
      </w:tr>
      <w:tr w:rsidR="0079057D" w14:paraId="22CE187B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21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8.0 (4.4–11.7)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81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Bone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E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7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3.8 (1.3–NE)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0.252</w:t>
            </w:r>
          </w:p>
        </w:tc>
      </w:tr>
      <w:tr w:rsidR="0079057D" w14:paraId="22CE1887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8.0 (4.9–10.8)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8D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Lung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A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9.0 (3.0–NE)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0.377</w:t>
            </w:r>
          </w:p>
        </w:tc>
      </w:tr>
      <w:tr w:rsidR="0079057D" w14:paraId="22CE1893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8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6.7 (4.4–10.3)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99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Liver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6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8.0 (3.2–NE)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0.408</w:t>
            </w:r>
          </w:p>
        </w:tc>
      </w:tr>
      <w:tr w:rsidR="0079057D" w14:paraId="22CE189F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30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6.7 (4.4–10.8)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9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A5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Lymph Node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2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9.0 (3.2–21.6)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0.489</w:t>
            </w:r>
          </w:p>
        </w:tc>
      </w:tr>
      <w:tr w:rsidR="0079057D" w14:paraId="22CE18AB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5.3 (3.2–10.8)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B1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Peritoneal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E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A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6.7 (4.4–10.8)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0.844</w:t>
            </w:r>
          </w:p>
        </w:tc>
      </w:tr>
      <w:tr w:rsidR="0079057D" w14:paraId="22CE18B7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9.0 (3.2–11.7)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22CE18B8" w14:textId="77777777" w:rsidR="0079057D" w:rsidRDefault="00CD56B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Abbreviations:</w:t>
      </w:r>
      <w:r>
        <w:rPr>
          <w:rFonts w:ascii="Google Sans Text" w:eastAsia="Google Sans Text" w:hAnsi="Google Sans Text" w:cs="Google Sans Text"/>
          <w:color w:val="1B1C1D"/>
        </w:rPr>
        <w:t xml:space="preserve"> 8w-RDI, 8-week relative dose intensity; CI, confidence interval; ECOG PS, Eastern Cooperative Oncology Group performance status; NE, not estimable; PFS, progression-free survival.</w:t>
      </w:r>
    </w:p>
    <w:p w14:paraId="22CE18B9" w14:textId="77777777" w:rsidR="0079057D" w:rsidRPr="00E86E62" w:rsidRDefault="00CD56BD">
      <w:pPr>
        <w:pStyle w:val="3"/>
        <w:spacing w:before="0" w:after="120" w:line="275" w:lineRule="auto"/>
        <w:rPr>
          <w:rFonts w:ascii="Google Sans" w:eastAsia="Google Sans" w:hAnsi="Google Sans" w:cs="Google Sans"/>
          <w:color w:val="1B1C1D"/>
          <w:sz w:val="22"/>
          <w:szCs w:val="22"/>
        </w:rPr>
      </w:pPr>
      <w:r w:rsidRPr="00E86E62">
        <w:rPr>
          <w:rFonts w:ascii="Google Sans" w:eastAsia="Google Sans" w:hAnsi="Google Sans" w:cs="Google Sans"/>
          <w:color w:val="1B1C1D"/>
          <w:sz w:val="22"/>
          <w:szCs w:val="22"/>
        </w:rPr>
        <w:t>Supplementary Table 3: Univariate Analysis of Prognostic Factors for Overall Survival (N=33)</w:t>
      </w:r>
    </w:p>
    <w:tbl>
      <w:tblPr>
        <w:tblStyle w:val="a7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79057D" w14:paraId="22CE18BF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A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Characteristic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Category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Median OS (months) (95% CI)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BE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P-value</w:t>
            </w:r>
          </w:p>
        </w:tc>
      </w:tr>
      <w:tr w:rsidR="0079057D" w14:paraId="22CE18C5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Peritoneal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2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16.0 (5.3–NE)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0.003</w:t>
            </w:r>
          </w:p>
        </w:tc>
      </w:tr>
      <w:tr w:rsidR="0079057D" w14:paraId="22CE18CB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Not Reached (18.3–NE)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79057D" w14:paraId="22CE18D1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Lung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E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C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19.9 (8.6–21.7)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0.003</w:t>
            </w:r>
          </w:p>
        </w:tc>
      </w:tr>
      <w:tr w:rsidR="0079057D" w14:paraId="22CE18D7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Not Reached (15.3–NE)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79057D" w14:paraId="22CE18DD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Age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≥75 years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A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10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18.3 (3.5–NE)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0.020</w:t>
            </w:r>
          </w:p>
        </w:tc>
      </w:tr>
      <w:tr w:rsidR="0079057D" w14:paraId="22CE18E3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D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&lt;75 years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23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Not Reached (20.1–NE)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79057D" w14:paraId="22CE18E9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ECOG PS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≥1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6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16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Not Reached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(8.6–NE)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0.636</w:t>
            </w:r>
          </w:p>
        </w:tc>
      </w:tr>
      <w:tr w:rsidR="0079057D" w14:paraId="22CE18EF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17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21.7 (16.0–NE)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E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8F5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Lenvatinib Starting Dose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20 mg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2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16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27.4 (16.0–NE)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0.187</w:t>
            </w:r>
          </w:p>
        </w:tc>
      </w:tr>
      <w:tr w:rsidR="0079057D" w14:paraId="22CE18FB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&lt;20 mg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17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19.9 (8.6–NE)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901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8w-RDI of Lenvatinib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≥80%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E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8F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27.4 (16.0–NE)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0.328</w:t>
            </w:r>
          </w:p>
        </w:tc>
      </w:tr>
      <w:tr w:rsidR="0079057D" w14:paraId="22CE1907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&lt;80%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19.9 (15.3–NE)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90D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8w-RDI of Lenvatinib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≥50%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A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21.7 (16.0–NE)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0.732</w:t>
            </w:r>
          </w:p>
        </w:tc>
      </w:tr>
      <w:tr w:rsidR="0079057D" w14:paraId="22CE1913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0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&lt;50%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Not Reached (8.6–NE)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919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Platinum-Free Interval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≥6 months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6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Not Reached (15.3–NE)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0.174</w:t>
            </w:r>
          </w:p>
        </w:tc>
      </w:tr>
      <w:tr w:rsidR="0079057D" w14:paraId="22CE191F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&lt;6 months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20.1 (5.3–NE)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1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925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Lymph Node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2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21.7 (16.0–NE)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0.355</w:t>
            </w:r>
          </w:p>
        </w:tc>
      </w:tr>
      <w:tr w:rsidR="0079057D" w14:paraId="22CE192B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7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20.1 (8.6–NE)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A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931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Liver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D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E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2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18.9 (16.0–NE)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0.435</w:t>
            </w:r>
          </w:p>
        </w:tc>
      </w:tr>
      <w:tr w:rsidR="0079057D" w14:paraId="22CE1937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3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4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30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5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27.4 (18.3–NE)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6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79057D" w14:paraId="22CE193D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8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Bone Metastasis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9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A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B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5.3 (4.9–NE)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C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0.979</w:t>
            </w:r>
          </w:p>
        </w:tc>
      </w:tr>
      <w:tr w:rsidR="0079057D" w14:paraId="22CE1943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E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3F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Absent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40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41" w14:textId="77777777" w:rsidR="0079057D" w:rsidRDefault="00CD5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21.7 (18.3–NE)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E1942" w14:textId="77777777" w:rsidR="0079057D" w:rsidRDefault="00790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47CD59A5" w14:textId="3E21FB6B" w:rsidR="004667EF" w:rsidRPr="004667EF" w:rsidRDefault="00CD56B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hAnsi="Google Sans Text" w:cs="Google Sans Text" w:hint="eastAsia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Abbreviations:</w:t>
      </w:r>
      <w:r>
        <w:rPr>
          <w:rFonts w:ascii="Google Sans Text" w:eastAsia="Google Sans Text" w:hAnsi="Google Sans Text" w:cs="Google Sans Text"/>
          <w:color w:val="1B1C1D"/>
        </w:rPr>
        <w:t xml:space="preserve"> 8w-RDI, 8-week relative dose intensity; CI, confidence interval; ECOG PS, Eastern Cooperative Oncology Group performance status; NE, not estimable; OS, overall </w:t>
      </w:r>
      <w:r>
        <w:rPr>
          <w:rFonts w:ascii="Google Sans Text" w:eastAsia="Google Sans Text" w:hAnsi="Google Sans Text" w:cs="Google Sans Text"/>
          <w:color w:val="1B1C1D"/>
        </w:rPr>
        <w:lastRenderedPageBreak/>
        <w:t>survival.</w:t>
      </w:r>
    </w:p>
    <w:p w14:paraId="22CE1945" w14:textId="77777777" w:rsidR="0079057D" w:rsidRPr="00E86E62" w:rsidRDefault="00CD56BD">
      <w:pPr>
        <w:pStyle w:val="3"/>
        <w:spacing w:before="0" w:after="120" w:line="275" w:lineRule="auto"/>
        <w:rPr>
          <w:rFonts w:ascii="Google Sans" w:eastAsia="Google Sans" w:hAnsi="Google Sans" w:cs="Google Sans"/>
          <w:color w:val="1B1C1D"/>
          <w:sz w:val="36"/>
          <w:szCs w:val="36"/>
        </w:rPr>
      </w:pPr>
      <w:r w:rsidRPr="00E86E62">
        <w:rPr>
          <w:rFonts w:ascii="Google Sans" w:eastAsia="Google Sans" w:hAnsi="Google Sans" w:cs="Google Sans"/>
          <w:color w:val="1B1C1D"/>
          <w:sz w:val="36"/>
          <w:szCs w:val="36"/>
        </w:rPr>
        <w:t>Supplementary Figure 1</w:t>
      </w:r>
    </w:p>
    <w:p w14:paraId="22CE1946" w14:textId="751F3D46" w:rsidR="0079057D" w:rsidRDefault="00CD56B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hAnsi="Google Sans Text" w:cs="Google Sans Text" w:hint="eastAsia"/>
          <w:color w:val="1B1C1D"/>
        </w:rPr>
      </w:pPr>
      <w:r w:rsidRPr="00E86E62">
        <w:rPr>
          <w:rFonts w:ascii="Google Sans Text" w:eastAsia="Google Sans Text" w:hAnsi="Google Sans Text" w:cs="Google Sans Text"/>
          <w:b/>
          <w:color w:val="1B1C1D"/>
        </w:rPr>
        <w:t>Supplementary Fig. 1</w:t>
      </w:r>
      <w:r w:rsidRPr="00E86E62">
        <w:rPr>
          <w:rFonts w:ascii="Google Sans Text" w:eastAsia="Google Sans Text" w:hAnsi="Google Sans Text" w:cs="Google Sans Text"/>
          <w:color w:val="1B1C1D"/>
        </w:rPr>
        <w:t xml:space="preserve"> Kaplan-Meier curves for overall survival, stratified by the presence or absence of peritoneal metastasis. </w:t>
      </w:r>
    </w:p>
    <w:p w14:paraId="6AA833ED" w14:textId="2D0F2C6B" w:rsidR="00414A5E" w:rsidRPr="00414A5E" w:rsidRDefault="00CD56B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hAnsi="Google Sans Text" w:cs="Google Sans Text" w:hint="eastAsia"/>
          <w:color w:val="1B1C1D"/>
        </w:rPr>
      </w:pPr>
      <w:r w:rsidRPr="00CD56BD">
        <w:rPr>
          <w:rFonts w:ascii="Google Sans Text" w:hAnsi="Google Sans Text" w:cs="Google Sans Text"/>
          <w:noProof/>
          <w:color w:val="1B1C1D"/>
        </w:rPr>
        <w:drawing>
          <wp:inline distT="0" distB="0" distL="0" distR="0" wp14:anchorId="030AFF06" wp14:editId="5F0A8C58">
            <wp:extent cx="3274972" cy="3390900"/>
            <wp:effectExtent l="0" t="0" r="1905" b="0"/>
            <wp:docPr id="750285437" name="図 1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85437" name="図 1" descr="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r="2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14" cy="34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4A5E" w:rsidRPr="00414A5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41FBA" w14:textId="77777777" w:rsidR="00AA6205" w:rsidRDefault="00AA6205" w:rsidP="00052119">
      <w:r>
        <w:separator/>
      </w:r>
    </w:p>
  </w:endnote>
  <w:endnote w:type="continuationSeparator" w:id="0">
    <w:p w14:paraId="3CA8BEBC" w14:textId="77777777" w:rsidR="00AA6205" w:rsidRDefault="00AA6205" w:rsidP="00052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631B8C1-9E15-4F1C-81A1-868DC7613033}"/>
    <w:embedItalic r:id="rId2" w:fontKey="{71013360-A1BF-4AEB-BF6A-205DE0967997}"/>
  </w:font>
  <w:font w:name="Google Sans">
    <w:altName w:val="Calibri"/>
    <w:charset w:val="00"/>
    <w:family w:val="auto"/>
    <w:pitch w:val="default"/>
    <w:embedRegular r:id="rId3" w:fontKey="{93F76C84-0AA4-4590-B753-7BDE9BDE54DB}"/>
    <w:embedBold r:id="rId4" w:fontKey="{B9E350AC-EF53-48F0-8C70-8EA15D462C02}"/>
  </w:font>
  <w:font w:name="Google Sans Text">
    <w:altName w:val="Calibri"/>
    <w:charset w:val="00"/>
    <w:family w:val="auto"/>
    <w:pitch w:val="default"/>
    <w:embedRegular r:id="rId5" w:fontKey="{8B830E06-6D61-448F-BF6C-C86FCD1B550D}"/>
    <w:embedBold r:id="rId6" w:fontKey="{0E346F05-051C-4562-8B1E-6D81039BC56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125305C-BFED-48E5-95B6-307FB1AB3E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E57D66-4962-4D9F-8361-C321F69A76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7487A" w14:textId="77777777" w:rsidR="00AA6205" w:rsidRDefault="00AA6205" w:rsidP="00052119">
      <w:r>
        <w:separator/>
      </w:r>
    </w:p>
  </w:footnote>
  <w:footnote w:type="continuationSeparator" w:id="0">
    <w:p w14:paraId="0FC2129F" w14:textId="77777777" w:rsidR="00AA6205" w:rsidRDefault="00AA6205" w:rsidP="000521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57D"/>
    <w:rsid w:val="00052119"/>
    <w:rsid w:val="000C2333"/>
    <w:rsid w:val="003B4845"/>
    <w:rsid w:val="00414A5E"/>
    <w:rsid w:val="004667EF"/>
    <w:rsid w:val="00475409"/>
    <w:rsid w:val="005D3ADD"/>
    <w:rsid w:val="00776F8E"/>
    <w:rsid w:val="0079057D"/>
    <w:rsid w:val="008B3FBE"/>
    <w:rsid w:val="00AA6205"/>
    <w:rsid w:val="00AF5468"/>
    <w:rsid w:val="00B319E4"/>
    <w:rsid w:val="00BD65E0"/>
    <w:rsid w:val="00CD56BD"/>
    <w:rsid w:val="00CF7EF2"/>
    <w:rsid w:val="00E86E62"/>
    <w:rsid w:val="00F86C19"/>
    <w:rsid w:val="00F9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CE17F7"/>
  <w15:docId w15:val="{DECE4907-9693-4858-B260-C4479712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0521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52119"/>
  </w:style>
  <w:style w:type="paragraph" w:styleId="aa">
    <w:name w:val="footer"/>
    <w:basedOn w:val="a"/>
    <w:link w:val="ab"/>
    <w:uiPriority w:val="99"/>
    <w:unhideWhenUsed/>
    <w:rsid w:val="0005211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52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550</Words>
  <Characters>2847</Characters>
  <Application>Microsoft Office Word</Application>
  <DocSecurity>0</DocSecurity>
  <Lines>355</Lines>
  <Paragraphs>261</Paragraphs>
  <ScaleCrop>false</ScaleCrop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Shogen Boku</cp:lastModifiedBy>
  <cp:revision>10</cp:revision>
  <dcterms:created xsi:type="dcterms:W3CDTF">2025-11-05T10:22:00Z</dcterms:created>
  <dcterms:modified xsi:type="dcterms:W3CDTF">2025-11-06T01:07:00Z</dcterms:modified>
</cp:coreProperties>
</file>