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43452" w14:textId="77777777" w:rsidR="007E55B7" w:rsidRPr="00002153" w:rsidRDefault="007E55B7" w:rsidP="007E55B7">
      <w:pPr>
        <w:rPr>
          <w:rFonts w:ascii="Times New Roman" w:hAnsi="Times New Roman"/>
          <w:color w:val="000000" w:themeColor="text1"/>
          <w:sz w:val="22"/>
          <w:szCs w:val="22"/>
        </w:rPr>
      </w:pPr>
    </w:p>
    <w:p w14:paraId="5377FEDC" w14:textId="77777777" w:rsidR="007E55B7" w:rsidRPr="00002153" w:rsidRDefault="007E55B7" w:rsidP="007E55B7">
      <w:pPr>
        <w:jc w:val="center"/>
        <w:rPr>
          <w:rFonts w:ascii="Times New Roman" w:hAnsi="Times New Roman"/>
          <w:color w:val="000000" w:themeColor="text1"/>
          <w:sz w:val="22"/>
          <w:szCs w:val="22"/>
        </w:rPr>
      </w:pPr>
      <w:r>
        <w:rPr>
          <w:rFonts w:ascii="Times New Roman" w:hAnsi="Times New Roman"/>
          <w:noProof/>
          <w:color w:val="000000" w:themeColor="text1"/>
          <w:sz w:val="22"/>
          <w:szCs w:val="22"/>
        </w:rPr>
        <w:drawing>
          <wp:inline distT="0" distB="0" distL="0" distR="0" wp14:anchorId="6CA50213" wp14:editId="114D8206">
            <wp:extent cx="6096000" cy="4152030"/>
            <wp:effectExtent l="0" t="0" r="0" b="1270"/>
            <wp:docPr id="86119653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8969" cy="4181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DBB6D" w14:textId="3D792C4B" w:rsidR="00EB4A2D" w:rsidRDefault="007E55B7" w:rsidP="007E55B7">
      <w:r w:rsidRPr="00002153">
        <w:rPr>
          <w:rFonts w:ascii="Times New Roman" w:hAnsi="Times New Roman" w:hint="eastAsia"/>
          <w:color w:val="000000" w:themeColor="text1"/>
          <w:sz w:val="22"/>
          <w:szCs w:val="22"/>
        </w:rPr>
        <w:t>Fig. S1 The relationship between AIP and 1-year and 5-year  outcomes. A. The relationship between AIP and the incidence of 1-year all-cause death. B. The relationship between AIP and the incidence of 1-year MACCEs. C. The relationship between AIP and the incidence of 5-year all-cause death. D. The relationship between AIP and the incidence of 5-year MACCEs. AIP, atherogenic index of plasma; MACCEs, major adverse cardiovascular and cerebrovascular events.</w:t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5B7"/>
    <w:rsid w:val="005C0D39"/>
    <w:rsid w:val="005D3AFB"/>
    <w:rsid w:val="0070406C"/>
    <w:rsid w:val="00724754"/>
    <w:rsid w:val="007E55B7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A8D48"/>
  <w15:chartTrackingRefBased/>
  <w15:docId w15:val="{65B1A933-42B6-4972-AB18-4F4564D59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5B7"/>
    <w:pPr>
      <w:widowControl w:val="0"/>
      <w:spacing w:after="0" w:line="240" w:lineRule="auto"/>
      <w:jc w:val="both"/>
    </w:pPr>
    <w:rPr>
      <w:rFonts w:ascii="Arial" w:eastAsia="Microsoft YaHei" w:hAnsi="Arial" w:cs="Times New Roman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55B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55B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55B7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55B7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55B7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55B7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55B7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55B7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55B7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55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55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55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55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55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55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55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55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55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55B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55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55B7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55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55B7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55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55B7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55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55B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55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55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399</Characters>
  <Application>Microsoft Office Word</Application>
  <DocSecurity>0</DocSecurity>
  <Lines>6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2025-11-11T14:02:00Z</dcterms:created>
  <dcterms:modified xsi:type="dcterms:W3CDTF">2025-11-11T14:02:00Z</dcterms:modified>
</cp:coreProperties>
</file>