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8682B" w14:textId="77777777" w:rsidR="00487D96" w:rsidRPr="00487D96" w:rsidRDefault="00487D96" w:rsidP="00487D96">
      <w:pPr>
        <w:rPr>
          <w:b/>
          <w:bCs/>
          <w:u w:val="single"/>
          <w:lang w:val="en-US"/>
        </w:rPr>
      </w:pPr>
      <w:r w:rsidRPr="00487D96">
        <w:rPr>
          <w:b/>
          <w:bCs/>
          <w:u w:val="single"/>
          <w:lang w:val="en-US"/>
        </w:rPr>
        <w:t>SUPPLEMENTARY FIGURES</w:t>
      </w:r>
    </w:p>
    <w:p w14:paraId="5D90E89A" w14:textId="77777777" w:rsidR="00487D96" w:rsidRPr="00487D96" w:rsidRDefault="00487D96" w:rsidP="00487D96">
      <w:pPr>
        <w:rPr>
          <w:lang w:val="en-US"/>
        </w:rPr>
      </w:pPr>
      <w:r w:rsidRPr="00487D96">
        <w:rPr>
          <w:b/>
          <w:bCs/>
          <w:lang w:val="en-US"/>
        </w:rPr>
        <w:t xml:space="preserve">Supplementary Table 1. </w:t>
      </w:r>
      <w:r w:rsidRPr="00487D96">
        <w:rPr>
          <w:lang w:val="en-US"/>
        </w:rPr>
        <w:t>Global proteomic profiling of undifferentiated KOLF2.1 iPSCs. Proteins associated with the undifferentiated state are highlighted in blue and shown in the second tab of the excel sheet.</w:t>
      </w:r>
    </w:p>
    <w:p w14:paraId="1B383184" w14:textId="77777777" w:rsidR="00487D96" w:rsidRPr="00487D96" w:rsidRDefault="00487D96" w:rsidP="00487D96">
      <w:pPr>
        <w:rPr>
          <w:lang w:val="en-US"/>
        </w:rPr>
      </w:pPr>
      <w:r w:rsidRPr="00487D96">
        <w:rPr>
          <w:b/>
          <w:bCs/>
          <w:lang w:val="en-US"/>
        </w:rPr>
        <w:t>Supplementary Table 2-7.</w:t>
      </w:r>
      <w:r w:rsidRPr="00487D96">
        <w:rPr>
          <w:lang w:val="en-US"/>
        </w:rPr>
        <w:t xml:space="preserve"> Proteomic analysis of each experimental group is shown, along with proteins identified as differentially expressed.</w:t>
      </w:r>
      <w:r w:rsidRPr="00487D96">
        <w:rPr>
          <w:lang w:val="en-US"/>
        </w:rPr>
        <w:br w:type="page"/>
      </w:r>
    </w:p>
    <w:p w14:paraId="55D066B3" w14:textId="56299B74" w:rsidR="00487D96" w:rsidRPr="00487D96" w:rsidRDefault="00487D96" w:rsidP="00487D96">
      <w:pPr>
        <w:rPr>
          <w:lang w:val="en-US"/>
        </w:rPr>
      </w:pPr>
      <w:r w:rsidRPr="00487D96">
        <w:rPr>
          <w:lang w:val="en-US"/>
        </w:rPr>
        <w:lastRenderedPageBreak/>
        <w:drawing>
          <wp:inline distT="0" distB="0" distL="0" distR="0" wp14:anchorId="19205CDB" wp14:editId="14C3AA58">
            <wp:extent cx="4921250" cy="4984750"/>
            <wp:effectExtent l="0" t="0" r="0" b="6350"/>
            <wp:docPr id="1446704620" name="Picture 4" descr="A close-up of a microsc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704620" name="Picture 4" descr="A close-up of a microsc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40" b="10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1250" cy="498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0C163" w14:textId="77777777" w:rsidR="00487D96" w:rsidRPr="00487D96" w:rsidRDefault="00487D96" w:rsidP="00487D96">
      <w:pPr>
        <w:rPr>
          <w:b/>
          <w:bCs/>
          <w:lang w:val="en-US"/>
        </w:rPr>
      </w:pPr>
      <w:r w:rsidRPr="00487D96">
        <w:rPr>
          <w:b/>
          <w:bCs/>
          <w:lang w:val="en-US"/>
        </w:rPr>
        <w:t xml:space="preserve">Supplementary Figure 1. </w:t>
      </w:r>
      <w:proofErr w:type="spellStart"/>
      <w:r w:rsidRPr="00487D96">
        <w:rPr>
          <w:b/>
          <w:bCs/>
          <w:lang w:val="en-US"/>
        </w:rPr>
        <w:t>hiPSC</w:t>
      </w:r>
      <w:proofErr w:type="spellEnd"/>
      <w:r w:rsidRPr="00487D96">
        <w:rPr>
          <w:b/>
          <w:bCs/>
          <w:lang w:val="en-US"/>
        </w:rPr>
        <w:t xml:space="preserve"> Master Bank characterization. </w:t>
      </w:r>
      <w:r w:rsidRPr="00487D96">
        <w:rPr>
          <w:lang w:val="en-US"/>
        </w:rPr>
        <w:t>(A) PCR amplification of mycoplasma was conducted using the PCR Mycoplasma Test kit (</w:t>
      </w:r>
      <w:proofErr w:type="spellStart"/>
      <w:r w:rsidRPr="00487D96">
        <w:rPr>
          <w:lang w:val="en-US"/>
        </w:rPr>
        <w:t>Mdbioproducts</w:t>
      </w:r>
      <w:proofErr w:type="spellEnd"/>
      <w:r w:rsidRPr="00487D96">
        <w:rPr>
          <w:lang w:val="en-US"/>
        </w:rPr>
        <w:t xml:space="preserve">). PCR products were visualized by gel electrophoresis in 2% agarose with 0.5 </w:t>
      </w:r>
      <w:proofErr w:type="spellStart"/>
      <w:r w:rsidRPr="00487D96">
        <w:rPr>
          <w:lang w:val="en-US"/>
        </w:rPr>
        <w:t>μg</w:t>
      </w:r>
      <w:proofErr w:type="spellEnd"/>
      <w:r w:rsidRPr="00487D96">
        <w:rPr>
          <w:lang w:val="en-US"/>
        </w:rPr>
        <w:t xml:space="preserve">/mL ethidium bromide and run at 125V for 60 mins. Samples were loaded in </w:t>
      </w:r>
      <w:proofErr w:type="gramStart"/>
      <w:r w:rsidRPr="00487D96">
        <w:rPr>
          <w:lang w:val="en-US"/>
        </w:rPr>
        <w:t>duplicate in</w:t>
      </w:r>
      <w:proofErr w:type="gramEnd"/>
      <w:r w:rsidRPr="00487D96">
        <w:rPr>
          <w:lang w:val="en-US"/>
        </w:rPr>
        <w:t xml:space="preserve"> order from left to right: DPBS control, </w:t>
      </w:r>
      <w:proofErr w:type="spellStart"/>
      <w:r w:rsidRPr="00487D96">
        <w:rPr>
          <w:lang w:val="en-US"/>
        </w:rPr>
        <w:t>hiPSC</w:t>
      </w:r>
      <w:proofErr w:type="spellEnd"/>
      <w:r w:rsidRPr="00487D96">
        <w:rPr>
          <w:lang w:val="en-US"/>
        </w:rPr>
        <w:t xml:space="preserve"> supernatant, and positive control, with </w:t>
      </w:r>
      <w:proofErr w:type="spellStart"/>
      <w:r w:rsidRPr="00487D96">
        <w:rPr>
          <w:lang w:val="en-US"/>
        </w:rPr>
        <w:t>GeneRuler</w:t>
      </w:r>
      <w:proofErr w:type="spellEnd"/>
      <w:r w:rsidRPr="00487D96">
        <w:rPr>
          <w:lang w:val="en-US"/>
        </w:rPr>
        <w:t xml:space="preserve"> Low Range DNA Ladder (</w:t>
      </w:r>
      <w:proofErr w:type="spellStart"/>
      <w:r w:rsidRPr="00487D96">
        <w:rPr>
          <w:lang w:val="en-US"/>
        </w:rPr>
        <w:t>Thermo</w:t>
      </w:r>
      <w:proofErr w:type="spellEnd"/>
      <w:r w:rsidRPr="00487D96">
        <w:rPr>
          <w:lang w:val="en-US"/>
        </w:rPr>
        <w:t xml:space="preserve">) loaded on either side. Internal control bands appear at 357 bp and positive results appear at 270 bp. (B) Representative images of </w:t>
      </w:r>
      <w:proofErr w:type="spellStart"/>
      <w:r w:rsidRPr="00487D96">
        <w:rPr>
          <w:lang w:val="en-US"/>
        </w:rPr>
        <w:t>hiPSC</w:t>
      </w:r>
      <w:proofErr w:type="spellEnd"/>
      <w:r w:rsidRPr="00487D96">
        <w:rPr>
          <w:lang w:val="en-US"/>
        </w:rPr>
        <w:t xml:space="preserve"> morphology were taken at 4X and 20X. Scale bar represents 100 </w:t>
      </w:r>
      <w:proofErr w:type="spellStart"/>
      <w:r w:rsidRPr="00487D96">
        <w:rPr>
          <w:lang w:val="en-US"/>
        </w:rPr>
        <w:t>μm</w:t>
      </w:r>
      <w:proofErr w:type="spellEnd"/>
      <w:r w:rsidRPr="00487D96">
        <w:rPr>
          <w:lang w:val="en-US"/>
        </w:rPr>
        <w:t xml:space="preserve">. (C) Karyotype analysis, conducted via the </w:t>
      </w:r>
      <w:proofErr w:type="spellStart"/>
      <w:r w:rsidRPr="00487D96">
        <w:rPr>
          <w:lang w:val="en-US"/>
        </w:rPr>
        <w:t>KaryoStat</w:t>
      </w:r>
      <w:proofErr w:type="spellEnd"/>
      <w:r w:rsidRPr="00487D96">
        <w:rPr>
          <w:lang w:val="en-US"/>
        </w:rPr>
        <w:t>+ assay (</w:t>
      </w:r>
      <w:proofErr w:type="spellStart"/>
      <w:r w:rsidRPr="00487D96">
        <w:rPr>
          <w:lang w:val="en-US"/>
        </w:rPr>
        <w:t>ThermoFisher</w:t>
      </w:r>
      <w:proofErr w:type="spellEnd"/>
      <w:r w:rsidRPr="00487D96">
        <w:rPr>
          <w:lang w:val="en-US"/>
        </w:rPr>
        <w:t>), displays copy number variations across the genome. A gain mutation can be seen on chromosome 3.</w:t>
      </w:r>
      <w:r w:rsidRPr="00487D96">
        <w:rPr>
          <w:lang w:val="en-US"/>
        </w:rPr>
        <w:br w:type="page"/>
      </w:r>
    </w:p>
    <w:p w14:paraId="3307BD12" w14:textId="442CC04E" w:rsidR="00487D96" w:rsidRPr="00487D96" w:rsidRDefault="00487D96" w:rsidP="00487D96">
      <w:pPr>
        <w:rPr>
          <w:lang w:val="en-US"/>
        </w:rPr>
      </w:pPr>
      <w:r w:rsidRPr="00487D96">
        <w:rPr>
          <w:lang w:val="en-US"/>
        </w:rPr>
        <w:lastRenderedPageBreak/>
        <w:drawing>
          <wp:inline distT="0" distB="0" distL="0" distR="0" wp14:anchorId="0996FA2E" wp14:editId="43EBB287">
            <wp:extent cx="5731510" cy="2204720"/>
            <wp:effectExtent l="0" t="0" r="2540" b="5080"/>
            <wp:docPr id="37024967" name="Picture 3" descr="A close-up of a yellow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close-up of a yellow surfac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0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CD0033" w14:textId="4AED27AA" w:rsidR="00767E38" w:rsidRDefault="00487D96" w:rsidP="00487D96">
      <w:r w:rsidRPr="00487D96">
        <w:rPr>
          <w:b/>
          <w:bCs/>
          <w:lang w:val="en-US"/>
        </w:rPr>
        <w:t xml:space="preserve">Supplementary Figure 2. </w:t>
      </w:r>
      <w:proofErr w:type="spellStart"/>
      <w:r w:rsidRPr="00487D96">
        <w:rPr>
          <w:b/>
          <w:bCs/>
          <w:lang w:val="en-US"/>
        </w:rPr>
        <w:t>iMGL</w:t>
      </w:r>
      <w:proofErr w:type="spellEnd"/>
      <w:r w:rsidRPr="00487D96">
        <w:rPr>
          <w:b/>
          <w:bCs/>
          <w:lang w:val="en-US"/>
        </w:rPr>
        <w:t xml:space="preserve"> morphology on </w:t>
      </w:r>
      <w:proofErr w:type="spellStart"/>
      <w:r w:rsidRPr="00487D96">
        <w:rPr>
          <w:b/>
          <w:bCs/>
          <w:lang w:val="en-US"/>
        </w:rPr>
        <w:t>Geltrex</w:t>
      </w:r>
      <w:proofErr w:type="spellEnd"/>
      <w:r w:rsidRPr="00487D96">
        <w:rPr>
          <w:b/>
          <w:bCs/>
          <w:lang w:val="en-US"/>
        </w:rPr>
        <w:t xml:space="preserve"> and Poly-D-Lysine matrices. </w:t>
      </w:r>
      <w:r w:rsidRPr="00487D96">
        <w:rPr>
          <w:lang w:val="en-US"/>
        </w:rPr>
        <w:t xml:space="preserve">Representative photos of </w:t>
      </w:r>
      <w:proofErr w:type="spellStart"/>
      <w:r w:rsidRPr="00487D96">
        <w:rPr>
          <w:lang w:val="en-US"/>
        </w:rPr>
        <w:t>iMGLs</w:t>
      </w:r>
      <w:proofErr w:type="spellEnd"/>
      <w:r w:rsidRPr="00487D96">
        <w:rPr>
          <w:lang w:val="en-US"/>
        </w:rPr>
        <w:t xml:space="preserve"> cultured on </w:t>
      </w:r>
      <w:proofErr w:type="spellStart"/>
      <w:r w:rsidRPr="00487D96">
        <w:rPr>
          <w:lang w:val="en-US"/>
        </w:rPr>
        <w:t>Geltrex</w:t>
      </w:r>
      <w:proofErr w:type="spellEnd"/>
      <w:r w:rsidRPr="00487D96">
        <w:rPr>
          <w:lang w:val="en-US"/>
        </w:rPr>
        <w:t xml:space="preserve"> and Poly-D-Lysine within a 6-well plate. Morphology of the cells appear altered depending on the chosen matrix. Cells cultured on </w:t>
      </w:r>
      <w:proofErr w:type="spellStart"/>
      <w:r w:rsidRPr="00487D96">
        <w:rPr>
          <w:lang w:val="en-US"/>
        </w:rPr>
        <w:t>Geltrex</w:t>
      </w:r>
      <w:proofErr w:type="spellEnd"/>
      <w:r w:rsidRPr="00487D96">
        <w:rPr>
          <w:lang w:val="en-US"/>
        </w:rPr>
        <w:t xml:space="preserve"> were loosely adherent and appeared round with short cellular processes, while cells on Poly-D-Lysine were strongly adherent and appeared more ramified. Photos were taken at 20X on a </w:t>
      </w:r>
      <w:proofErr w:type="spellStart"/>
      <w:r w:rsidRPr="00487D96">
        <w:rPr>
          <w:lang w:val="en-US"/>
        </w:rPr>
        <w:t>Moticam</w:t>
      </w:r>
      <w:proofErr w:type="spellEnd"/>
      <w:r w:rsidRPr="00487D96">
        <w:rPr>
          <w:lang w:val="en-US"/>
        </w:rPr>
        <w:t xml:space="preserve"> Microscope camera. Scale bars represent 100 </w:t>
      </w:r>
      <w:proofErr w:type="spellStart"/>
      <w:r w:rsidRPr="00487D96">
        <w:rPr>
          <w:lang w:val="en-US"/>
        </w:rPr>
        <w:t>μm</w:t>
      </w:r>
      <w:proofErr w:type="spellEnd"/>
      <w:r w:rsidRPr="00487D96">
        <w:rPr>
          <w:lang w:val="en-US"/>
        </w:rPr>
        <w:t>.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96"/>
    <w:rsid w:val="00487D96"/>
    <w:rsid w:val="00767B3E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C097C"/>
  <w15:chartTrackingRefBased/>
  <w15:docId w15:val="{721A35C6-66A3-4B5D-8BD4-9D33CE0FB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D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D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D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D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D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D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D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D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D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D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D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D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D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D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D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D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D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D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D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D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D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7D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D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D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D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D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D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D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D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2025-11-17T12:35:00Z</dcterms:created>
  <dcterms:modified xsi:type="dcterms:W3CDTF">2025-11-17T12:35:00Z</dcterms:modified>
</cp:coreProperties>
</file>