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74E33" w14:textId="77777777" w:rsidR="00FB5883" w:rsidRPr="00FB5883" w:rsidRDefault="00FB5883" w:rsidP="00FB5883">
      <w:pPr>
        <w:pBdr>
          <w:top w:val="nil"/>
          <w:left w:val="nil"/>
          <w:bottom w:val="nil"/>
          <w:right w:val="nil"/>
          <w:between w:val="nil"/>
        </w:pBdr>
        <w:spacing w:after="240" w:line="240" w:lineRule="auto"/>
        <w:ind w:left="504" w:hanging="504"/>
        <w:rPr>
          <w:rFonts w:ascii="Times New Roman" w:eastAsia="Times New Roman" w:hAnsi="Times New Roman" w:cs="Times New Roman"/>
          <w:b/>
          <w:sz w:val="28"/>
          <w:szCs w:val="28"/>
        </w:rPr>
      </w:pPr>
      <w:r w:rsidRPr="00FB5883">
        <w:rPr>
          <w:rFonts w:ascii="Times New Roman" w:eastAsia="Times New Roman" w:hAnsi="Times New Roman" w:cs="Times New Roman"/>
          <w:b/>
          <w:sz w:val="28"/>
          <w:szCs w:val="28"/>
        </w:rPr>
        <w:t>Supplementary Tables and Figures</w:t>
      </w:r>
    </w:p>
    <w:p w14:paraId="71000392" w14:textId="77777777" w:rsidR="00FB5883" w:rsidRPr="00AF5F53" w:rsidRDefault="00FB5883" w:rsidP="00FB5883">
      <w:pPr>
        <w:pBdr>
          <w:top w:val="nil"/>
          <w:left w:val="nil"/>
          <w:bottom w:val="nil"/>
          <w:right w:val="nil"/>
          <w:between w:val="nil"/>
        </w:pBdr>
        <w:spacing w:after="240" w:line="240" w:lineRule="auto"/>
        <w:ind w:left="504" w:hanging="504"/>
        <w:rPr>
          <w:rFonts w:ascii="Times New Roman" w:eastAsia="Times New Roman" w:hAnsi="Times New Roman" w:cs="Times New Roman"/>
          <w:sz w:val="24"/>
          <w:szCs w:val="24"/>
        </w:rPr>
      </w:pPr>
    </w:p>
    <w:p w14:paraId="17E927BF" w14:textId="5CA4CAAC" w:rsidR="00FB5883" w:rsidRPr="00FB5883" w:rsidRDefault="00FB5883" w:rsidP="00FB5883">
      <w:pPr>
        <w:spacing w:line="240" w:lineRule="auto"/>
        <w:rPr>
          <w:rFonts w:ascii="Times New Roman" w:eastAsia="Times New Roman" w:hAnsi="Times New Roman" w:cs="Times New Roman"/>
          <w:b/>
          <w:sz w:val="24"/>
          <w:szCs w:val="24"/>
        </w:rPr>
      </w:pPr>
      <w:r w:rsidRPr="00AF5F53">
        <w:rPr>
          <w:rFonts w:ascii="Times New Roman" w:eastAsia="Times New Roman" w:hAnsi="Times New Roman" w:cs="Times New Roman"/>
          <w:b/>
          <w:sz w:val="24"/>
          <w:szCs w:val="24"/>
        </w:rPr>
        <w:t>Table S1. Comparison of White Matter Diffusion Metrics in the Contralateral Hemisphere</w:t>
      </w:r>
    </w:p>
    <w:p w14:paraId="66A67AF0" w14:textId="77777777" w:rsidR="00FB5883" w:rsidRPr="00AF5F53" w:rsidRDefault="00FB5883" w:rsidP="00FB5883">
      <w:pPr>
        <w:spacing w:line="240" w:lineRule="auto"/>
        <w:rPr>
          <w:rFonts w:ascii="Times New Roman" w:eastAsia="Times New Roman" w:hAnsi="Times New Roman" w:cs="Times New Roman"/>
          <w:sz w:val="24"/>
          <w:szCs w:val="24"/>
        </w:rPr>
      </w:pPr>
    </w:p>
    <w:tbl>
      <w:tblPr>
        <w:tblW w:w="9160" w:type="dxa"/>
        <w:tblLook w:val="04A0" w:firstRow="1" w:lastRow="0" w:firstColumn="1" w:lastColumn="0" w:noHBand="0" w:noVBand="1"/>
      </w:tblPr>
      <w:tblGrid>
        <w:gridCol w:w="1480"/>
        <w:gridCol w:w="1720"/>
        <w:gridCol w:w="1720"/>
        <w:gridCol w:w="1960"/>
        <w:gridCol w:w="1140"/>
        <w:gridCol w:w="1140"/>
      </w:tblGrid>
      <w:tr w:rsidR="00FB5883" w:rsidRPr="00DD632B" w14:paraId="0DFED3D6" w14:textId="77777777" w:rsidTr="005D2AB9">
        <w:trPr>
          <w:trHeight w:val="560"/>
        </w:trPr>
        <w:tc>
          <w:tcPr>
            <w:tcW w:w="1480" w:type="dxa"/>
            <w:tcBorders>
              <w:top w:val="nil"/>
              <w:left w:val="nil"/>
              <w:bottom w:val="single" w:sz="4" w:space="0" w:color="auto"/>
              <w:right w:val="nil"/>
            </w:tcBorders>
            <w:noWrap/>
            <w:vAlign w:val="center"/>
            <w:hideMark/>
          </w:tcPr>
          <w:p w14:paraId="1BC73E01"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lang w:val="en-US"/>
              </w:rPr>
              <w:t>Tract measure</w:t>
            </w:r>
          </w:p>
        </w:tc>
        <w:tc>
          <w:tcPr>
            <w:tcW w:w="1720" w:type="dxa"/>
            <w:tcBorders>
              <w:top w:val="nil"/>
              <w:left w:val="nil"/>
              <w:bottom w:val="single" w:sz="4" w:space="0" w:color="auto"/>
              <w:right w:val="nil"/>
            </w:tcBorders>
            <w:vAlign w:val="center"/>
            <w:hideMark/>
          </w:tcPr>
          <w:p w14:paraId="45A266A8"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lang w:val="en-US"/>
              </w:rPr>
              <w:t>Glioblastoma,</w:t>
            </w:r>
            <w:r w:rsidRPr="00DD632B">
              <w:rPr>
                <w:rFonts w:ascii="Times New Roman" w:eastAsia="Times New Roman" w:hAnsi="Times New Roman" w:cs="Times New Roman"/>
                <w:b/>
                <w:bCs/>
                <w:color w:val="000000"/>
                <w:sz w:val="20"/>
                <w:szCs w:val="20"/>
                <w:lang w:val="en-US"/>
              </w:rPr>
              <w:br/>
              <w:t>mean ± SD</w:t>
            </w:r>
          </w:p>
        </w:tc>
        <w:tc>
          <w:tcPr>
            <w:tcW w:w="1720" w:type="dxa"/>
            <w:tcBorders>
              <w:top w:val="nil"/>
              <w:left w:val="nil"/>
              <w:bottom w:val="single" w:sz="4" w:space="0" w:color="auto"/>
              <w:right w:val="nil"/>
            </w:tcBorders>
            <w:vAlign w:val="center"/>
            <w:hideMark/>
          </w:tcPr>
          <w:p w14:paraId="02492103"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lang w:val="en-US"/>
              </w:rPr>
              <w:t>Astrocytoma,</w:t>
            </w:r>
            <w:r w:rsidRPr="00DD632B">
              <w:rPr>
                <w:rFonts w:ascii="Times New Roman" w:eastAsia="Times New Roman" w:hAnsi="Times New Roman" w:cs="Times New Roman"/>
                <w:b/>
                <w:bCs/>
                <w:color w:val="000000"/>
                <w:sz w:val="20"/>
                <w:szCs w:val="20"/>
                <w:lang w:val="en-US"/>
              </w:rPr>
              <w:br/>
              <w:t>mean ± SD</w:t>
            </w:r>
          </w:p>
        </w:tc>
        <w:tc>
          <w:tcPr>
            <w:tcW w:w="1960" w:type="dxa"/>
            <w:tcBorders>
              <w:top w:val="nil"/>
              <w:left w:val="nil"/>
              <w:bottom w:val="single" w:sz="4" w:space="0" w:color="auto"/>
              <w:right w:val="nil"/>
            </w:tcBorders>
            <w:vAlign w:val="center"/>
            <w:hideMark/>
          </w:tcPr>
          <w:p w14:paraId="4A842BBC"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lang w:val="en-US"/>
              </w:rPr>
              <w:t>Oligodendroglioma,</w:t>
            </w:r>
            <w:r w:rsidRPr="00DD632B">
              <w:rPr>
                <w:rFonts w:ascii="Times New Roman" w:eastAsia="Times New Roman" w:hAnsi="Times New Roman" w:cs="Times New Roman"/>
                <w:b/>
                <w:bCs/>
                <w:color w:val="000000"/>
                <w:sz w:val="20"/>
                <w:szCs w:val="20"/>
                <w:lang w:val="en-US"/>
              </w:rPr>
              <w:br/>
              <w:t>mean ± SD</w:t>
            </w:r>
          </w:p>
        </w:tc>
        <w:tc>
          <w:tcPr>
            <w:tcW w:w="1140" w:type="dxa"/>
            <w:tcBorders>
              <w:top w:val="nil"/>
              <w:left w:val="nil"/>
              <w:bottom w:val="single" w:sz="4" w:space="0" w:color="auto"/>
              <w:right w:val="nil"/>
            </w:tcBorders>
            <w:vAlign w:val="center"/>
            <w:hideMark/>
          </w:tcPr>
          <w:p w14:paraId="4B8E9541"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lang w:val="en-US"/>
              </w:rPr>
              <w:t>p-value</w:t>
            </w:r>
          </w:p>
        </w:tc>
        <w:tc>
          <w:tcPr>
            <w:tcW w:w="1140" w:type="dxa"/>
            <w:tcBorders>
              <w:top w:val="nil"/>
              <w:left w:val="nil"/>
              <w:bottom w:val="single" w:sz="4" w:space="0" w:color="auto"/>
              <w:right w:val="nil"/>
            </w:tcBorders>
            <w:vAlign w:val="center"/>
            <w:hideMark/>
          </w:tcPr>
          <w:p w14:paraId="3800B3CF"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lang w:val="en-US"/>
              </w:rPr>
              <w:t>q-value</w:t>
            </w:r>
          </w:p>
        </w:tc>
      </w:tr>
      <w:tr w:rsidR="00FB5883" w:rsidRPr="00DD632B" w14:paraId="07F4FDEA" w14:textId="77777777" w:rsidTr="005D2AB9">
        <w:trPr>
          <w:trHeight w:val="260"/>
        </w:trPr>
        <w:tc>
          <w:tcPr>
            <w:tcW w:w="1480" w:type="dxa"/>
            <w:tcBorders>
              <w:top w:val="nil"/>
              <w:left w:val="nil"/>
              <w:bottom w:val="single" w:sz="4" w:space="0" w:color="BFBFBF"/>
              <w:right w:val="nil"/>
            </w:tcBorders>
            <w:noWrap/>
            <w:vAlign w:val="center"/>
            <w:hideMark/>
          </w:tcPr>
          <w:p w14:paraId="04115EBC" w14:textId="77777777" w:rsidR="00FB5883" w:rsidRPr="00DD632B" w:rsidRDefault="00FB5883" w:rsidP="005D2AB9">
            <w:pPr>
              <w:spacing w:line="240" w:lineRule="auto"/>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Beltrami-FA</w:t>
            </w:r>
          </w:p>
        </w:tc>
        <w:tc>
          <w:tcPr>
            <w:tcW w:w="1720" w:type="dxa"/>
            <w:tcBorders>
              <w:top w:val="nil"/>
              <w:left w:val="nil"/>
              <w:bottom w:val="single" w:sz="4" w:space="0" w:color="BFBFBF"/>
              <w:right w:val="nil"/>
            </w:tcBorders>
            <w:noWrap/>
            <w:vAlign w:val="center"/>
            <w:hideMark/>
          </w:tcPr>
          <w:p w14:paraId="296C094C"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0.42 ± 0.02</w:t>
            </w:r>
          </w:p>
        </w:tc>
        <w:tc>
          <w:tcPr>
            <w:tcW w:w="1720" w:type="dxa"/>
            <w:tcBorders>
              <w:top w:val="nil"/>
              <w:left w:val="nil"/>
              <w:bottom w:val="single" w:sz="4" w:space="0" w:color="BFBFBF"/>
              <w:right w:val="nil"/>
            </w:tcBorders>
            <w:noWrap/>
            <w:vAlign w:val="center"/>
            <w:hideMark/>
          </w:tcPr>
          <w:p w14:paraId="30AD6886"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0.43 ± 0.02</w:t>
            </w:r>
          </w:p>
        </w:tc>
        <w:tc>
          <w:tcPr>
            <w:tcW w:w="1960" w:type="dxa"/>
            <w:tcBorders>
              <w:top w:val="nil"/>
              <w:left w:val="nil"/>
              <w:bottom w:val="single" w:sz="4" w:space="0" w:color="BFBFBF"/>
              <w:right w:val="nil"/>
            </w:tcBorders>
            <w:noWrap/>
            <w:vAlign w:val="center"/>
            <w:hideMark/>
          </w:tcPr>
          <w:p w14:paraId="078FB433"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0.42 ± 0.02</w:t>
            </w:r>
          </w:p>
        </w:tc>
        <w:tc>
          <w:tcPr>
            <w:tcW w:w="1140" w:type="dxa"/>
            <w:tcBorders>
              <w:top w:val="nil"/>
              <w:left w:val="nil"/>
              <w:bottom w:val="single" w:sz="4" w:space="0" w:color="BFBFBF"/>
              <w:right w:val="nil"/>
            </w:tcBorders>
            <w:noWrap/>
            <w:vAlign w:val="center"/>
            <w:hideMark/>
          </w:tcPr>
          <w:p w14:paraId="2F00C200"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0.07</w:t>
            </w:r>
          </w:p>
        </w:tc>
        <w:tc>
          <w:tcPr>
            <w:tcW w:w="1140" w:type="dxa"/>
            <w:tcBorders>
              <w:top w:val="nil"/>
              <w:left w:val="nil"/>
              <w:bottom w:val="single" w:sz="4" w:space="0" w:color="BFBFBF"/>
              <w:right w:val="nil"/>
            </w:tcBorders>
            <w:noWrap/>
            <w:vAlign w:val="center"/>
            <w:hideMark/>
          </w:tcPr>
          <w:p w14:paraId="4B1F39B0"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0.21</w:t>
            </w:r>
          </w:p>
        </w:tc>
      </w:tr>
      <w:tr w:rsidR="00FB5883" w:rsidRPr="00DD632B" w14:paraId="13959F33" w14:textId="77777777" w:rsidTr="005D2AB9">
        <w:trPr>
          <w:trHeight w:val="260"/>
        </w:trPr>
        <w:tc>
          <w:tcPr>
            <w:tcW w:w="1480" w:type="dxa"/>
            <w:tcBorders>
              <w:top w:val="nil"/>
              <w:left w:val="nil"/>
              <w:bottom w:val="single" w:sz="4" w:space="0" w:color="BFBFBF"/>
              <w:right w:val="nil"/>
            </w:tcBorders>
            <w:noWrap/>
            <w:vAlign w:val="center"/>
            <w:hideMark/>
          </w:tcPr>
          <w:p w14:paraId="5CBDBFD7" w14:textId="77777777" w:rsidR="00FB5883" w:rsidRPr="00DD632B" w:rsidRDefault="00FB5883" w:rsidP="005D2AB9">
            <w:pPr>
              <w:spacing w:line="240" w:lineRule="auto"/>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Beltrami-MD</w:t>
            </w:r>
          </w:p>
        </w:tc>
        <w:tc>
          <w:tcPr>
            <w:tcW w:w="1720" w:type="dxa"/>
            <w:tcBorders>
              <w:top w:val="nil"/>
              <w:left w:val="nil"/>
              <w:bottom w:val="single" w:sz="4" w:space="0" w:color="BFBFBF"/>
              <w:right w:val="nil"/>
            </w:tcBorders>
            <w:noWrap/>
            <w:vAlign w:val="center"/>
            <w:hideMark/>
          </w:tcPr>
          <w:p w14:paraId="76758008"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0.00060 ± 0.00001</w:t>
            </w:r>
          </w:p>
        </w:tc>
        <w:tc>
          <w:tcPr>
            <w:tcW w:w="1720" w:type="dxa"/>
            <w:tcBorders>
              <w:top w:val="nil"/>
              <w:left w:val="nil"/>
              <w:bottom w:val="single" w:sz="4" w:space="0" w:color="BFBFBF"/>
              <w:right w:val="nil"/>
            </w:tcBorders>
            <w:noWrap/>
            <w:vAlign w:val="center"/>
            <w:hideMark/>
          </w:tcPr>
          <w:p w14:paraId="14BDA673"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0.00059 ± 0.00001</w:t>
            </w:r>
          </w:p>
        </w:tc>
        <w:tc>
          <w:tcPr>
            <w:tcW w:w="1960" w:type="dxa"/>
            <w:tcBorders>
              <w:top w:val="nil"/>
              <w:left w:val="nil"/>
              <w:bottom w:val="single" w:sz="4" w:space="0" w:color="BFBFBF"/>
              <w:right w:val="nil"/>
            </w:tcBorders>
            <w:noWrap/>
            <w:vAlign w:val="center"/>
            <w:hideMark/>
          </w:tcPr>
          <w:p w14:paraId="4AA740B3"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0.00060 ± 0.00001</w:t>
            </w:r>
          </w:p>
        </w:tc>
        <w:tc>
          <w:tcPr>
            <w:tcW w:w="1140" w:type="dxa"/>
            <w:tcBorders>
              <w:top w:val="nil"/>
              <w:left w:val="nil"/>
              <w:bottom w:val="single" w:sz="4" w:space="0" w:color="BFBFBF"/>
              <w:right w:val="nil"/>
            </w:tcBorders>
            <w:noWrap/>
            <w:vAlign w:val="center"/>
            <w:hideMark/>
          </w:tcPr>
          <w:p w14:paraId="0D69F257"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0.44</w:t>
            </w:r>
          </w:p>
        </w:tc>
        <w:tc>
          <w:tcPr>
            <w:tcW w:w="1140" w:type="dxa"/>
            <w:tcBorders>
              <w:top w:val="nil"/>
              <w:left w:val="nil"/>
              <w:bottom w:val="single" w:sz="4" w:space="0" w:color="BFBFBF"/>
              <w:right w:val="nil"/>
            </w:tcBorders>
            <w:noWrap/>
            <w:vAlign w:val="center"/>
            <w:hideMark/>
          </w:tcPr>
          <w:p w14:paraId="3482A8E1"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0.49</w:t>
            </w:r>
          </w:p>
        </w:tc>
      </w:tr>
      <w:tr w:rsidR="00FB5883" w:rsidRPr="00DD632B" w14:paraId="1E7E6BFC" w14:textId="77777777" w:rsidTr="005D2AB9">
        <w:trPr>
          <w:trHeight w:val="260"/>
        </w:trPr>
        <w:tc>
          <w:tcPr>
            <w:tcW w:w="1480" w:type="dxa"/>
            <w:tcBorders>
              <w:top w:val="nil"/>
              <w:left w:val="nil"/>
              <w:bottom w:val="single" w:sz="4" w:space="0" w:color="BFBFBF"/>
              <w:right w:val="nil"/>
            </w:tcBorders>
            <w:noWrap/>
            <w:vAlign w:val="center"/>
            <w:hideMark/>
          </w:tcPr>
          <w:p w14:paraId="6E092ABC" w14:textId="77777777" w:rsidR="00FB5883" w:rsidRPr="00DD632B" w:rsidRDefault="00FB5883" w:rsidP="005D2AB9">
            <w:pPr>
              <w:spacing w:line="240" w:lineRule="auto"/>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Beltrami-FWF</w:t>
            </w:r>
          </w:p>
        </w:tc>
        <w:tc>
          <w:tcPr>
            <w:tcW w:w="1720" w:type="dxa"/>
            <w:tcBorders>
              <w:top w:val="nil"/>
              <w:left w:val="nil"/>
              <w:bottom w:val="single" w:sz="4" w:space="0" w:color="BFBFBF"/>
              <w:right w:val="nil"/>
            </w:tcBorders>
            <w:noWrap/>
            <w:vAlign w:val="center"/>
            <w:hideMark/>
          </w:tcPr>
          <w:p w14:paraId="70B96BE0"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0.21 ± 0.06</w:t>
            </w:r>
          </w:p>
        </w:tc>
        <w:tc>
          <w:tcPr>
            <w:tcW w:w="1720" w:type="dxa"/>
            <w:tcBorders>
              <w:top w:val="nil"/>
              <w:left w:val="nil"/>
              <w:bottom w:val="single" w:sz="4" w:space="0" w:color="BFBFBF"/>
              <w:right w:val="nil"/>
            </w:tcBorders>
            <w:noWrap/>
            <w:vAlign w:val="center"/>
            <w:hideMark/>
          </w:tcPr>
          <w:p w14:paraId="146C5AB4"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0.18 ± 0.04</w:t>
            </w:r>
          </w:p>
        </w:tc>
        <w:tc>
          <w:tcPr>
            <w:tcW w:w="1960" w:type="dxa"/>
            <w:tcBorders>
              <w:top w:val="nil"/>
              <w:left w:val="nil"/>
              <w:bottom w:val="single" w:sz="4" w:space="0" w:color="BFBFBF"/>
              <w:right w:val="nil"/>
            </w:tcBorders>
            <w:noWrap/>
            <w:vAlign w:val="center"/>
            <w:hideMark/>
          </w:tcPr>
          <w:p w14:paraId="1BE05547"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0.18 ± 0.02</w:t>
            </w:r>
          </w:p>
        </w:tc>
        <w:tc>
          <w:tcPr>
            <w:tcW w:w="1140" w:type="dxa"/>
            <w:tcBorders>
              <w:top w:val="nil"/>
              <w:left w:val="nil"/>
              <w:bottom w:val="single" w:sz="4" w:space="0" w:color="BFBFBF"/>
              <w:right w:val="nil"/>
            </w:tcBorders>
            <w:noWrap/>
            <w:vAlign w:val="center"/>
            <w:hideMark/>
          </w:tcPr>
          <w:p w14:paraId="08344CE1"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0.49</w:t>
            </w:r>
          </w:p>
        </w:tc>
        <w:tc>
          <w:tcPr>
            <w:tcW w:w="1140" w:type="dxa"/>
            <w:tcBorders>
              <w:top w:val="nil"/>
              <w:left w:val="nil"/>
              <w:bottom w:val="single" w:sz="4" w:space="0" w:color="BFBFBF"/>
              <w:right w:val="nil"/>
            </w:tcBorders>
            <w:noWrap/>
            <w:vAlign w:val="center"/>
            <w:hideMark/>
          </w:tcPr>
          <w:p w14:paraId="5975FD2C"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lang w:val="en-US"/>
              </w:rPr>
              <w:t>0.49</w:t>
            </w:r>
          </w:p>
        </w:tc>
      </w:tr>
    </w:tbl>
    <w:p w14:paraId="730164B5" w14:textId="77777777" w:rsidR="00FB5883" w:rsidRPr="00AF5F53" w:rsidRDefault="00FB5883" w:rsidP="00FB5883">
      <w:pPr>
        <w:spacing w:line="240" w:lineRule="auto"/>
        <w:rPr>
          <w:rFonts w:ascii="Times New Roman" w:eastAsia="Times New Roman" w:hAnsi="Times New Roman" w:cs="Times New Roman"/>
          <w:sz w:val="24"/>
          <w:szCs w:val="24"/>
        </w:rPr>
      </w:pPr>
    </w:p>
    <w:p w14:paraId="17815C82" w14:textId="77777777" w:rsidR="00FB5883" w:rsidRPr="00AF5F53" w:rsidRDefault="00FB5883" w:rsidP="00FB5883">
      <w:pPr>
        <w:spacing w:line="240" w:lineRule="auto"/>
        <w:rPr>
          <w:rFonts w:ascii="Times New Roman" w:eastAsia="Times New Roman" w:hAnsi="Times New Roman" w:cs="Times New Roman"/>
          <w:b/>
          <w:sz w:val="24"/>
          <w:szCs w:val="24"/>
        </w:rPr>
      </w:pPr>
    </w:p>
    <w:p w14:paraId="58C69827" w14:textId="77777777" w:rsidR="00FB5883" w:rsidRPr="00AF5F53" w:rsidRDefault="00FB5883" w:rsidP="00FB5883">
      <w:pPr>
        <w:spacing w:line="480" w:lineRule="auto"/>
        <w:rPr>
          <w:rFonts w:ascii="Times New Roman" w:eastAsia="Times New Roman" w:hAnsi="Times New Roman" w:cs="Times New Roman"/>
          <w:sz w:val="24"/>
          <w:szCs w:val="24"/>
        </w:rPr>
      </w:pPr>
      <w:r w:rsidRPr="00AF5F53">
        <w:rPr>
          <w:rFonts w:ascii="Times New Roman" w:eastAsia="Times New Roman" w:hAnsi="Times New Roman" w:cs="Times New Roman"/>
          <w:b/>
          <w:sz w:val="24"/>
          <w:szCs w:val="24"/>
        </w:rPr>
        <w:t>Abbreviations:</w:t>
      </w:r>
      <w:r w:rsidRPr="00AF5F53">
        <w:rPr>
          <w:rFonts w:ascii="Times New Roman" w:eastAsia="Times New Roman" w:hAnsi="Times New Roman" w:cs="Times New Roman"/>
          <w:sz w:val="24"/>
          <w:szCs w:val="24"/>
        </w:rPr>
        <w:t xml:space="preserve"> FA, fractional anisotropy. FW, free water. FWF, free water fraction. MD, mean diffusivity. SD, standard deviation.</w:t>
      </w:r>
    </w:p>
    <w:p w14:paraId="55C80175" w14:textId="77777777" w:rsidR="00FB5883" w:rsidRPr="00AF5F53" w:rsidRDefault="00FB5883" w:rsidP="00FB5883">
      <w:pPr>
        <w:pBdr>
          <w:top w:val="nil"/>
          <w:left w:val="nil"/>
          <w:bottom w:val="nil"/>
          <w:right w:val="nil"/>
          <w:between w:val="nil"/>
        </w:pBdr>
        <w:spacing w:after="240" w:line="240" w:lineRule="auto"/>
        <w:rPr>
          <w:rFonts w:ascii="Times New Roman" w:eastAsia="Times New Roman" w:hAnsi="Times New Roman" w:cs="Times New Roman"/>
          <w:sz w:val="24"/>
          <w:szCs w:val="24"/>
        </w:rPr>
      </w:pPr>
    </w:p>
    <w:p w14:paraId="1CFFC875" w14:textId="77777777" w:rsidR="00FB5883" w:rsidRPr="00AF5F53" w:rsidRDefault="00FB5883" w:rsidP="00FB5883">
      <w:pPr>
        <w:pBdr>
          <w:top w:val="nil"/>
          <w:left w:val="nil"/>
          <w:bottom w:val="nil"/>
          <w:right w:val="nil"/>
          <w:between w:val="nil"/>
        </w:pBdr>
        <w:spacing w:line="240" w:lineRule="auto"/>
        <w:rPr>
          <w:rFonts w:ascii="Times New Roman" w:eastAsia="Times New Roman" w:hAnsi="Times New Roman" w:cs="Times New Roman"/>
          <w:b/>
          <w:sz w:val="24"/>
          <w:szCs w:val="24"/>
        </w:rPr>
      </w:pPr>
      <w:r w:rsidRPr="00AF5F53">
        <w:rPr>
          <w:rFonts w:ascii="Times New Roman" w:eastAsia="Times New Roman" w:hAnsi="Times New Roman" w:cs="Times New Roman"/>
          <w:b/>
          <w:sz w:val="24"/>
          <w:szCs w:val="24"/>
        </w:rPr>
        <w:t>Table S2. Comparison of Whole-Tract Hemispheric Asymmetry of White Matter Diffusion Metrics</w:t>
      </w:r>
    </w:p>
    <w:p w14:paraId="1BB9FEA8" w14:textId="77777777" w:rsidR="00FB5883" w:rsidRPr="00AF5F53" w:rsidRDefault="00FB5883" w:rsidP="00FB5883">
      <w:pPr>
        <w:pBdr>
          <w:top w:val="nil"/>
          <w:left w:val="nil"/>
          <w:bottom w:val="nil"/>
          <w:right w:val="nil"/>
          <w:between w:val="nil"/>
        </w:pBdr>
        <w:spacing w:line="240" w:lineRule="auto"/>
        <w:rPr>
          <w:rFonts w:ascii="Times New Roman" w:eastAsia="Times New Roman" w:hAnsi="Times New Roman" w:cs="Times New Roman"/>
          <w:sz w:val="24"/>
          <w:szCs w:val="24"/>
        </w:rPr>
      </w:pPr>
    </w:p>
    <w:tbl>
      <w:tblPr>
        <w:tblW w:w="8148" w:type="dxa"/>
        <w:tblLook w:val="04A0" w:firstRow="1" w:lastRow="0" w:firstColumn="1" w:lastColumn="0" w:noHBand="0" w:noVBand="1"/>
      </w:tblPr>
      <w:tblGrid>
        <w:gridCol w:w="1560"/>
        <w:gridCol w:w="1540"/>
        <w:gridCol w:w="1366"/>
        <w:gridCol w:w="1922"/>
        <w:gridCol w:w="880"/>
        <w:gridCol w:w="880"/>
      </w:tblGrid>
      <w:tr w:rsidR="00FB5883" w:rsidRPr="00DD632B" w14:paraId="3EC17D4F" w14:textId="77777777" w:rsidTr="00FB5883">
        <w:trPr>
          <w:trHeight w:val="560"/>
        </w:trPr>
        <w:tc>
          <w:tcPr>
            <w:tcW w:w="1560" w:type="dxa"/>
            <w:tcBorders>
              <w:top w:val="nil"/>
              <w:left w:val="nil"/>
              <w:bottom w:val="single" w:sz="4" w:space="0" w:color="auto"/>
              <w:right w:val="nil"/>
            </w:tcBorders>
            <w:noWrap/>
            <w:vAlign w:val="center"/>
            <w:hideMark/>
          </w:tcPr>
          <w:p w14:paraId="31491D06"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rPr>
              <w:t>Tract measure</w:t>
            </w:r>
          </w:p>
        </w:tc>
        <w:tc>
          <w:tcPr>
            <w:tcW w:w="1540" w:type="dxa"/>
            <w:tcBorders>
              <w:top w:val="nil"/>
              <w:left w:val="nil"/>
              <w:bottom w:val="single" w:sz="4" w:space="0" w:color="auto"/>
              <w:right w:val="nil"/>
            </w:tcBorders>
            <w:vAlign w:val="center"/>
            <w:hideMark/>
          </w:tcPr>
          <w:p w14:paraId="5CEB4FB0"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rPr>
              <w:t>Glioblastoma, mean ± SD</w:t>
            </w:r>
          </w:p>
        </w:tc>
        <w:tc>
          <w:tcPr>
            <w:tcW w:w="1366" w:type="dxa"/>
            <w:tcBorders>
              <w:top w:val="nil"/>
              <w:left w:val="nil"/>
              <w:bottom w:val="single" w:sz="4" w:space="0" w:color="auto"/>
              <w:right w:val="nil"/>
            </w:tcBorders>
            <w:vAlign w:val="center"/>
            <w:hideMark/>
          </w:tcPr>
          <w:p w14:paraId="4A5CEAFA"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rPr>
              <w:t>Astrocytoma, mean ± SD</w:t>
            </w:r>
          </w:p>
        </w:tc>
        <w:tc>
          <w:tcPr>
            <w:tcW w:w="1922" w:type="dxa"/>
            <w:tcBorders>
              <w:top w:val="nil"/>
              <w:left w:val="nil"/>
              <w:bottom w:val="single" w:sz="4" w:space="0" w:color="auto"/>
              <w:right w:val="nil"/>
            </w:tcBorders>
            <w:vAlign w:val="center"/>
            <w:hideMark/>
          </w:tcPr>
          <w:p w14:paraId="69AF6311"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rPr>
              <w:t>Oligodendroglioma, mean ± SD</w:t>
            </w:r>
          </w:p>
        </w:tc>
        <w:tc>
          <w:tcPr>
            <w:tcW w:w="880" w:type="dxa"/>
            <w:tcBorders>
              <w:top w:val="nil"/>
              <w:left w:val="nil"/>
              <w:bottom w:val="single" w:sz="4" w:space="0" w:color="auto"/>
              <w:right w:val="nil"/>
            </w:tcBorders>
            <w:vAlign w:val="center"/>
            <w:hideMark/>
          </w:tcPr>
          <w:p w14:paraId="087872BF"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rPr>
              <w:t>Adj p-value</w:t>
            </w:r>
          </w:p>
        </w:tc>
        <w:tc>
          <w:tcPr>
            <w:tcW w:w="880" w:type="dxa"/>
            <w:tcBorders>
              <w:top w:val="nil"/>
              <w:left w:val="nil"/>
              <w:bottom w:val="single" w:sz="4" w:space="0" w:color="auto"/>
              <w:right w:val="nil"/>
            </w:tcBorders>
            <w:vAlign w:val="center"/>
            <w:hideMark/>
          </w:tcPr>
          <w:p w14:paraId="0FD6CEA0" w14:textId="77777777" w:rsidR="00FB5883" w:rsidRPr="00DD632B" w:rsidRDefault="00FB5883" w:rsidP="005D2AB9">
            <w:pPr>
              <w:spacing w:line="240" w:lineRule="auto"/>
              <w:jc w:val="center"/>
              <w:rPr>
                <w:rFonts w:ascii="Times New Roman" w:eastAsia="Times New Roman" w:hAnsi="Times New Roman" w:cs="Times New Roman"/>
                <w:b/>
                <w:bCs/>
                <w:color w:val="000000"/>
                <w:sz w:val="20"/>
                <w:szCs w:val="20"/>
                <w:lang w:val="en-US"/>
              </w:rPr>
            </w:pPr>
            <w:r w:rsidRPr="00DD632B">
              <w:rPr>
                <w:rFonts w:ascii="Times New Roman" w:eastAsia="Times New Roman" w:hAnsi="Times New Roman" w:cs="Times New Roman"/>
                <w:b/>
                <w:bCs/>
                <w:color w:val="000000"/>
                <w:sz w:val="20"/>
                <w:szCs w:val="20"/>
              </w:rPr>
              <w:t>FDR q-value</w:t>
            </w:r>
          </w:p>
        </w:tc>
      </w:tr>
      <w:tr w:rsidR="00FB5883" w:rsidRPr="00DD632B" w14:paraId="0D47C180" w14:textId="77777777" w:rsidTr="00FB5883">
        <w:trPr>
          <w:trHeight w:val="320"/>
        </w:trPr>
        <w:tc>
          <w:tcPr>
            <w:tcW w:w="1560" w:type="dxa"/>
            <w:tcBorders>
              <w:top w:val="single" w:sz="4" w:space="0" w:color="BFBFBF"/>
              <w:left w:val="nil"/>
              <w:bottom w:val="single" w:sz="4" w:space="0" w:color="BFBFBF"/>
              <w:right w:val="nil"/>
            </w:tcBorders>
            <w:noWrap/>
            <w:vAlign w:val="center"/>
            <w:hideMark/>
          </w:tcPr>
          <w:p w14:paraId="1FF1077C"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Beltrami-FA</w:t>
            </w:r>
          </w:p>
        </w:tc>
        <w:tc>
          <w:tcPr>
            <w:tcW w:w="1540" w:type="dxa"/>
            <w:tcBorders>
              <w:top w:val="single" w:sz="4" w:space="0" w:color="BFBFBF"/>
              <w:left w:val="nil"/>
              <w:bottom w:val="single" w:sz="4" w:space="0" w:color="BFBFBF"/>
              <w:right w:val="nil"/>
            </w:tcBorders>
            <w:noWrap/>
            <w:vAlign w:val="center"/>
            <w:hideMark/>
          </w:tcPr>
          <w:p w14:paraId="7CB8D3F8"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-3.0 ± 7.1</w:t>
            </w:r>
          </w:p>
        </w:tc>
        <w:tc>
          <w:tcPr>
            <w:tcW w:w="1366" w:type="dxa"/>
            <w:tcBorders>
              <w:top w:val="single" w:sz="4" w:space="0" w:color="BFBFBF"/>
              <w:left w:val="nil"/>
              <w:bottom w:val="single" w:sz="4" w:space="0" w:color="BFBFBF"/>
              <w:right w:val="nil"/>
            </w:tcBorders>
            <w:noWrap/>
            <w:vAlign w:val="center"/>
            <w:hideMark/>
          </w:tcPr>
          <w:p w14:paraId="59A8CC93"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-2.1 ± 6.7</w:t>
            </w:r>
          </w:p>
        </w:tc>
        <w:tc>
          <w:tcPr>
            <w:tcW w:w="1922" w:type="dxa"/>
            <w:tcBorders>
              <w:top w:val="single" w:sz="4" w:space="0" w:color="BFBFBF"/>
              <w:left w:val="nil"/>
              <w:bottom w:val="single" w:sz="4" w:space="0" w:color="BFBFBF"/>
              <w:right w:val="nil"/>
            </w:tcBorders>
            <w:noWrap/>
            <w:vAlign w:val="center"/>
            <w:hideMark/>
          </w:tcPr>
          <w:p w14:paraId="3BBD0A6E"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2.0 ± 2.2</w:t>
            </w:r>
          </w:p>
        </w:tc>
        <w:tc>
          <w:tcPr>
            <w:tcW w:w="880" w:type="dxa"/>
            <w:tcBorders>
              <w:top w:val="single" w:sz="4" w:space="0" w:color="BFBFBF"/>
              <w:left w:val="nil"/>
              <w:bottom w:val="single" w:sz="4" w:space="0" w:color="BFBFBF"/>
              <w:right w:val="nil"/>
            </w:tcBorders>
            <w:noWrap/>
            <w:vAlign w:val="center"/>
            <w:hideMark/>
          </w:tcPr>
          <w:p w14:paraId="5E45EE6F"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0.01</w:t>
            </w:r>
          </w:p>
        </w:tc>
        <w:tc>
          <w:tcPr>
            <w:tcW w:w="880" w:type="dxa"/>
            <w:tcBorders>
              <w:top w:val="single" w:sz="4" w:space="0" w:color="BFBFBF"/>
              <w:left w:val="nil"/>
              <w:bottom w:val="single" w:sz="4" w:space="0" w:color="BFBFBF"/>
              <w:right w:val="nil"/>
            </w:tcBorders>
            <w:noWrap/>
            <w:vAlign w:val="center"/>
            <w:hideMark/>
          </w:tcPr>
          <w:p w14:paraId="3BD8F550"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0.02</w:t>
            </w:r>
          </w:p>
        </w:tc>
      </w:tr>
      <w:tr w:rsidR="00FB5883" w:rsidRPr="00DD632B" w14:paraId="63A63458" w14:textId="77777777" w:rsidTr="00FB5883">
        <w:trPr>
          <w:trHeight w:val="320"/>
        </w:trPr>
        <w:tc>
          <w:tcPr>
            <w:tcW w:w="1560" w:type="dxa"/>
            <w:tcBorders>
              <w:top w:val="nil"/>
              <w:left w:val="nil"/>
              <w:bottom w:val="single" w:sz="4" w:space="0" w:color="BFBFBF"/>
              <w:right w:val="nil"/>
            </w:tcBorders>
            <w:noWrap/>
            <w:vAlign w:val="center"/>
            <w:hideMark/>
          </w:tcPr>
          <w:p w14:paraId="14D71143"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Beltrami-MD</w:t>
            </w:r>
          </w:p>
        </w:tc>
        <w:tc>
          <w:tcPr>
            <w:tcW w:w="1540" w:type="dxa"/>
            <w:tcBorders>
              <w:top w:val="nil"/>
              <w:left w:val="nil"/>
              <w:bottom w:val="single" w:sz="4" w:space="0" w:color="BFBFBF"/>
              <w:right w:val="nil"/>
            </w:tcBorders>
            <w:noWrap/>
            <w:vAlign w:val="center"/>
            <w:hideMark/>
          </w:tcPr>
          <w:p w14:paraId="19BDEEF0"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0.1 ± 2.8</w:t>
            </w:r>
          </w:p>
        </w:tc>
        <w:tc>
          <w:tcPr>
            <w:tcW w:w="1366" w:type="dxa"/>
            <w:tcBorders>
              <w:top w:val="nil"/>
              <w:left w:val="nil"/>
              <w:bottom w:val="single" w:sz="4" w:space="0" w:color="BFBFBF"/>
              <w:right w:val="nil"/>
            </w:tcBorders>
            <w:noWrap/>
            <w:vAlign w:val="center"/>
            <w:hideMark/>
          </w:tcPr>
          <w:p w14:paraId="26843E7D"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0.4 ± 2.6</w:t>
            </w:r>
          </w:p>
        </w:tc>
        <w:tc>
          <w:tcPr>
            <w:tcW w:w="1922" w:type="dxa"/>
            <w:tcBorders>
              <w:top w:val="nil"/>
              <w:left w:val="nil"/>
              <w:bottom w:val="single" w:sz="4" w:space="0" w:color="BFBFBF"/>
              <w:right w:val="nil"/>
            </w:tcBorders>
            <w:noWrap/>
            <w:vAlign w:val="center"/>
            <w:hideMark/>
          </w:tcPr>
          <w:p w14:paraId="3A5DF7F5"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-0.5 ± 1.5</w:t>
            </w:r>
          </w:p>
        </w:tc>
        <w:tc>
          <w:tcPr>
            <w:tcW w:w="880" w:type="dxa"/>
            <w:tcBorders>
              <w:top w:val="nil"/>
              <w:left w:val="nil"/>
              <w:bottom w:val="single" w:sz="4" w:space="0" w:color="BFBFBF"/>
              <w:right w:val="nil"/>
            </w:tcBorders>
            <w:noWrap/>
            <w:vAlign w:val="center"/>
            <w:hideMark/>
          </w:tcPr>
          <w:p w14:paraId="41FE54D6"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0.74</w:t>
            </w:r>
          </w:p>
        </w:tc>
        <w:tc>
          <w:tcPr>
            <w:tcW w:w="880" w:type="dxa"/>
            <w:tcBorders>
              <w:top w:val="nil"/>
              <w:left w:val="nil"/>
              <w:bottom w:val="single" w:sz="4" w:space="0" w:color="BFBFBF"/>
              <w:right w:val="nil"/>
            </w:tcBorders>
            <w:noWrap/>
            <w:vAlign w:val="center"/>
            <w:hideMark/>
          </w:tcPr>
          <w:p w14:paraId="55095F9F"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0.74</w:t>
            </w:r>
          </w:p>
        </w:tc>
      </w:tr>
      <w:tr w:rsidR="00FB5883" w:rsidRPr="00DD632B" w14:paraId="76452D6E" w14:textId="77777777" w:rsidTr="00FB5883">
        <w:trPr>
          <w:trHeight w:val="320"/>
        </w:trPr>
        <w:tc>
          <w:tcPr>
            <w:tcW w:w="1560" w:type="dxa"/>
            <w:tcBorders>
              <w:top w:val="nil"/>
              <w:left w:val="nil"/>
              <w:bottom w:val="single" w:sz="4" w:space="0" w:color="auto"/>
              <w:right w:val="nil"/>
            </w:tcBorders>
            <w:noWrap/>
            <w:vAlign w:val="center"/>
            <w:hideMark/>
          </w:tcPr>
          <w:p w14:paraId="7A330F26"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Beltrami-FWF</w:t>
            </w:r>
          </w:p>
        </w:tc>
        <w:tc>
          <w:tcPr>
            <w:tcW w:w="1540" w:type="dxa"/>
            <w:tcBorders>
              <w:top w:val="nil"/>
              <w:left w:val="nil"/>
              <w:bottom w:val="single" w:sz="4" w:space="0" w:color="auto"/>
              <w:right w:val="nil"/>
            </w:tcBorders>
            <w:vAlign w:val="center"/>
            <w:hideMark/>
          </w:tcPr>
          <w:p w14:paraId="13D91653"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18.7 ± 29.9</w:t>
            </w:r>
          </w:p>
        </w:tc>
        <w:tc>
          <w:tcPr>
            <w:tcW w:w="1366" w:type="dxa"/>
            <w:tcBorders>
              <w:top w:val="nil"/>
              <w:left w:val="nil"/>
              <w:bottom w:val="single" w:sz="4" w:space="0" w:color="auto"/>
              <w:right w:val="nil"/>
            </w:tcBorders>
            <w:vAlign w:val="center"/>
            <w:hideMark/>
          </w:tcPr>
          <w:p w14:paraId="0A3A28D3"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20.0 ± 31.2</w:t>
            </w:r>
          </w:p>
        </w:tc>
        <w:tc>
          <w:tcPr>
            <w:tcW w:w="1922" w:type="dxa"/>
            <w:tcBorders>
              <w:top w:val="nil"/>
              <w:left w:val="nil"/>
              <w:bottom w:val="single" w:sz="4" w:space="0" w:color="auto"/>
              <w:right w:val="nil"/>
            </w:tcBorders>
            <w:vAlign w:val="center"/>
            <w:hideMark/>
          </w:tcPr>
          <w:p w14:paraId="743CE2BE"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14.9 ± 37.9</w:t>
            </w:r>
          </w:p>
        </w:tc>
        <w:tc>
          <w:tcPr>
            <w:tcW w:w="880" w:type="dxa"/>
            <w:tcBorders>
              <w:top w:val="nil"/>
              <w:left w:val="nil"/>
              <w:bottom w:val="single" w:sz="4" w:space="0" w:color="auto"/>
              <w:right w:val="nil"/>
            </w:tcBorders>
            <w:vAlign w:val="center"/>
            <w:hideMark/>
          </w:tcPr>
          <w:p w14:paraId="5ED386C9"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0.23</w:t>
            </w:r>
          </w:p>
        </w:tc>
        <w:tc>
          <w:tcPr>
            <w:tcW w:w="880" w:type="dxa"/>
            <w:tcBorders>
              <w:top w:val="nil"/>
              <w:left w:val="nil"/>
              <w:bottom w:val="single" w:sz="4" w:space="0" w:color="auto"/>
              <w:right w:val="nil"/>
            </w:tcBorders>
            <w:vAlign w:val="center"/>
            <w:hideMark/>
          </w:tcPr>
          <w:p w14:paraId="73E6BF48" w14:textId="77777777" w:rsidR="00FB5883" w:rsidRPr="00DD632B" w:rsidRDefault="00FB5883" w:rsidP="005D2AB9">
            <w:pPr>
              <w:spacing w:line="240" w:lineRule="auto"/>
              <w:jc w:val="center"/>
              <w:rPr>
                <w:rFonts w:ascii="Times New Roman" w:eastAsia="Times New Roman" w:hAnsi="Times New Roman" w:cs="Times New Roman"/>
                <w:color w:val="000000"/>
                <w:sz w:val="20"/>
                <w:szCs w:val="20"/>
                <w:lang w:val="en-US"/>
              </w:rPr>
            </w:pPr>
            <w:r w:rsidRPr="00DD632B">
              <w:rPr>
                <w:rFonts w:ascii="Times New Roman" w:eastAsia="Times New Roman" w:hAnsi="Times New Roman" w:cs="Times New Roman"/>
                <w:color w:val="000000"/>
                <w:sz w:val="20"/>
                <w:szCs w:val="20"/>
              </w:rPr>
              <w:t>0.35</w:t>
            </w:r>
          </w:p>
        </w:tc>
      </w:tr>
    </w:tbl>
    <w:p w14:paraId="56ECD3F7" w14:textId="77777777" w:rsidR="00FB5883" w:rsidRPr="00AF5F53" w:rsidRDefault="00FB5883" w:rsidP="00FB5883">
      <w:pPr>
        <w:pBdr>
          <w:top w:val="nil"/>
          <w:left w:val="nil"/>
          <w:bottom w:val="nil"/>
          <w:right w:val="nil"/>
          <w:between w:val="nil"/>
        </w:pBdr>
        <w:spacing w:line="480" w:lineRule="auto"/>
        <w:rPr>
          <w:rFonts w:ascii="Times New Roman" w:eastAsia="Times New Roman" w:hAnsi="Times New Roman" w:cs="Times New Roman"/>
          <w:sz w:val="24"/>
          <w:szCs w:val="24"/>
        </w:rPr>
      </w:pPr>
    </w:p>
    <w:p w14:paraId="568C8013" w14:textId="77777777" w:rsidR="00FB5883" w:rsidRPr="00AF5F53" w:rsidRDefault="00FB5883" w:rsidP="00FB5883">
      <w:pPr>
        <w:pBdr>
          <w:top w:val="nil"/>
          <w:left w:val="nil"/>
          <w:bottom w:val="nil"/>
          <w:right w:val="nil"/>
          <w:between w:val="nil"/>
        </w:pBdr>
        <w:spacing w:line="480" w:lineRule="auto"/>
        <w:rPr>
          <w:rFonts w:ascii="Times New Roman" w:eastAsia="Times New Roman" w:hAnsi="Times New Roman" w:cs="Times New Roman"/>
          <w:sz w:val="24"/>
          <w:szCs w:val="24"/>
        </w:rPr>
      </w:pPr>
      <w:r w:rsidRPr="00AF5F53">
        <w:rPr>
          <w:rFonts w:ascii="Times New Roman" w:eastAsia="Times New Roman" w:hAnsi="Times New Roman" w:cs="Times New Roman"/>
          <w:b/>
          <w:sz w:val="24"/>
          <w:szCs w:val="24"/>
        </w:rPr>
        <w:t>Abbreviations:</w:t>
      </w:r>
      <w:r w:rsidRPr="00AF5F53">
        <w:rPr>
          <w:rFonts w:ascii="Times New Roman" w:eastAsia="Times New Roman" w:hAnsi="Times New Roman" w:cs="Times New Roman"/>
          <w:sz w:val="24"/>
          <w:szCs w:val="24"/>
        </w:rPr>
        <w:t xml:space="preserve"> FA, fractional anisotropy. FW, free water. FWF, free water fraction. MD, mean diffusivity. SD, standard deviation. Positive values represent a higher ipsilateral hemisphere value compared to the contralateral hemisphere value. The p-value was adjusted based on sex and age. </w:t>
      </w:r>
    </w:p>
    <w:p w14:paraId="22C3645A" w14:textId="7176C555" w:rsidR="00FB5883" w:rsidRPr="00AF5F53" w:rsidRDefault="00FB5883" w:rsidP="00FB5883">
      <w:pPr>
        <w:pBdr>
          <w:top w:val="nil"/>
          <w:left w:val="nil"/>
          <w:bottom w:val="nil"/>
          <w:right w:val="nil"/>
          <w:between w:val="nil"/>
        </w:pBdr>
        <w:spacing w:line="240" w:lineRule="auto"/>
        <w:rPr>
          <w:rFonts w:ascii="Times New Roman" w:eastAsia="Times New Roman" w:hAnsi="Times New Roman" w:cs="Times New Roman"/>
          <w:sz w:val="24"/>
          <w:szCs w:val="24"/>
        </w:rPr>
      </w:pPr>
    </w:p>
    <w:p w14:paraId="0BC125D3" w14:textId="77777777" w:rsidR="00FB5883" w:rsidRPr="00AF5F53" w:rsidRDefault="00FB5883"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r w:rsidRPr="00AF5F53">
        <w:rPr>
          <w:rFonts w:ascii="Times New Roman" w:eastAsia="Times New Roman" w:hAnsi="Times New Roman" w:cs="Times New Roman"/>
          <w:noProof/>
          <w:sz w:val="24"/>
          <w:szCs w:val="24"/>
        </w:rPr>
        <w:drawing>
          <wp:inline distT="114300" distB="114300" distL="114300" distR="114300" wp14:anchorId="3AF2CF8E" wp14:editId="40631107">
            <wp:extent cx="8229600" cy="4775200"/>
            <wp:effectExtent l="0" t="0" r="0" b="0"/>
            <wp:docPr id="3" name="image3.png" descr="A group of graphs with different colored square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3.png" descr="A group of graphs with different colored squares&#10;&#10;AI-generated content may be incorrect."/>
                    <pic:cNvPicPr preferRelativeResize="0"/>
                  </pic:nvPicPr>
                  <pic:blipFill>
                    <a:blip r:embed="rId4"/>
                    <a:srcRect/>
                    <a:stretch>
                      <a:fillRect/>
                    </a:stretch>
                  </pic:blipFill>
                  <pic:spPr>
                    <a:xfrm>
                      <a:off x="0" y="0"/>
                      <a:ext cx="8229600" cy="4775200"/>
                    </a:xfrm>
                    <a:prstGeom prst="rect">
                      <a:avLst/>
                    </a:prstGeom>
                    <a:ln/>
                  </pic:spPr>
                </pic:pic>
              </a:graphicData>
            </a:graphic>
          </wp:inline>
        </w:drawing>
      </w:r>
    </w:p>
    <w:p w14:paraId="0BD4BFAF" w14:textId="77777777" w:rsidR="00FB5883" w:rsidRPr="00AF5F53" w:rsidRDefault="00FB5883"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772881A1" w14:textId="77777777" w:rsidR="00FB5883" w:rsidRDefault="00FB5883" w:rsidP="00FB5883">
      <w:pPr>
        <w:spacing w:line="480" w:lineRule="auto"/>
        <w:rPr>
          <w:rFonts w:ascii="Times New Roman" w:eastAsia="Times New Roman" w:hAnsi="Times New Roman" w:cs="Times New Roman"/>
          <w:b/>
          <w:sz w:val="24"/>
          <w:szCs w:val="24"/>
        </w:rPr>
      </w:pPr>
    </w:p>
    <w:p w14:paraId="7BCA609B" w14:textId="102EA7F1" w:rsidR="00FB5883" w:rsidRPr="00AF5F53" w:rsidRDefault="00127419" w:rsidP="00FB5883">
      <w:pPr>
        <w:spacing w:line="480" w:lineRule="auto"/>
        <w:rPr>
          <w:rFonts w:ascii="Times New Roman" w:eastAsia="Times New Roman" w:hAnsi="Times New Roman" w:cs="Times New Roman"/>
          <w:sz w:val="26"/>
          <w:szCs w:val="26"/>
        </w:rPr>
      </w:pPr>
      <w:r>
        <w:rPr>
          <w:rFonts w:ascii="Times New Roman" w:eastAsia="Times New Roman" w:hAnsi="Times New Roman" w:cs="Times New Roman"/>
          <w:b/>
          <w:sz w:val="24"/>
          <w:szCs w:val="24"/>
        </w:rPr>
        <w:lastRenderedPageBreak/>
        <w:t>Fig.</w:t>
      </w:r>
      <w:r w:rsidR="00FB5883" w:rsidRPr="00AF5F53">
        <w:rPr>
          <w:rFonts w:ascii="Times New Roman" w:eastAsia="Times New Roman" w:hAnsi="Times New Roman" w:cs="Times New Roman"/>
          <w:b/>
          <w:sz w:val="24"/>
          <w:szCs w:val="24"/>
        </w:rPr>
        <w:t xml:space="preserve"> </w:t>
      </w:r>
      <w:r w:rsidR="00E31338">
        <w:rPr>
          <w:rFonts w:ascii="Times New Roman" w:eastAsia="Times New Roman" w:hAnsi="Times New Roman" w:cs="Times New Roman"/>
          <w:b/>
          <w:sz w:val="24"/>
          <w:szCs w:val="24"/>
        </w:rPr>
        <w:t>S1</w:t>
      </w:r>
      <w:r w:rsidR="00FB5883" w:rsidRPr="00AF5F53">
        <w:rPr>
          <w:rFonts w:ascii="Times New Roman" w:eastAsia="Times New Roman" w:hAnsi="Times New Roman" w:cs="Times New Roman"/>
          <w:b/>
          <w:sz w:val="24"/>
          <w:szCs w:val="24"/>
        </w:rPr>
        <w:t xml:space="preserve"> </w:t>
      </w:r>
      <w:r w:rsidR="00FB5883" w:rsidRPr="00AF5F53">
        <w:rPr>
          <w:rFonts w:ascii="Times New Roman" w:eastAsia="Times New Roman" w:hAnsi="Times New Roman" w:cs="Times New Roman"/>
          <w:sz w:val="24"/>
          <w:szCs w:val="24"/>
        </w:rPr>
        <w:t>(A-D) Tumor component volumes by pathology. Box plots showing the proportion of brain volume occupied by different tumor components across three pathology types: Glioblastoma (orange), Astrocytoma (blue), and Oligodendroglioma (green). (A) Enhancing tumor volume. (B) Necrotic core volume. (C) Edema/infiltration volume. (D) Combined tumor and edema volume. Statistical comparisons used Kruskal-Wallis test for three-group comparisons, with p-value shown. (E) Subject-level edema proportion versus free water fraction relationship. Scatter plot showing the correlation between average edema proportion and average free water fraction per subject, colored by tumor pathology. Each point represents one subject's average across all white matter tracts. The black line shows the overall linear trend across all subjects. Spearman correlation coefficient (ρ) and significance level are displayed</w:t>
      </w:r>
    </w:p>
    <w:p w14:paraId="1DE917D1" w14:textId="77777777" w:rsidR="00FB5883" w:rsidRPr="00AF5F53" w:rsidRDefault="00FB5883"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124369FF" w14:textId="77777777" w:rsidR="00FB5883" w:rsidRPr="00AF5F53" w:rsidRDefault="00FB5883"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3F461089" w14:textId="77777777" w:rsidR="00FB5883" w:rsidRPr="00AF5F53" w:rsidRDefault="00FB5883"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7DF53ABF" w14:textId="77777777" w:rsidR="00FB5883" w:rsidRPr="00AF5F53" w:rsidRDefault="00FB5883"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43DBAF91" w14:textId="77777777" w:rsidR="00FB5883" w:rsidRPr="00AF5F53" w:rsidRDefault="00FB5883"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5DEB2305" w14:textId="77777777" w:rsidR="00FB5883" w:rsidRPr="00AF5F53" w:rsidRDefault="00FB5883"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20AB4C63" w14:textId="77777777" w:rsidR="00FB5883" w:rsidRDefault="00FB5883"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485E3FA0"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56167706"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700500BF"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47346A5E"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23DBE8B7"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07DCCD58"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6C580552"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770BED3C"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4CA468BC"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3772B29A"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4E4B894E" w14:textId="7CF8115A"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r w:rsidRPr="00E31338">
        <w:rPr>
          <w:rFonts w:ascii="Times New Roman" w:eastAsia="Times New Roman" w:hAnsi="Times New Roman" w:cs="Times New Roman"/>
          <w:noProof/>
          <w:sz w:val="24"/>
          <w:szCs w:val="24"/>
        </w:rPr>
        <w:lastRenderedPageBreak/>
        <w:drawing>
          <wp:inline distT="0" distB="0" distL="0" distR="0" wp14:anchorId="53BEB37D" wp14:editId="22C0D663">
            <wp:extent cx="8229600" cy="4928870"/>
            <wp:effectExtent l="0" t="0" r="0" b="0"/>
            <wp:docPr id="1294633241" name="Picture 1" descr="A group of graphs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33241" name="Picture 1" descr="A group of graphs with different colored bars&#10;&#10;AI-generated content may be incorrect."/>
                    <pic:cNvPicPr/>
                  </pic:nvPicPr>
                  <pic:blipFill>
                    <a:blip r:embed="rId5"/>
                    <a:stretch>
                      <a:fillRect/>
                    </a:stretch>
                  </pic:blipFill>
                  <pic:spPr>
                    <a:xfrm>
                      <a:off x="0" y="0"/>
                      <a:ext cx="8229600" cy="4928870"/>
                    </a:xfrm>
                    <a:prstGeom prst="rect">
                      <a:avLst/>
                    </a:prstGeom>
                  </pic:spPr>
                </pic:pic>
              </a:graphicData>
            </a:graphic>
          </wp:inline>
        </w:drawing>
      </w:r>
    </w:p>
    <w:p w14:paraId="7C5B6BB3" w14:textId="77777777" w:rsidR="001108B5" w:rsidRDefault="001108B5"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5CC6411E"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3C0D82F2"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59BD4221" w14:textId="1797178B" w:rsidR="00E31338" w:rsidRPr="007F31D7" w:rsidRDefault="00127419" w:rsidP="00E31338">
      <w:pPr>
        <w:spacing w:after="12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Fig.</w:t>
      </w:r>
      <w:r w:rsidR="00E31338" w:rsidRPr="007F31D7">
        <w:rPr>
          <w:rFonts w:ascii="Times New Roman" w:eastAsia="Times New Roman" w:hAnsi="Times New Roman" w:cs="Times New Roman"/>
          <w:b/>
          <w:bCs/>
          <w:sz w:val="24"/>
          <w:szCs w:val="24"/>
        </w:rPr>
        <w:t xml:space="preserve"> </w:t>
      </w:r>
      <w:r w:rsidR="00E31338">
        <w:rPr>
          <w:rFonts w:ascii="Times New Roman" w:eastAsia="Times New Roman" w:hAnsi="Times New Roman" w:cs="Times New Roman"/>
          <w:b/>
          <w:bCs/>
          <w:sz w:val="24"/>
          <w:szCs w:val="24"/>
        </w:rPr>
        <w:t>S2</w:t>
      </w:r>
      <w:r w:rsidR="00E31338" w:rsidRPr="007F31D7">
        <w:rPr>
          <w:rFonts w:ascii="Times New Roman" w:eastAsia="Times New Roman" w:hAnsi="Times New Roman" w:cs="Times New Roman"/>
          <w:sz w:val="24"/>
          <w:szCs w:val="24"/>
        </w:rPr>
        <w:t xml:space="preserve"> Percent of subjects with tract involvement (≥1 node with &gt;5% tumor probability) by pathology type. (A) Enhancing tumor, (B) Necrotic core, (C) Edema, (D) Combined involvement across all tumor components. Pairwise comparisons between glioblastoma (reference) and astrocytoma, and between glioblastoma and oligodendroglioma were performed with logistic regression, adjusted for age and sex. *FDR-corrected p&lt;0.05, **p&lt;0.01, ***p&lt;0.001. Blue and green asterisks (*) represent comparisons between glioblastoma and astrocytoma, and between glioblastoma and oligodendroglioma, respectively</w:t>
      </w:r>
    </w:p>
    <w:p w14:paraId="0F4E7C19"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59363C83" w14:textId="77777777" w:rsidR="00E31338"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220FF881" w14:textId="77777777" w:rsidR="00E31338" w:rsidRPr="00AF5F53" w:rsidRDefault="00E31338" w:rsidP="00FB5883">
      <w:pPr>
        <w:pBdr>
          <w:top w:val="nil"/>
          <w:left w:val="nil"/>
          <w:bottom w:val="nil"/>
          <w:right w:val="nil"/>
          <w:between w:val="nil"/>
        </w:pBdr>
        <w:spacing w:line="240" w:lineRule="auto"/>
        <w:ind w:left="504" w:hanging="504"/>
        <w:rPr>
          <w:rFonts w:ascii="Times New Roman" w:eastAsia="Times New Roman" w:hAnsi="Times New Roman" w:cs="Times New Roman"/>
          <w:sz w:val="24"/>
          <w:szCs w:val="24"/>
        </w:rPr>
      </w:pPr>
    </w:p>
    <w:p w14:paraId="669E3613" w14:textId="77777777" w:rsidR="00FB5883" w:rsidRPr="00AF5F53" w:rsidRDefault="00FB5883" w:rsidP="00FB5883">
      <w:pPr>
        <w:pBdr>
          <w:top w:val="nil"/>
          <w:left w:val="nil"/>
          <w:bottom w:val="nil"/>
          <w:right w:val="nil"/>
          <w:between w:val="nil"/>
        </w:pBdr>
        <w:spacing w:after="240" w:line="480" w:lineRule="auto"/>
        <w:ind w:left="504" w:hanging="504"/>
        <w:rPr>
          <w:rFonts w:ascii="Times New Roman" w:eastAsia="Times New Roman" w:hAnsi="Times New Roman" w:cs="Times New Roman"/>
          <w:sz w:val="24"/>
          <w:szCs w:val="24"/>
        </w:rPr>
      </w:pPr>
      <w:r w:rsidRPr="00AF5F53">
        <w:rPr>
          <w:rFonts w:ascii="Times New Roman" w:eastAsia="Times New Roman" w:hAnsi="Times New Roman" w:cs="Times New Roman"/>
          <w:noProof/>
          <w:sz w:val="24"/>
          <w:szCs w:val="24"/>
        </w:rPr>
        <w:lastRenderedPageBreak/>
        <w:drawing>
          <wp:inline distT="114300" distB="114300" distL="114300" distR="114300" wp14:anchorId="033FB284" wp14:editId="3390FF74">
            <wp:extent cx="8229600" cy="4914900"/>
            <wp:effectExtent l="0" t="0" r="0" b="0"/>
            <wp:docPr id="1" name="image1.png" descr="A group of graphs with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group of graphs with different colored bars&#10;&#10;AI-generated content may be incorrect."/>
                    <pic:cNvPicPr preferRelativeResize="0"/>
                  </pic:nvPicPr>
                  <pic:blipFill>
                    <a:blip r:embed="rId6"/>
                    <a:srcRect/>
                    <a:stretch>
                      <a:fillRect/>
                    </a:stretch>
                  </pic:blipFill>
                  <pic:spPr>
                    <a:xfrm>
                      <a:off x="0" y="0"/>
                      <a:ext cx="8229600" cy="4914900"/>
                    </a:xfrm>
                    <a:prstGeom prst="rect">
                      <a:avLst/>
                    </a:prstGeom>
                    <a:ln/>
                  </pic:spPr>
                </pic:pic>
              </a:graphicData>
            </a:graphic>
          </wp:inline>
        </w:drawing>
      </w:r>
    </w:p>
    <w:p w14:paraId="04905D29" w14:textId="77777777" w:rsidR="00FB5883" w:rsidRDefault="00FB5883" w:rsidP="00FB5883">
      <w:pPr>
        <w:pBdr>
          <w:top w:val="nil"/>
          <w:left w:val="nil"/>
          <w:bottom w:val="nil"/>
          <w:right w:val="nil"/>
          <w:between w:val="nil"/>
        </w:pBdr>
        <w:spacing w:after="240" w:line="480" w:lineRule="auto"/>
        <w:rPr>
          <w:rFonts w:ascii="Times New Roman" w:eastAsia="Times New Roman" w:hAnsi="Times New Roman" w:cs="Times New Roman"/>
          <w:b/>
          <w:sz w:val="24"/>
          <w:szCs w:val="24"/>
        </w:rPr>
      </w:pPr>
    </w:p>
    <w:p w14:paraId="5E8D5503" w14:textId="73B25FD9" w:rsidR="00FB5883" w:rsidRPr="00AF5F53" w:rsidRDefault="00127419" w:rsidP="00FB5883">
      <w:pPr>
        <w:pBdr>
          <w:top w:val="nil"/>
          <w:left w:val="nil"/>
          <w:bottom w:val="nil"/>
          <w:right w:val="nil"/>
          <w:between w:val="nil"/>
        </w:pBd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w:t>
      </w:r>
      <w:r w:rsidR="00FB5883" w:rsidRPr="00AF5F53">
        <w:rPr>
          <w:rFonts w:ascii="Times New Roman" w:eastAsia="Times New Roman" w:hAnsi="Times New Roman" w:cs="Times New Roman"/>
          <w:b/>
          <w:sz w:val="24"/>
          <w:szCs w:val="24"/>
        </w:rPr>
        <w:t xml:space="preserve"> S3. </w:t>
      </w:r>
      <w:r w:rsidR="00FB5883" w:rsidRPr="00AF5F53">
        <w:rPr>
          <w:rFonts w:ascii="Times New Roman" w:eastAsia="Times New Roman" w:hAnsi="Times New Roman" w:cs="Times New Roman"/>
          <w:sz w:val="24"/>
          <w:szCs w:val="24"/>
        </w:rPr>
        <w:t>Mean tract-level involvement (proportion of nodes &gt;5%). (A-D) Mean proportion of nodes involved across 10 major white matter tracts for each tumor component (A) enhancing tumor, (B) necrotic core, (C) edema or infiltration, and (D) combined, stratified by pathology type. Error bars represent standard error of the mean. Statistical analysis used linear regression adjusted for age and sex, with separate FDR correction within each pairwise comparison and component family. Left and right tract segments were averaged to create bilateral tract measures. Colored asterisks indicate significant pairwise differences compared to Glioblastoma (reference group) after FDR correction: blue asterisks for Astrocytoma vs Glioblastoma, green asterisks for Oligodendroglioma vs Glioblastoma (*q &lt; 0.05, **q &lt; 0.01, ***q &lt; 0.001)</w:t>
      </w:r>
    </w:p>
    <w:p w14:paraId="6F033352" w14:textId="77777777" w:rsidR="00FB5883" w:rsidRPr="00AF5F53" w:rsidRDefault="00FB5883" w:rsidP="00FB5883">
      <w:pPr>
        <w:pBdr>
          <w:top w:val="nil"/>
          <w:left w:val="nil"/>
          <w:bottom w:val="nil"/>
          <w:right w:val="nil"/>
          <w:between w:val="nil"/>
        </w:pBdr>
        <w:spacing w:after="240" w:line="480" w:lineRule="auto"/>
        <w:rPr>
          <w:rFonts w:ascii="Times New Roman" w:eastAsia="Times New Roman" w:hAnsi="Times New Roman" w:cs="Times New Roman"/>
          <w:sz w:val="24"/>
          <w:szCs w:val="24"/>
        </w:rPr>
      </w:pPr>
    </w:p>
    <w:p w14:paraId="68D4CBD2" w14:textId="77777777" w:rsidR="00FB5883" w:rsidRPr="00AF5F53" w:rsidRDefault="00FB5883" w:rsidP="00FB5883">
      <w:pPr>
        <w:pBdr>
          <w:top w:val="nil"/>
          <w:left w:val="nil"/>
          <w:bottom w:val="nil"/>
          <w:right w:val="nil"/>
          <w:between w:val="nil"/>
        </w:pBdr>
        <w:spacing w:after="240" w:line="480" w:lineRule="auto"/>
        <w:rPr>
          <w:rFonts w:ascii="Times New Roman" w:eastAsia="Times New Roman" w:hAnsi="Times New Roman" w:cs="Times New Roman"/>
          <w:sz w:val="24"/>
          <w:szCs w:val="24"/>
        </w:rPr>
      </w:pPr>
    </w:p>
    <w:p w14:paraId="469C1ADE" w14:textId="77777777" w:rsidR="00FB5883" w:rsidRPr="00AF5F53" w:rsidRDefault="00FB5883" w:rsidP="00FB5883">
      <w:pPr>
        <w:pBdr>
          <w:top w:val="nil"/>
          <w:left w:val="nil"/>
          <w:bottom w:val="nil"/>
          <w:right w:val="nil"/>
          <w:between w:val="nil"/>
        </w:pBdr>
        <w:spacing w:after="240" w:line="240" w:lineRule="auto"/>
        <w:ind w:left="504" w:hanging="504"/>
        <w:rPr>
          <w:rFonts w:ascii="Times New Roman" w:eastAsia="Times New Roman" w:hAnsi="Times New Roman" w:cs="Times New Roman"/>
          <w:sz w:val="24"/>
          <w:szCs w:val="24"/>
        </w:rPr>
      </w:pPr>
    </w:p>
    <w:p w14:paraId="6DBF9FD8" w14:textId="77777777" w:rsidR="00FB5883" w:rsidRPr="00AF5F53" w:rsidRDefault="00FB5883" w:rsidP="00FB5883">
      <w:pPr>
        <w:pBdr>
          <w:top w:val="nil"/>
          <w:left w:val="nil"/>
          <w:bottom w:val="nil"/>
          <w:right w:val="nil"/>
          <w:between w:val="nil"/>
        </w:pBdr>
        <w:spacing w:after="240" w:line="240" w:lineRule="auto"/>
        <w:ind w:left="504" w:hanging="504"/>
        <w:rPr>
          <w:rFonts w:ascii="Times New Roman" w:eastAsia="Times New Roman" w:hAnsi="Times New Roman" w:cs="Times New Roman"/>
          <w:sz w:val="24"/>
          <w:szCs w:val="24"/>
        </w:rPr>
      </w:pPr>
    </w:p>
    <w:p w14:paraId="5C38EDC3" w14:textId="77777777" w:rsidR="009853EB" w:rsidRDefault="009853EB"/>
    <w:sectPr w:rsidR="009853EB" w:rsidSect="00FB588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883"/>
    <w:rsid w:val="001108B5"/>
    <w:rsid w:val="00127419"/>
    <w:rsid w:val="00145EF6"/>
    <w:rsid w:val="00427C7E"/>
    <w:rsid w:val="00533D8A"/>
    <w:rsid w:val="009853EB"/>
    <w:rsid w:val="009A4DCD"/>
    <w:rsid w:val="00D5465B"/>
    <w:rsid w:val="00E31338"/>
    <w:rsid w:val="00FB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7FD2C"/>
  <w15:chartTrackingRefBased/>
  <w15:docId w15:val="{5208001E-79EB-A34D-82C8-F7BEC4A3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883"/>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FB58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FB58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FB58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FB5883"/>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FB5883"/>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FB5883"/>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FB5883"/>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FB5883"/>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FB5883"/>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58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58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5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5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5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5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5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5883"/>
    <w:rPr>
      <w:rFonts w:eastAsiaTheme="majorEastAsia" w:cstheme="majorBidi"/>
      <w:color w:val="272727" w:themeColor="text1" w:themeTint="D8"/>
    </w:rPr>
  </w:style>
  <w:style w:type="paragraph" w:styleId="Title">
    <w:name w:val="Title"/>
    <w:basedOn w:val="Normal"/>
    <w:next w:val="Normal"/>
    <w:link w:val="TitleChar"/>
    <w:uiPriority w:val="10"/>
    <w:qFormat/>
    <w:rsid w:val="00FB5883"/>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FB5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58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FB5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5883"/>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FB5883"/>
    <w:rPr>
      <w:i/>
      <w:iCs/>
      <w:color w:val="404040" w:themeColor="text1" w:themeTint="BF"/>
    </w:rPr>
  </w:style>
  <w:style w:type="paragraph" w:styleId="ListParagraph">
    <w:name w:val="List Paragraph"/>
    <w:basedOn w:val="Normal"/>
    <w:uiPriority w:val="34"/>
    <w:qFormat/>
    <w:rsid w:val="00FB5883"/>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FB5883"/>
    <w:rPr>
      <w:i/>
      <w:iCs/>
      <w:color w:val="0F4761" w:themeColor="accent1" w:themeShade="BF"/>
    </w:rPr>
  </w:style>
  <w:style w:type="paragraph" w:styleId="IntenseQuote">
    <w:name w:val="Intense Quote"/>
    <w:basedOn w:val="Normal"/>
    <w:next w:val="Normal"/>
    <w:link w:val="IntenseQuoteChar"/>
    <w:uiPriority w:val="30"/>
    <w:qFormat/>
    <w:rsid w:val="00FB58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FB5883"/>
    <w:rPr>
      <w:i/>
      <w:iCs/>
      <w:color w:val="0F4761" w:themeColor="accent1" w:themeShade="BF"/>
    </w:rPr>
  </w:style>
  <w:style w:type="character" w:styleId="IntenseReference">
    <w:name w:val="Intense Reference"/>
    <w:basedOn w:val="DefaultParagraphFont"/>
    <w:uiPriority w:val="32"/>
    <w:qFormat/>
    <w:rsid w:val="00FB588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534</Words>
  <Characters>3050</Characters>
  <Application>Microsoft Office Word</Application>
  <DocSecurity>0</DocSecurity>
  <Lines>25</Lines>
  <Paragraphs>7</Paragraphs>
  <ScaleCrop>false</ScaleCrop>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 Daniel</dc:creator>
  <cp:keywords/>
  <dc:description/>
  <cp:lastModifiedBy>Zhou, Daniel</cp:lastModifiedBy>
  <cp:revision>4</cp:revision>
  <dcterms:created xsi:type="dcterms:W3CDTF">2025-10-27T23:04:00Z</dcterms:created>
  <dcterms:modified xsi:type="dcterms:W3CDTF">2025-10-29T14:17:00Z</dcterms:modified>
</cp:coreProperties>
</file>