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31237" w14:textId="77777777" w:rsidR="00BB6C1A" w:rsidRPr="00332B7F" w:rsidRDefault="00BB6C1A" w:rsidP="00520BB3">
      <w:pPr>
        <w:spacing w:after="0" w:line="360" w:lineRule="auto"/>
        <w:jc w:val="center"/>
        <w:rPr>
          <w:rFonts w:cstheme="minorHAnsi"/>
          <w:bCs/>
          <w:lang w:val="en-US"/>
        </w:rPr>
      </w:pPr>
    </w:p>
    <w:p w14:paraId="3681BCFA" w14:textId="1F58BEAA" w:rsidR="00BB6C1A" w:rsidRPr="00BB6C1A" w:rsidRDefault="00BB6C1A" w:rsidP="00520BB3">
      <w:pPr>
        <w:spacing w:after="0" w:line="360" w:lineRule="auto"/>
        <w:jc w:val="center"/>
        <w:rPr>
          <w:rFonts w:cstheme="minorHAnsi"/>
          <w:b/>
          <w:color w:val="000000" w:themeColor="text1"/>
          <w:sz w:val="48"/>
          <w:szCs w:val="48"/>
          <w:lang w:val="en-US"/>
        </w:rPr>
      </w:pPr>
      <w:r w:rsidRPr="00BB6C1A">
        <w:rPr>
          <w:rFonts w:cstheme="minorHAnsi"/>
          <w:b/>
          <w:color w:val="000000" w:themeColor="text1"/>
          <w:sz w:val="48"/>
          <w:szCs w:val="48"/>
          <w:lang w:val="en-US"/>
        </w:rPr>
        <w:t>Supplementary information</w:t>
      </w:r>
    </w:p>
    <w:p w14:paraId="48FEF335" w14:textId="77777777" w:rsidR="00BB6C1A" w:rsidRDefault="00BB6C1A" w:rsidP="00520BB3">
      <w:pPr>
        <w:spacing w:after="0" w:line="360" w:lineRule="auto"/>
        <w:jc w:val="center"/>
        <w:rPr>
          <w:rFonts w:cstheme="minorHAnsi"/>
          <w:b/>
          <w:color w:val="000000" w:themeColor="text1"/>
          <w:sz w:val="28"/>
          <w:szCs w:val="28"/>
          <w:lang w:val="en-US"/>
        </w:rPr>
      </w:pPr>
    </w:p>
    <w:p w14:paraId="60539D5E" w14:textId="2A973E2D" w:rsidR="00BB6C1A" w:rsidRDefault="00BB6C1A" w:rsidP="00520BB3">
      <w:pPr>
        <w:spacing w:after="0" w:line="360" w:lineRule="auto"/>
        <w:jc w:val="center"/>
        <w:rPr>
          <w:rFonts w:cstheme="minorHAnsi"/>
          <w:b/>
          <w:color w:val="000000" w:themeColor="text1"/>
          <w:sz w:val="28"/>
          <w:szCs w:val="28"/>
          <w:lang w:val="en-US"/>
        </w:rPr>
      </w:pPr>
    </w:p>
    <w:p w14:paraId="07390397" w14:textId="77777777" w:rsidR="00BB6C1A" w:rsidRDefault="00BB6C1A" w:rsidP="00520BB3">
      <w:pPr>
        <w:spacing w:after="0" w:line="360" w:lineRule="auto"/>
        <w:jc w:val="center"/>
        <w:rPr>
          <w:rFonts w:cstheme="minorHAnsi"/>
          <w:b/>
          <w:color w:val="000000" w:themeColor="text1"/>
          <w:sz w:val="28"/>
          <w:szCs w:val="28"/>
          <w:lang w:val="en-US"/>
        </w:rPr>
      </w:pPr>
    </w:p>
    <w:p w14:paraId="5CC7D028" w14:textId="1F819122" w:rsidR="00BB6C1A" w:rsidRDefault="00BB6C1A" w:rsidP="00520BB3">
      <w:pPr>
        <w:spacing w:after="0" w:line="360" w:lineRule="auto"/>
        <w:jc w:val="center"/>
        <w:rPr>
          <w:rFonts w:cstheme="minorHAnsi"/>
          <w:b/>
          <w:color w:val="000000" w:themeColor="text1"/>
          <w:sz w:val="28"/>
          <w:szCs w:val="28"/>
          <w:highlight w:val="yellow"/>
          <w:lang w:val="en-US"/>
        </w:rPr>
      </w:pPr>
    </w:p>
    <w:p w14:paraId="48A9815E" w14:textId="77777777" w:rsidR="00B130CF" w:rsidRPr="001466CB" w:rsidRDefault="00B130CF" w:rsidP="00520BB3">
      <w:pPr>
        <w:spacing w:after="0" w:line="360" w:lineRule="auto"/>
        <w:jc w:val="center"/>
        <w:rPr>
          <w:rFonts w:cstheme="minorHAnsi"/>
          <w:b/>
          <w:color w:val="000000" w:themeColor="text1"/>
          <w:sz w:val="28"/>
          <w:szCs w:val="28"/>
          <w:highlight w:val="yellow"/>
          <w:lang w:val="en-US"/>
        </w:rPr>
      </w:pPr>
    </w:p>
    <w:p w14:paraId="788986A3" w14:textId="1621CB22" w:rsidR="00BB6C1A" w:rsidRPr="00B9355E" w:rsidRDefault="008567C9" w:rsidP="00520BB3">
      <w:pPr>
        <w:spacing w:after="0" w:line="360" w:lineRule="auto"/>
        <w:jc w:val="center"/>
        <w:rPr>
          <w:rFonts w:cstheme="minorHAnsi"/>
          <w:b/>
          <w:color w:val="000000" w:themeColor="text1"/>
          <w:sz w:val="28"/>
          <w:szCs w:val="28"/>
          <w:lang w:val="en-US"/>
        </w:rPr>
      </w:pPr>
      <w:r w:rsidRPr="008567C9">
        <w:rPr>
          <w:rFonts w:cstheme="minorHAnsi"/>
          <w:b/>
          <w:color w:val="000000" w:themeColor="text1"/>
          <w:sz w:val="28"/>
          <w:szCs w:val="28"/>
          <w:lang w:val="en-US"/>
        </w:rPr>
        <w:t xml:space="preserve">MYCN and helicases DDX17 and DDX5 have opposite effects on the production of </w:t>
      </w:r>
      <w:bookmarkStart w:id="0" w:name="_Hlk212137358"/>
      <w:r w:rsidR="00B6374A">
        <w:rPr>
          <w:rFonts w:cstheme="minorHAnsi"/>
          <w:b/>
          <w:color w:val="000000" w:themeColor="text1"/>
          <w:sz w:val="28"/>
          <w:szCs w:val="28"/>
          <w:lang w:val="en-US"/>
        </w:rPr>
        <w:t xml:space="preserve">readthrough-associated </w:t>
      </w:r>
      <w:bookmarkEnd w:id="0"/>
      <w:r w:rsidRPr="008567C9">
        <w:rPr>
          <w:rFonts w:cstheme="minorHAnsi"/>
          <w:b/>
          <w:color w:val="000000" w:themeColor="text1"/>
          <w:sz w:val="28"/>
          <w:szCs w:val="28"/>
          <w:lang w:val="en-US"/>
        </w:rPr>
        <w:t>chimeric transcripts</w:t>
      </w:r>
    </w:p>
    <w:p w14:paraId="4EFF21EF" w14:textId="77777777" w:rsidR="00BB6C1A" w:rsidRDefault="00BB6C1A" w:rsidP="00520BB3">
      <w:pPr>
        <w:spacing w:after="0" w:line="360" w:lineRule="auto"/>
        <w:jc w:val="both"/>
        <w:rPr>
          <w:rFonts w:cstheme="minorHAnsi"/>
          <w:color w:val="000000" w:themeColor="text1"/>
          <w:lang w:val="en-US"/>
        </w:rPr>
      </w:pPr>
    </w:p>
    <w:p w14:paraId="2CC5BE71" w14:textId="77777777" w:rsidR="00BB6C1A" w:rsidRDefault="00BB6C1A" w:rsidP="00520BB3">
      <w:pPr>
        <w:spacing w:after="0" w:line="360" w:lineRule="auto"/>
        <w:jc w:val="both"/>
        <w:rPr>
          <w:rFonts w:cstheme="minorHAnsi"/>
          <w:color w:val="000000" w:themeColor="text1"/>
          <w:lang w:val="en-US"/>
        </w:rPr>
      </w:pPr>
    </w:p>
    <w:p w14:paraId="3927CF1E" w14:textId="77777777" w:rsidR="00BB6C1A" w:rsidRPr="00332B7F" w:rsidRDefault="00BB6C1A" w:rsidP="00015799">
      <w:pPr>
        <w:spacing w:after="0" w:line="360" w:lineRule="auto"/>
        <w:ind w:left="284" w:right="283"/>
        <w:jc w:val="center"/>
        <w:rPr>
          <w:rFonts w:cstheme="minorHAnsi"/>
          <w:color w:val="000000" w:themeColor="text1"/>
          <w:lang w:val="en-US"/>
        </w:rPr>
      </w:pPr>
    </w:p>
    <w:p w14:paraId="4741721D" w14:textId="3C7BFB48" w:rsidR="00BB6C1A" w:rsidRPr="00332B7F" w:rsidRDefault="00BB6C1A" w:rsidP="00015799">
      <w:pPr>
        <w:spacing w:after="0" w:line="360" w:lineRule="auto"/>
        <w:ind w:left="284" w:right="283"/>
        <w:jc w:val="center"/>
        <w:rPr>
          <w:rFonts w:cstheme="minorHAnsi"/>
          <w:lang w:val="en-US"/>
        </w:rPr>
      </w:pPr>
      <w:r w:rsidRPr="00332B7F">
        <w:rPr>
          <w:rFonts w:cstheme="minorHAnsi"/>
          <w:lang w:val="en-US"/>
        </w:rPr>
        <w:t xml:space="preserve">Valentine Clerc, </w:t>
      </w:r>
      <w:r w:rsidR="000A751E">
        <w:rPr>
          <w:rFonts w:cstheme="minorHAnsi"/>
          <w:lang w:val="en-US"/>
        </w:rPr>
        <w:t xml:space="preserve">Khouaila Aouadi, </w:t>
      </w:r>
      <w:r w:rsidRPr="00332B7F">
        <w:rPr>
          <w:rFonts w:cstheme="minorHAnsi"/>
          <w:lang w:val="en-US"/>
        </w:rPr>
        <w:t>Jessica Valat, Xavier Grand, Nicolas Fontrodona, Matéo Bazire, Nicolas Rama, Didier Auboeuf, Benjamin Gibert, Franck Mortreux, Cyril F. Bourgeois</w:t>
      </w:r>
    </w:p>
    <w:p w14:paraId="34C38F90" w14:textId="77777777" w:rsidR="00BB6C1A" w:rsidRPr="00332B7F" w:rsidRDefault="00BB6C1A" w:rsidP="00B130CF">
      <w:pPr>
        <w:spacing w:after="0" w:line="360" w:lineRule="auto"/>
        <w:jc w:val="center"/>
        <w:rPr>
          <w:rFonts w:cstheme="minorHAnsi"/>
          <w:lang w:val="en-US"/>
        </w:rPr>
      </w:pPr>
    </w:p>
    <w:p w14:paraId="107478F3" w14:textId="77777777" w:rsidR="00BB6C1A" w:rsidRDefault="00BB6C1A" w:rsidP="00520BB3">
      <w:pPr>
        <w:spacing w:line="360" w:lineRule="auto"/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br w:type="page"/>
      </w:r>
    </w:p>
    <w:p w14:paraId="0141B762" w14:textId="77777777" w:rsidR="00B444DB" w:rsidRDefault="00B444DB" w:rsidP="00B444DB">
      <w:pPr>
        <w:spacing w:after="0" w:line="360" w:lineRule="auto"/>
        <w:jc w:val="both"/>
        <w:rPr>
          <w:rFonts w:cstheme="minorHAnsi"/>
          <w:b/>
          <w:sz w:val="28"/>
          <w:szCs w:val="28"/>
          <w:lang w:val="en-US"/>
        </w:rPr>
      </w:pPr>
      <w:r w:rsidRPr="007D5D41">
        <w:rPr>
          <w:rFonts w:cstheme="minorHAnsi"/>
          <w:b/>
          <w:sz w:val="28"/>
          <w:szCs w:val="28"/>
          <w:lang w:val="en-US"/>
        </w:rPr>
        <w:lastRenderedPageBreak/>
        <w:t>Legends for Supplementary Figures</w:t>
      </w:r>
    </w:p>
    <w:p w14:paraId="5124D0E4" w14:textId="77777777" w:rsidR="00B444DB" w:rsidRPr="007D5D41" w:rsidRDefault="00B444DB" w:rsidP="00B444DB">
      <w:pPr>
        <w:spacing w:after="0" w:line="360" w:lineRule="auto"/>
        <w:jc w:val="both"/>
        <w:rPr>
          <w:rFonts w:cstheme="minorHAnsi"/>
          <w:b/>
          <w:sz w:val="28"/>
          <w:szCs w:val="28"/>
          <w:lang w:val="en-US"/>
        </w:rPr>
      </w:pPr>
    </w:p>
    <w:p w14:paraId="0C6E8DB4" w14:textId="08FCDCC7" w:rsidR="00B444DB" w:rsidRPr="00332B7F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 xml:space="preserve">Supp. </w:t>
      </w:r>
      <w:r w:rsidRPr="00332B7F">
        <w:rPr>
          <w:rFonts w:cstheme="minorHAnsi"/>
          <w:b/>
          <w:bCs/>
          <w:lang w:val="en-US"/>
        </w:rPr>
        <w:t>Fig</w:t>
      </w:r>
      <w:r>
        <w:rPr>
          <w:rFonts w:cstheme="minorHAnsi"/>
          <w:b/>
          <w:bCs/>
          <w:lang w:val="en-US"/>
        </w:rPr>
        <w:t>ure 1.</w:t>
      </w:r>
      <w:r w:rsidRPr="00332B7F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 xml:space="preserve">Typical examples of </w:t>
      </w:r>
      <w:r w:rsidR="00304698">
        <w:rPr>
          <w:rFonts w:cstheme="minorHAnsi"/>
          <w:lang w:val="en-US"/>
        </w:rPr>
        <w:t>tracRNAs</w:t>
      </w:r>
      <w:r>
        <w:rPr>
          <w:rFonts w:cstheme="minorHAnsi"/>
          <w:lang w:val="en-US"/>
        </w:rPr>
        <w:t xml:space="preserve"> induced by </w:t>
      </w:r>
      <w:r w:rsidRPr="00332B7F">
        <w:rPr>
          <w:rFonts w:cstheme="minorHAnsi"/>
          <w:lang w:val="en-US"/>
        </w:rPr>
        <w:t>DDX17 and DDX5 depletion.</w:t>
      </w:r>
      <w:r>
        <w:rPr>
          <w:rFonts w:cstheme="minorHAnsi"/>
          <w:lang w:val="en-US"/>
        </w:rPr>
        <w:t xml:space="preserve"> </w:t>
      </w:r>
      <w:r w:rsidRPr="00332B7F">
        <w:rPr>
          <w:rFonts w:cstheme="minorHAnsi"/>
          <w:b/>
          <w:bCs/>
          <w:lang w:val="en-US"/>
        </w:rPr>
        <w:t>A</w:t>
      </w:r>
      <w:r>
        <w:rPr>
          <w:rFonts w:cstheme="minorHAnsi"/>
          <w:b/>
          <w:bCs/>
          <w:lang w:val="en-US"/>
        </w:rPr>
        <w:t>.</w:t>
      </w:r>
      <w:r w:rsidRPr="00332B7F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 xml:space="preserve">Screenshot from the Integrative Genome Viewer (IGV) browser showing the RNA-seq reads aligning to </w:t>
      </w:r>
      <w:r w:rsidRPr="005C3B72">
        <w:rPr>
          <w:rFonts w:cstheme="minorHAnsi"/>
          <w:i/>
          <w:iCs/>
          <w:lang w:val="en-US"/>
        </w:rPr>
        <w:t>CTSD</w:t>
      </w:r>
      <w:r>
        <w:rPr>
          <w:rFonts w:cstheme="minorHAnsi"/>
          <w:lang w:val="en-US"/>
        </w:rPr>
        <w:t xml:space="preserve"> and </w:t>
      </w:r>
      <w:r w:rsidRPr="005C3B72">
        <w:rPr>
          <w:rFonts w:cstheme="minorHAnsi"/>
          <w:i/>
          <w:iCs/>
          <w:lang w:val="en-US"/>
        </w:rPr>
        <w:t>IFITM10</w:t>
      </w:r>
      <w:r>
        <w:rPr>
          <w:rFonts w:cstheme="minorHAnsi"/>
          <w:lang w:val="en-US"/>
        </w:rPr>
        <w:t xml:space="preserve"> genes</w:t>
      </w:r>
      <w:r w:rsidRPr="00332B7F">
        <w:rPr>
          <w:rFonts w:cstheme="minorHAnsi"/>
          <w:lang w:val="en-US"/>
        </w:rPr>
        <w:t>.</w:t>
      </w:r>
      <w:r>
        <w:rPr>
          <w:rFonts w:cstheme="minorHAnsi"/>
          <w:lang w:val="en-US"/>
        </w:rPr>
        <w:t xml:space="preserve"> The sequencing coverage of control (blue) and siDDX17/DDX5 (red) conditions shows a reduction of the steady-state expression the </w:t>
      </w:r>
      <w:r w:rsidRPr="005C3B72">
        <w:rPr>
          <w:rFonts w:cstheme="minorHAnsi"/>
          <w:i/>
          <w:iCs/>
          <w:lang w:val="en-US"/>
        </w:rPr>
        <w:t>CTSD</w:t>
      </w:r>
      <w:r>
        <w:rPr>
          <w:rFonts w:cstheme="minorHAnsi"/>
          <w:lang w:val="en-US"/>
        </w:rPr>
        <w:t xml:space="preserve"> gene, yet the number of reads spanning the junction between exons of both genes is higher upon DDX17/DDX5 depletion. Most reads characteri</w:t>
      </w:r>
      <w:r w:rsidR="00304698">
        <w:rPr>
          <w:rFonts w:cstheme="minorHAnsi"/>
          <w:lang w:val="en-US"/>
        </w:rPr>
        <w:t>s</w:t>
      </w:r>
      <w:r>
        <w:rPr>
          <w:rFonts w:cstheme="minorHAnsi"/>
          <w:lang w:val="en-US"/>
        </w:rPr>
        <w:t xml:space="preserve">ing the </w:t>
      </w:r>
      <w:r w:rsidRPr="00063006">
        <w:rPr>
          <w:rFonts w:cstheme="minorHAnsi"/>
          <w:i/>
          <w:iCs/>
          <w:lang w:val="en-US"/>
        </w:rPr>
        <w:t>CTSD-IFITM10</w:t>
      </w:r>
      <w:r>
        <w:rPr>
          <w:rFonts w:cstheme="minorHAnsi"/>
          <w:lang w:val="en-US"/>
        </w:rPr>
        <w:t xml:space="preserve"> </w:t>
      </w:r>
      <w:r w:rsidR="00304698">
        <w:rPr>
          <w:rFonts w:cstheme="minorHAnsi"/>
          <w:lang w:val="en-US"/>
        </w:rPr>
        <w:t xml:space="preserve">tracRNAs </w:t>
      </w:r>
      <w:r>
        <w:rPr>
          <w:rFonts w:cstheme="minorHAnsi"/>
          <w:lang w:val="en-US"/>
        </w:rPr>
        <w:t xml:space="preserve">link the one-to-the-last exon of </w:t>
      </w:r>
      <w:r w:rsidRPr="00063006">
        <w:rPr>
          <w:rFonts w:cstheme="minorHAnsi"/>
          <w:i/>
          <w:iCs/>
          <w:lang w:val="en-US"/>
        </w:rPr>
        <w:t>CTSD</w:t>
      </w:r>
      <w:r>
        <w:rPr>
          <w:rFonts w:cstheme="minorHAnsi"/>
          <w:lang w:val="en-US"/>
        </w:rPr>
        <w:t xml:space="preserve"> to the second exon of </w:t>
      </w:r>
      <w:r w:rsidRPr="00063006">
        <w:rPr>
          <w:rFonts w:cstheme="minorHAnsi"/>
          <w:i/>
          <w:iCs/>
          <w:lang w:val="en-US"/>
        </w:rPr>
        <w:t>IFITM10</w:t>
      </w:r>
      <w:r>
        <w:rPr>
          <w:rFonts w:cstheme="minorHAnsi"/>
          <w:lang w:val="en-US"/>
        </w:rPr>
        <w:t>.</w:t>
      </w:r>
      <w:r w:rsidRPr="00332B7F">
        <w:rPr>
          <w:rFonts w:cstheme="minorHAnsi"/>
          <w:lang w:val="en-US"/>
        </w:rPr>
        <w:t xml:space="preserve"> </w:t>
      </w:r>
      <w:r w:rsidRPr="00D2382E">
        <w:rPr>
          <w:rFonts w:cstheme="minorHAnsi"/>
          <w:b/>
          <w:bCs/>
          <w:lang w:val="en-US"/>
        </w:rPr>
        <w:t>B</w:t>
      </w:r>
      <w:r>
        <w:rPr>
          <w:rFonts w:cstheme="minorHAnsi"/>
          <w:b/>
          <w:bCs/>
          <w:lang w:val="en-US"/>
        </w:rPr>
        <w:t>.</w:t>
      </w:r>
      <w:r w:rsidRPr="00D2382E">
        <w:rPr>
          <w:rFonts w:cstheme="minorHAnsi"/>
          <w:b/>
          <w:bCs/>
          <w:lang w:val="en-US"/>
        </w:rPr>
        <w:t xml:space="preserve"> </w:t>
      </w:r>
      <w:r>
        <w:rPr>
          <w:rFonts w:cstheme="minorHAnsi"/>
          <w:lang w:val="en-US"/>
        </w:rPr>
        <w:t>Other IGV screenshots, in which only the sequencing coverage and splicing junctions are shown. Control and siDDX17/DDX5 conditions are in red and blue, respectively.</w:t>
      </w:r>
    </w:p>
    <w:p w14:paraId="083EED4A" w14:textId="77777777" w:rsidR="00B444DB" w:rsidRPr="00332B7F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</w:p>
    <w:p w14:paraId="7121DA84" w14:textId="3F08422A" w:rsidR="00B444DB" w:rsidRPr="00332B7F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 xml:space="preserve">Supp. </w:t>
      </w:r>
      <w:r w:rsidRPr="00332B7F">
        <w:rPr>
          <w:rFonts w:cstheme="minorHAnsi"/>
          <w:b/>
          <w:bCs/>
          <w:lang w:val="en-US"/>
        </w:rPr>
        <w:t>Fig</w:t>
      </w:r>
      <w:r>
        <w:rPr>
          <w:rFonts w:cstheme="minorHAnsi"/>
          <w:b/>
          <w:bCs/>
          <w:lang w:val="en-US"/>
        </w:rPr>
        <w:t>ure</w:t>
      </w:r>
      <w:r w:rsidRPr="00332B7F">
        <w:rPr>
          <w:rFonts w:cstheme="minorHAnsi"/>
          <w:b/>
          <w:bCs/>
          <w:lang w:val="en-US"/>
        </w:rPr>
        <w:t xml:space="preserve"> 2</w:t>
      </w:r>
      <w:r>
        <w:rPr>
          <w:rFonts w:cstheme="minorHAnsi"/>
          <w:b/>
          <w:bCs/>
          <w:lang w:val="en-US"/>
        </w:rPr>
        <w:t>.</w:t>
      </w:r>
      <w:r>
        <w:rPr>
          <w:rFonts w:cstheme="minorHAnsi"/>
          <w:lang w:val="en-US"/>
        </w:rPr>
        <w:t xml:space="preserve"> </w:t>
      </w:r>
      <w:r w:rsidRPr="00332B7F">
        <w:rPr>
          <w:rFonts w:cstheme="minorHAnsi"/>
          <w:b/>
          <w:bCs/>
          <w:lang w:val="en-US"/>
        </w:rPr>
        <w:t>A</w:t>
      </w:r>
      <w:r>
        <w:rPr>
          <w:rFonts w:cstheme="minorHAnsi"/>
          <w:b/>
          <w:bCs/>
          <w:lang w:val="en-US"/>
        </w:rPr>
        <w:t>.</w:t>
      </w:r>
      <w:r w:rsidRPr="00332B7F">
        <w:rPr>
          <w:rFonts w:cstheme="minorHAnsi"/>
          <w:b/>
          <w:bCs/>
          <w:lang w:val="en-US"/>
        </w:rPr>
        <w:t xml:space="preserve"> </w:t>
      </w:r>
      <w:r w:rsidR="00B26D18" w:rsidRPr="008E7F71">
        <w:rPr>
          <w:rFonts w:cstheme="minorHAnsi"/>
          <w:lang w:val="en-US"/>
        </w:rPr>
        <w:t xml:space="preserve">Schematic representation of </w:t>
      </w:r>
      <w:r w:rsidR="00B26D18">
        <w:rPr>
          <w:rFonts w:cstheme="minorHAnsi"/>
          <w:lang w:val="en-US"/>
        </w:rPr>
        <w:t xml:space="preserve">canonical mRNAs and </w:t>
      </w:r>
      <w:r w:rsidR="00B26D18" w:rsidRPr="008E7F71">
        <w:rPr>
          <w:rFonts w:cstheme="minorHAnsi"/>
          <w:lang w:val="en-US"/>
        </w:rPr>
        <w:t>t</w:t>
      </w:r>
      <w:r w:rsidR="00B26D18">
        <w:rPr>
          <w:rFonts w:cstheme="minorHAnsi"/>
          <w:lang w:val="en-US"/>
        </w:rPr>
        <w:t xml:space="preserve">racRNA, which indicates the position of the primers designed to quantify their respective level (red arrows). </w:t>
      </w:r>
      <w:r w:rsidR="00B26D18" w:rsidRPr="00B26D18">
        <w:rPr>
          <w:rFonts w:cstheme="minorHAnsi"/>
          <w:b/>
          <w:bCs/>
          <w:lang w:val="en-US"/>
        </w:rPr>
        <w:t xml:space="preserve">B. </w:t>
      </w:r>
      <w:r>
        <w:rPr>
          <w:rFonts w:cstheme="minorHAnsi"/>
          <w:lang w:val="en-US"/>
        </w:rPr>
        <w:t>Validation</w:t>
      </w:r>
      <w:r w:rsidRPr="00332B7F">
        <w:rPr>
          <w:rFonts w:cstheme="minorHAnsi"/>
          <w:lang w:val="en-US"/>
        </w:rPr>
        <w:t xml:space="preserve"> of </w:t>
      </w:r>
      <w:r>
        <w:rPr>
          <w:rFonts w:cstheme="minorHAnsi"/>
          <w:lang w:val="en-US"/>
        </w:rPr>
        <w:t xml:space="preserve">the expression of </w:t>
      </w:r>
      <w:r w:rsidR="00304698">
        <w:rPr>
          <w:rFonts w:cstheme="minorHAnsi"/>
          <w:lang w:val="en-US"/>
        </w:rPr>
        <w:t xml:space="preserve">tracRNAs </w:t>
      </w:r>
      <w:r>
        <w:rPr>
          <w:rFonts w:cstheme="minorHAnsi"/>
          <w:lang w:val="en-US"/>
        </w:rPr>
        <w:t>by RT-PCR</w:t>
      </w:r>
      <w:r w:rsidRPr="00332B7F">
        <w:rPr>
          <w:rFonts w:cstheme="minorHAnsi"/>
          <w:lang w:val="en-US"/>
        </w:rPr>
        <w:t xml:space="preserve">. Expression of </w:t>
      </w:r>
      <w:r w:rsidR="00304698">
        <w:rPr>
          <w:rFonts w:cstheme="minorHAnsi"/>
          <w:lang w:val="en-US"/>
        </w:rPr>
        <w:t xml:space="preserve">tracRNAs </w:t>
      </w:r>
      <w:r w:rsidRPr="00332B7F">
        <w:rPr>
          <w:rFonts w:cstheme="minorHAnsi"/>
          <w:lang w:val="en-US"/>
        </w:rPr>
        <w:t xml:space="preserve">was monitored using primers spanning the chimeric junction and </w:t>
      </w:r>
      <w:r>
        <w:rPr>
          <w:rFonts w:cstheme="minorHAnsi"/>
          <w:lang w:val="en-US"/>
        </w:rPr>
        <w:t xml:space="preserve">compared to </w:t>
      </w:r>
      <w:r w:rsidRPr="00332B7F">
        <w:rPr>
          <w:rFonts w:cstheme="minorHAnsi"/>
          <w:lang w:val="en-US"/>
        </w:rPr>
        <w:t xml:space="preserve">the expression of the parental gene. </w:t>
      </w:r>
      <w:r>
        <w:rPr>
          <w:rFonts w:cstheme="minorHAnsi"/>
          <w:lang w:val="en-US"/>
        </w:rPr>
        <w:t xml:space="preserve">Controls for reverse transcription (RNA in the RT) and PCR (no cDNA) are included. The asterisk on the </w:t>
      </w:r>
      <w:r w:rsidRPr="003F4878">
        <w:rPr>
          <w:rFonts w:cstheme="minorHAnsi"/>
          <w:i/>
          <w:iCs/>
          <w:lang w:val="en-US"/>
        </w:rPr>
        <w:t>GAPDH</w:t>
      </w:r>
      <w:r>
        <w:rPr>
          <w:rFonts w:cstheme="minorHAnsi"/>
          <w:lang w:val="en-US"/>
        </w:rPr>
        <w:t xml:space="preserve"> panel indicates a non-specific PCR product (dimers of primers). </w:t>
      </w:r>
      <w:r w:rsidR="00B26D18">
        <w:rPr>
          <w:rFonts w:cstheme="minorHAnsi"/>
          <w:b/>
          <w:bCs/>
          <w:lang w:val="en-US"/>
        </w:rPr>
        <w:t>C</w:t>
      </w:r>
      <w:r>
        <w:rPr>
          <w:rFonts w:cstheme="minorHAnsi"/>
          <w:b/>
          <w:bCs/>
          <w:lang w:val="en-US"/>
        </w:rPr>
        <w:t>.</w:t>
      </w:r>
      <w:r w:rsidRPr="00332B7F">
        <w:rPr>
          <w:rFonts w:cstheme="minorHAnsi"/>
          <w:b/>
          <w:bCs/>
          <w:lang w:val="en-US"/>
        </w:rPr>
        <w:t xml:space="preserve"> </w:t>
      </w:r>
      <w:r w:rsidRPr="00332B7F">
        <w:rPr>
          <w:rFonts w:cstheme="minorHAnsi"/>
          <w:lang w:val="en-US"/>
        </w:rPr>
        <w:t xml:space="preserve">RT-qPCR </w:t>
      </w:r>
      <w:r>
        <w:rPr>
          <w:rFonts w:cstheme="minorHAnsi"/>
          <w:lang w:val="en-US"/>
        </w:rPr>
        <w:t>quantification of the steady-state e</w:t>
      </w:r>
      <w:r w:rsidRPr="00332B7F">
        <w:rPr>
          <w:rFonts w:cstheme="minorHAnsi"/>
          <w:lang w:val="en-US"/>
        </w:rPr>
        <w:t xml:space="preserve">xpression of </w:t>
      </w:r>
      <w:r>
        <w:rPr>
          <w:rFonts w:cstheme="minorHAnsi"/>
          <w:lang w:val="en-US"/>
        </w:rPr>
        <w:t xml:space="preserve">canonical mRNAs corresponding to the </w:t>
      </w:r>
      <w:r w:rsidR="00304698">
        <w:rPr>
          <w:rFonts w:cstheme="minorHAnsi"/>
          <w:lang w:val="en-US"/>
        </w:rPr>
        <w:t xml:space="preserve">tracRNAs </w:t>
      </w:r>
      <w:r>
        <w:rPr>
          <w:rFonts w:cstheme="minorHAnsi"/>
          <w:lang w:val="en-US"/>
        </w:rPr>
        <w:t>validated in Fig. 1C</w:t>
      </w:r>
      <w:r w:rsidRPr="00332B7F">
        <w:rPr>
          <w:rFonts w:cstheme="minorHAnsi"/>
          <w:lang w:val="en-US"/>
        </w:rPr>
        <w:t>.</w:t>
      </w:r>
      <w:r w:rsidRPr="00E32F5A">
        <w:rPr>
          <w:rFonts w:cstheme="minorHAnsi"/>
          <w:lang w:val="en-US"/>
        </w:rPr>
        <w:t xml:space="preserve"> </w:t>
      </w:r>
      <w:r w:rsidRPr="00332B7F">
        <w:rPr>
          <w:rFonts w:cstheme="minorHAnsi"/>
          <w:lang w:val="en-US"/>
        </w:rPr>
        <w:t xml:space="preserve">Two-tailed paired t-test (* </w:t>
      </w:r>
      <w:r w:rsidRPr="00332B7F">
        <w:rPr>
          <w:rFonts w:cstheme="minorHAnsi"/>
          <w:i/>
          <w:iCs/>
          <w:lang w:val="en-US"/>
        </w:rPr>
        <w:t>P</w:t>
      </w:r>
      <w:r w:rsidRPr="00332B7F">
        <w:rPr>
          <w:rFonts w:cstheme="minorHAnsi"/>
          <w:lang w:val="en-US"/>
        </w:rPr>
        <w:t xml:space="preserve">-val&lt;0.05 ; ** </w:t>
      </w:r>
      <w:r w:rsidRPr="00332B7F">
        <w:rPr>
          <w:rFonts w:cstheme="minorHAnsi"/>
          <w:i/>
          <w:iCs/>
          <w:lang w:val="en-US"/>
        </w:rPr>
        <w:t>P</w:t>
      </w:r>
      <w:r w:rsidRPr="00332B7F">
        <w:rPr>
          <w:rFonts w:cstheme="minorHAnsi"/>
          <w:lang w:val="en-US"/>
        </w:rPr>
        <w:t>-val&lt;0.01).</w:t>
      </w:r>
    </w:p>
    <w:p w14:paraId="3AC8E15B" w14:textId="77777777" w:rsidR="00B444DB" w:rsidRPr="00332B7F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</w:p>
    <w:p w14:paraId="477A2D03" w14:textId="77777777" w:rsidR="00B444DB" w:rsidRPr="00332B7F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 xml:space="preserve">Supp. </w:t>
      </w:r>
      <w:r w:rsidRPr="00332B7F">
        <w:rPr>
          <w:rFonts w:cstheme="minorHAnsi"/>
          <w:b/>
          <w:bCs/>
          <w:lang w:val="en-US"/>
        </w:rPr>
        <w:t>Fig</w:t>
      </w:r>
      <w:r>
        <w:rPr>
          <w:rFonts w:cstheme="minorHAnsi"/>
          <w:b/>
          <w:bCs/>
          <w:lang w:val="en-US"/>
        </w:rPr>
        <w:t>ure</w:t>
      </w:r>
      <w:r w:rsidRPr="00332B7F">
        <w:rPr>
          <w:rFonts w:cstheme="minorHAnsi"/>
          <w:b/>
          <w:bCs/>
          <w:lang w:val="en-US"/>
        </w:rPr>
        <w:t xml:space="preserve"> 3</w:t>
      </w:r>
      <w:r>
        <w:rPr>
          <w:rFonts w:cstheme="minorHAnsi"/>
          <w:b/>
          <w:bCs/>
          <w:lang w:val="en-US"/>
        </w:rPr>
        <w:t>.</w:t>
      </w:r>
      <w:r w:rsidRPr="00332B7F">
        <w:rPr>
          <w:rFonts w:cstheme="minorHAnsi"/>
          <w:lang w:val="en-US"/>
        </w:rPr>
        <w:t xml:space="preserve"> The expression of the </w:t>
      </w:r>
      <w:r w:rsidRPr="00332B7F">
        <w:rPr>
          <w:rFonts w:cstheme="minorHAnsi"/>
          <w:i/>
          <w:iCs/>
          <w:lang w:val="en-US"/>
        </w:rPr>
        <w:t>DDX</w:t>
      </w:r>
      <w:r>
        <w:rPr>
          <w:rFonts w:cstheme="minorHAnsi"/>
          <w:i/>
          <w:iCs/>
          <w:lang w:val="en-US"/>
        </w:rPr>
        <w:t>5</w:t>
      </w:r>
      <w:r w:rsidRPr="00332B7F">
        <w:rPr>
          <w:rFonts w:cstheme="minorHAnsi"/>
          <w:lang w:val="en-US"/>
        </w:rPr>
        <w:t xml:space="preserve"> gene is reduced in high risk neuroblastomas.</w:t>
      </w:r>
      <w:r>
        <w:rPr>
          <w:rFonts w:cstheme="minorHAnsi"/>
          <w:lang w:val="en-US"/>
        </w:rPr>
        <w:t xml:space="preserve"> </w:t>
      </w:r>
      <w:r w:rsidRPr="00332B7F">
        <w:rPr>
          <w:rFonts w:cstheme="minorHAnsi"/>
          <w:b/>
          <w:bCs/>
          <w:lang w:val="en-US"/>
        </w:rPr>
        <w:t>A</w:t>
      </w:r>
      <w:r>
        <w:rPr>
          <w:rFonts w:cstheme="minorHAnsi"/>
          <w:b/>
          <w:bCs/>
          <w:lang w:val="en-US"/>
        </w:rPr>
        <w:t>.</w:t>
      </w:r>
      <w:r w:rsidRPr="00332B7F">
        <w:rPr>
          <w:rFonts w:cstheme="minorHAnsi"/>
          <w:b/>
          <w:bCs/>
          <w:lang w:val="en-US"/>
        </w:rPr>
        <w:t xml:space="preserve"> </w:t>
      </w:r>
      <w:r w:rsidRPr="00332B7F">
        <w:rPr>
          <w:rFonts w:cstheme="minorHAnsi"/>
          <w:lang w:val="en-US"/>
        </w:rPr>
        <w:t xml:space="preserve">Kaplan-Meier curves showing the overall survival of </w:t>
      </w:r>
      <w:r>
        <w:rPr>
          <w:rFonts w:cstheme="minorHAnsi"/>
          <w:lang w:val="en-US"/>
        </w:rPr>
        <w:t>neuroblastoma</w:t>
      </w:r>
      <w:r w:rsidRPr="00332B7F">
        <w:rPr>
          <w:rFonts w:cstheme="minorHAnsi"/>
          <w:lang w:val="en-US"/>
        </w:rPr>
        <w:t xml:space="preserve"> patients, separated in 2 groups of high and low </w:t>
      </w:r>
      <w:r w:rsidRPr="00332B7F">
        <w:rPr>
          <w:rFonts w:cstheme="minorHAnsi"/>
          <w:i/>
          <w:iCs/>
          <w:lang w:val="en-US"/>
        </w:rPr>
        <w:t>DDX</w:t>
      </w:r>
      <w:r>
        <w:rPr>
          <w:rFonts w:cstheme="minorHAnsi"/>
          <w:i/>
          <w:iCs/>
          <w:lang w:val="en-US"/>
        </w:rPr>
        <w:t>5</w:t>
      </w:r>
      <w:r w:rsidRPr="00332B7F">
        <w:rPr>
          <w:rFonts w:cstheme="minorHAnsi"/>
          <w:lang w:val="en-US"/>
        </w:rPr>
        <w:t xml:space="preserve"> expression (relative to the median value of the group). Left diagram: all patients (n=498). Right diagram: stage 4 patients (n=183). The number of patients in each group and for each time point is indicated below. </w:t>
      </w:r>
      <w:r>
        <w:rPr>
          <w:rFonts w:cstheme="minorHAnsi"/>
          <w:b/>
          <w:bCs/>
          <w:lang w:val="en-US"/>
        </w:rPr>
        <w:t xml:space="preserve">B. </w:t>
      </w:r>
      <w:r w:rsidRPr="00332B7F">
        <w:rPr>
          <w:rFonts w:cstheme="minorHAnsi"/>
          <w:lang w:val="en-US"/>
        </w:rPr>
        <w:t xml:space="preserve">Box plot of </w:t>
      </w:r>
      <w:r w:rsidRPr="00332B7F">
        <w:rPr>
          <w:rFonts w:cstheme="minorHAnsi"/>
          <w:i/>
          <w:iCs/>
          <w:lang w:val="en-US"/>
        </w:rPr>
        <w:t>DDX</w:t>
      </w:r>
      <w:r>
        <w:rPr>
          <w:rFonts w:cstheme="minorHAnsi"/>
          <w:i/>
          <w:iCs/>
          <w:lang w:val="en-US"/>
        </w:rPr>
        <w:t>5</w:t>
      </w:r>
      <w:r w:rsidRPr="00332B7F">
        <w:rPr>
          <w:rFonts w:cstheme="minorHAnsi"/>
          <w:lang w:val="en-US"/>
        </w:rPr>
        <w:t xml:space="preserve"> expression relative to tumor stage (INSS classification). ANOVA corrected for multiple comparisons with Tukey’s tests. Only the comparison between Stage 4 and other stages is shown, the other comparisons were not significant.</w:t>
      </w:r>
      <w:r>
        <w:rPr>
          <w:rFonts w:cstheme="minorHAnsi"/>
          <w:lang w:val="en-US"/>
        </w:rPr>
        <w:t xml:space="preserve"> </w:t>
      </w:r>
      <w:r>
        <w:rPr>
          <w:rFonts w:cstheme="minorHAnsi"/>
          <w:b/>
          <w:bCs/>
          <w:lang w:val="en-US"/>
        </w:rPr>
        <w:t>C.</w:t>
      </w:r>
      <w:r w:rsidRPr="00332B7F">
        <w:rPr>
          <w:rFonts w:cstheme="minorHAnsi"/>
          <w:lang w:val="en-US"/>
        </w:rPr>
        <w:t xml:space="preserve"> Box plot of </w:t>
      </w:r>
      <w:r w:rsidRPr="00332B7F">
        <w:rPr>
          <w:rFonts w:cstheme="minorHAnsi"/>
          <w:i/>
          <w:iCs/>
          <w:lang w:val="en-US"/>
        </w:rPr>
        <w:t>DDX</w:t>
      </w:r>
      <w:r>
        <w:rPr>
          <w:rFonts w:cstheme="minorHAnsi"/>
          <w:i/>
          <w:iCs/>
          <w:lang w:val="en-US"/>
        </w:rPr>
        <w:t>5</w:t>
      </w:r>
      <w:r w:rsidRPr="00332B7F">
        <w:rPr>
          <w:rFonts w:cstheme="minorHAnsi"/>
          <w:lang w:val="en-US"/>
        </w:rPr>
        <w:t xml:space="preserve"> expression relative to low/high risk classification. Two-tailed </w:t>
      </w:r>
      <w:r w:rsidRPr="00332B7F">
        <w:rPr>
          <w:rFonts w:cstheme="minorHAnsi"/>
          <w:i/>
          <w:iCs/>
          <w:lang w:val="en-US"/>
        </w:rPr>
        <w:t>t</w:t>
      </w:r>
      <w:r w:rsidRPr="00332B7F">
        <w:rPr>
          <w:rFonts w:cstheme="minorHAnsi"/>
          <w:lang w:val="en-US"/>
        </w:rPr>
        <w:t>-test.</w:t>
      </w:r>
      <w:r>
        <w:rPr>
          <w:rFonts w:cstheme="minorHAnsi"/>
          <w:lang w:val="en-US"/>
        </w:rPr>
        <w:t xml:space="preserve"> </w:t>
      </w:r>
      <w:r>
        <w:rPr>
          <w:rFonts w:cstheme="minorHAnsi"/>
          <w:b/>
          <w:bCs/>
          <w:lang w:val="en-US"/>
        </w:rPr>
        <w:t xml:space="preserve">D. </w:t>
      </w:r>
      <w:r w:rsidRPr="00332B7F">
        <w:rPr>
          <w:rFonts w:cstheme="minorHAnsi"/>
          <w:lang w:val="en-US"/>
        </w:rPr>
        <w:t xml:space="preserve">Box plot of </w:t>
      </w:r>
      <w:r w:rsidRPr="00332B7F">
        <w:rPr>
          <w:rFonts w:cstheme="minorHAnsi"/>
          <w:i/>
          <w:iCs/>
          <w:lang w:val="en-US"/>
        </w:rPr>
        <w:t>DDX</w:t>
      </w:r>
      <w:r>
        <w:rPr>
          <w:rFonts w:cstheme="minorHAnsi"/>
          <w:i/>
          <w:iCs/>
          <w:lang w:val="en-US"/>
        </w:rPr>
        <w:t>5</w:t>
      </w:r>
      <w:r w:rsidRPr="00332B7F">
        <w:rPr>
          <w:rFonts w:cstheme="minorHAnsi"/>
          <w:lang w:val="en-US"/>
        </w:rPr>
        <w:t xml:space="preserve"> expression relative to amplified (A) or non amplied (NA) </w:t>
      </w:r>
      <w:r w:rsidRPr="00332B7F">
        <w:rPr>
          <w:rFonts w:cstheme="minorHAnsi"/>
          <w:i/>
          <w:iCs/>
          <w:lang w:val="en-US"/>
        </w:rPr>
        <w:t>MYCN</w:t>
      </w:r>
      <w:r w:rsidRPr="00332B7F">
        <w:rPr>
          <w:rFonts w:cstheme="minorHAnsi"/>
          <w:lang w:val="en-US"/>
        </w:rPr>
        <w:t xml:space="preserve"> status. Two-tailed </w:t>
      </w:r>
      <w:r w:rsidRPr="00332B7F">
        <w:rPr>
          <w:rFonts w:cstheme="minorHAnsi"/>
          <w:i/>
          <w:iCs/>
          <w:lang w:val="en-US"/>
        </w:rPr>
        <w:t>t</w:t>
      </w:r>
      <w:r w:rsidRPr="00332B7F">
        <w:rPr>
          <w:rFonts w:cstheme="minorHAnsi"/>
          <w:lang w:val="en-US"/>
        </w:rPr>
        <w:t>-test.</w:t>
      </w:r>
    </w:p>
    <w:p w14:paraId="351D9479" w14:textId="77777777" w:rsidR="00B444DB" w:rsidRPr="00332B7F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</w:p>
    <w:p w14:paraId="4AD5AB44" w14:textId="0A991D25" w:rsidR="00B444DB" w:rsidRPr="00332B7F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 xml:space="preserve">Supp. </w:t>
      </w:r>
      <w:r w:rsidRPr="00332B7F">
        <w:rPr>
          <w:rFonts w:cstheme="minorHAnsi"/>
          <w:b/>
          <w:bCs/>
          <w:lang w:val="en-US"/>
        </w:rPr>
        <w:t>Fig</w:t>
      </w:r>
      <w:r>
        <w:rPr>
          <w:rFonts w:cstheme="minorHAnsi"/>
          <w:b/>
          <w:bCs/>
          <w:lang w:val="en-US"/>
        </w:rPr>
        <w:t>ure</w:t>
      </w:r>
      <w:r w:rsidRPr="00332B7F">
        <w:rPr>
          <w:rFonts w:cstheme="minorHAnsi"/>
          <w:b/>
          <w:bCs/>
          <w:lang w:val="en-US"/>
        </w:rPr>
        <w:t xml:space="preserve"> 4</w:t>
      </w:r>
      <w:r>
        <w:rPr>
          <w:rFonts w:cstheme="minorHAnsi"/>
          <w:b/>
          <w:bCs/>
          <w:lang w:val="en-US"/>
        </w:rPr>
        <w:t>.</w:t>
      </w:r>
      <w:r w:rsidRPr="00332B7F">
        <w:rPr>
          <w:rFonts w:cstheme="minorHAnsi"/>
          <w:lang w:val="en-US"/>
        </w:rPr>
        <w:t xml:space="preserve"> </w:t>
      </w:r>
      <w:r w:rsidRPr="00332B7F">
        <w:rPr>
          <w:rFonts w:cstheme="minorHAnsi"/>
          <w:b/>
          <w:bCs/>
          <w:lang w:val="en-US"/>
        </w:rPr>
        <w:t>A</w:t>
      </w:r>
      <w:r>
        <w:rPr>
          <w:rFonts w:cstheme="minorHAnsi"/>
          <w:b/>
          <w:bCs/>
          <w:lang w:val="en-US"/>
        </w:rPr>
        <w:t>.</w:t>
      </w:r>
      <w:r w:rsidRPr="00332B7F">
        <w:rPr>
          <w:rFonts w:cstheme="minorHAnsi"/>
          <w:b/>
          <w:bCs/>
          <w:lang w:val="en-US"/>
        </w:rPr>
        <w:t xml:space="preserve"> </w:t>
      </w:r>
      <w:r w:rsidRPr="00332B7F">
        <w:rPr>
          <w:rFonts w:cstheme="minorHAnsi"/>
          <w:lang w:val="en-US"/>
        </w:rPr>
        <w:t xml:space="preserve">RT-qPCR </w:t>
      </w:r>
      <w:r>
        <w:rPr>
          <w:rFonts w:cstheme="minorHAnsi"/>
          <w:lang w:val="en-US"/>
        </w:rPr>
        <w:t>quantification of the steady-state e</w:t>
      </w:r>
      <w:r w:rsidRPr="00332B7F">
        <w:rPr>
          <w:rFonts w:cstheme="minorHAnsi"/>
          <w:lang w:val="en-US"/>
        </w:rPr>
        <w:t xml:space="preserve">xpression of </w:t>
      </w:r>
      <w:r>
        <w:rPr>
          <w:rFonts w:cstheme="minorHAnsi"/>
          <w:lang w:val="en-US"/>
        </w:rPr>
        <w:t xml:space="preserve">canonical mRNAs corresponding to the </w:t>
      </w:r>
      <w:r w:rsidR="00304698">
        <w:rPr>
          <w:rFonts w:cstheme="minorHAnsi"/>
          <w:lang w:val="en-US"/>
        </w:rPr>
        <w:t xml:space="preserve">tracRNAs </w:t>
      </w:r>
      <w:r>
        <w:rPr>
          <w:rFonts w:cstheme="minorHAnsi"/>
          <w:lang w:val="en-US"/>
        </w:rPr>
        <w:t xml:space="preserve">and readthrough </w:t>
      </w:r>
      <w:r w:rsidRPr="00332B7F">
        <w:rPr>
          <w:rFonts w:cstheme="minorHAnsi"/>
          <w:lang w:val="en-US"/>
        </w:rPr>
        <w:t xml:space="preserve">transcripts </w:t>
      </w:r>
      <w:r>
        <w:rPr>
          <w:rFonts w:cstheme="minorHAnsi"/>
          <w:lang w:val="en-US"/>
        </w:rPr>
        <w:t xml:space="preserve">analysed in Fig. </w:t>
      </w:r>
      <w:r w:rsidR="00304698">
        <w:rPr>
          <w:rFonts w:cstheme="minorHAnsi"/>
          <w:lang w:val="en-US"/>
        </w:rPr>
        <w:t>3</w:t>
      </w:r>
      <w:r>
        <w:rPr>
          <w:rFonts w:cstheme="minorHAnsi"/>
          <w:lang w:val="en-US"/>
        </w:rPr>
        <w:t>B, upon MYCN overexpression</w:t>
      </w:r>
      <w:r w:rsidRPr="00332B7F">
        <w:rPr>
          <w:rFonts w:cstheme="minorHAnsi"/>
          <w:lang w:val="en-US"/>
        </w:rPr>
        <w:t xml:space="preserve">. Ratio paired </w:t>
      </w:r>
      <w:r w:rsidRPr="00332B7F">
        <w:rPr>
          <w:rFonts w:cstheme="minorHAnsi"/>
          <w:i/>
          <w:iCs/>
          <w:lang w:val="en-US"/>
        </w:rPr>
        <w:t>t</w:t>
      </w:r>
      <w:r w:rsidRPr="00332B7F">
        <w:rPr>
          <w:rFonts w:cstheme="minorHAnsi"/>
          <w:lang w:val="en-US"/>
        </w:rPr>
        <w:t>-test (*P-val&lt;0.05 ; **P-val&lt;0.01 ; ***P-val&lt;0.001).</w:t>
      </w:r>
      <w:r>
        <w:rPr>
          <w:rFonts w:cstheme="minorHAnsi"/>
          <w:lang w:val="en-US"/>
        </w:rPr>
        <w:t xml:space="preserve"> </w:t>
      </w:r>
      <w:r w:rsidRPr="00332B7F">
        <w:rPr>
          <w:rFonts w:cstheme="minorHAnsi"/>
          <w:b/>
          <w:bCs/>
          <w:lang w:val="en-US"/>
        </w:rPr>
        <w:t>B</w:t>
      </w:r>
      <w:r>
        <w:rPr>
          <w:rFonts w:cstheme="minorHAnsi"/>
          <w:b/>
          <w:bCs/>
          <w:lang w:val="en-US"/>
        </w:rPr>
        <w:t>.</w:t>
      </w:r>
      <w:r w:rsidRPr="00332B7F">
        <w:rPr>
          <w:rFonts w:cstheme="minorHAnsi"/>
          <w:lang w:val="en-US"/>
        </w:rPr>
        <w:t xml:space="preserve"> RT-qPCR </w:t>
      </w:r>
      <w:r>
        <w:rPr>
          <w:rFonts w:cstheme="minorHAnsi"/>
          <w:lang w:val="en-US"/>
        </w:rPr>
        <w:t>quantification of the steady-state e</w:t>
      </w:r>
      <w:r w:rsidRPr="00332B7F">
        <w:rPr>
          <w:rFonts w:cstheme="minorHAnsi"/>
          <w:lang w:val="en-US"/>
        </w:rPr>
        <w:t xml:space="preserve">xpression of </w:t>
      </w:r>
      <w:r>
        <w:rPr>
          <w:rFonts w:cstheme="minorHAnsi"/>
          <w:lang w:val="en-US"/>
        </w:rPr>
        <w:t xml:space="preserve">canonical mRNAs corresponding to the </w:t>
      </w:r>
      <w:r w:rsidR="00304698">
        <w:rPr>
          <w:rFonts w:cstheme="minorHAnsi"/>
          <w:lang w:val="en-US"/>
        </w:rPr>
        <w:t xml:space="preserve">tracRNAs </w:t>
      </w:r>
      <w:r>
        <w:rPr>
          <w:rFonts w:cstheme="minorHAnsi"/>
          <w:lang w:val="en-US"/>
        </w:rPr>
        <w:t xml:space="preserve">and </w:t>
      </w:r>
      <w:r>
        <w:rPr>
          <w:rFonts w:cstheme="minorHAnsi"/>
          <w:lang w:val="en-US"/>
        </w:rPr>
        <w:lastRenderedPageBreak/>
        <w:t xml:space="preserve">readthrough </w:t>
      </w:r>
      <w:r w:rsidRPr="00332B7F">
        <w:rPr>
          <w:rFonts w:cstheme="minorHAnsi"/>
          <w:lang w:val="en-US"/>
        </w:rPr>
        <w:t xml:space="preserve">transcripts </w:t>
      </w:r>
      <w:r>
        <w:rPr>
          <w:rFonts w:cstheme="minorHAnsi"/>
          <w:lang w:val="en-US"/>
        </w:rPr>
        <w:t xml:space="preserve">analysed in Fig. </w:t>
      </w:r>
      <w:r w:rsidR="00304698">
        <w:rPr>
          <w:rFonts w:cstheme="minorHAnsi"/>
          <w:lang w:val="en-US"/>
        </w:rPr>
        <w:t>3</w:t>
      </w:r>
      <w:r>
        <w:rPr>
          <w:rFonts w:cstheme="minorHAnsi"/>
          <w:lang w:val="en-US"/>
        </w:rPr>
        <w:t xml:space="preserve">D, upon </w:t>
      </w:r>
      <w:r w:rsidRPr="00BF5075">
        <w:rPr>
          <w:rFonts w:cstheme="minorHAnsi"/>
          <w:i/>
          <w:iCs/>
          <w:lang w:val="en-US"/>
        </w:rPr>
        <w:t>MYCN</w:t>
      </w:r>
      <w:r>
        <w:rPr>
          <w:rFonts w:cstheme="minorHAnsi"/>
          <w:lang w:val="en-US"/>
        </w:rPr>
        <w:t xml:space="preserve"> silencing.</w:t>
      </w:r>
      <w:r w:rsidRPr="00332B7F">
        <w:rPr>
          <w:rFonts w:cstheme="minorHAnsi"/>
          <w:lang w:val="en-US"/>
        </w:rPr>
        <w:t xml:space="preserve"> Unpaired Mann-Whitney test (*P-val&lt;0.05 ; **P-val&lt;0.01).</w:t>
      </w:r>
    </w:p>
    <w:p w14:paraId="02182A38" w14:textId="77777777" w:rsidR="00B444DB" w:rsidRPr="00332B7F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</w:p>
    <w:p w14:paraId="25C526C1" w14:textId="46C9A4A9" w:rsidR="00304698" w:rsidRPr="008E7F71" w:rsidRDefault="00B444DB" w:rsidP="009873FF">
      <w:pPr>
        <w:spacing w:after="0" w:line="360" w:lineRule="auto"/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 xml:space="preserve">Supp. </w:t>
      </w:r>
      <w:r w:rsidRPr="00332B7F">
        <w:rPr>
          <w:rFonts w:cstheme="minorHAnsi"/>
          <w:b/>
          <w:bCs/>
          <w:lang w:val="en-US"/>
        </w:rPr>
        <w:t>Fig</w:t>
      </w:r>
      <w:r>
        <w:rPr>
          <w:rFonts w:cstheme="minorHAnsi"/>
          <w:b/>
          <w:bCs/>
          <w:lang w:val="en-US"/>
        </w:rPr>
        <w:t>ure</w:t>
      </w:r>
      <w:r w:rsidRPr="00332B7F">
        <w:rPr>
          <w:rFonts w:cstheme="minorHAnsi"/>
          <w:b/>
          <w:bCs/>
          <w:lang w:val="en-US"/>
        </w:rPr>
        <w:t xml:space="preserve"> </w:t>
      </w:r>
      <w:r>
        <w:rPr>
          <w:rFonts w:cstheme="minorHAnsi"/>
          <w:b/>
          <w:bCs/>
          <w:lang w:val="en-US"/>
        </w:rPr>
        <w:t>5.</w:t>
      </w:r>
      <w:r w:rsidRPr="00332B7F">
        <w:rPr>
          <w:rFonts w:cstheme="minorHAnsi"/>
          <w:lang w:val="en-US"/>
        </w:rPr>
        <w:t xml:space="preserve"> </w:t>
      </w:r>
      <w:r w:rsidR="00304698" w:rsidRPr="008E7F71">
        <w:rPr>
          <w:rFonts w:cstheme="minorHAnsi"/>
          <w:lang w:val="en-US"/>
        </w:rPr>
        <w:t xml:space="preserve">ChIP-qPCR analysis </w:t>
      </w:r>
      <w:r w:rsidR="00304698">
        <w:rPr>
          <w:rFonts w:cstheme="minorHAnsi"/>
          <w:lang w:val="en-US"/>
        </w:rPr>
        <w:t xml:space="preserve">(n=2) </w:t>
      </w:r>
      <w:r w:rsidR="00304698" w:rsidRPr="008E7F71">
        <w:rPr>
          <w:rFonts w:cstheme="minorHAnsi"/>
          <w:lang w:val="en-US"/>
        </w:rPr>
        <w:t xml:space="preserve">of dCas9-MYCN and dCas9-GFP binding near the 3’ end of </w:t>
      </w:r>
      <w:r w:rsidR="00304698" w:rsidRPr="008E7F71">
        <w:rPr>
          <w:rFonts w:cstheme="minorHAnsi"/>
          <w:i/>
          <w:iCs/>
          <w:lang w:val="en-US"/>
        </w:rPr>
        <w:t>MAPK7</w:t>
      </w:r>
      <w:r w:rsidR="00304698" w:rsidRPr="008E7F71">
        <w:rPr>
          <w:rFonts w:cstheme="minorHAnsi"/>
          <w:lang w:val="en-US"/>
        </w:rPr>
        <w:t xml:space="preserve">. ChIP </w:t>
      </w:r>
      <w:r w:rsidR="00462F4C">
        <w:rPr>
          <w:rFonts w:cstheme="minorHAnsi"/>
          <w:lang w:val="en-US"/>
        </w:rPr>
        <w:t>data</w:t>
      </w:r>
      <w:r w:rsidR="00304698" w:rsidRPr="008E7F71">
        <w:rPr>
          <w:rFonts w:cstheme="minorHAnsi"/>
          <w:lang w:val="en-US"/>
        </w:rPr>
        <w:t xml:space="preserve"> w</w:t>
      </w:r>
      <w:r w:rsidR="00462F4C">
        <w:rPr>
          <w:rFonts w:cstheme="minorHAnsi"/>
          <w:lang w:val="en-US"/>
        </w:rPr>
        <w:t>ere</w:t>
      </w:r>
      <w:r w:rsidR="00304698" w:rsidRPr="008E7F71">
        <w:rPr>
          <w:rFonts w:cstheme="minorHAnsi"/>
          <w:lang w:val="en-US"/>
        </w:rPr>
        <w:t xml:space="preserve"> normalised to </w:t>
      </w:r>
      <w:r w:rsidR="00462F4C">
        <w:rPr>
          <w:rFonts w:cstheme="minorHAnsi"/>
          <w:lang w:val="en-US"/>
        </w:rPr>
        <w:t>their</w:t>
      </w:r>
      <w:r w:rsidR="00304698" w:rsidRPr="008E7F71">
        <w:rPr>
          <w:rFonts w:cstheme="minorHAnsi"/>
          <w:lang w:val="en-US"/>
        </w:rPr>
        <w:t xml:space="preserve"> respective control (ChIP with IgG)</w:t>
      </w:r>
      <w:r w:rsidR="00462F4C">
        <w:rPr>
          <w:rFonts w:cstheme="minorHAnsi"/>
          <w:lang w:val="en-US"/>
        </w:rPr>
        <w:t xml:space="preserve"> and expressed as the relative enrichment to a negative region (</w:t>
      </w:r>
      <w:r w:rsidR="00462F4C" w:rsidRPr="00462F4C">
        <w:rPr>
          <w:rFonts w:cstheme="minorHAnsi"/>
          <w:i/>
          <w:iCs/>
          <w:lang w:val="en-US"/>
        </w:rPr>
        <w:t>ADCK4</w:t>
      </w:r>
      <w:r w:rsidR="00462F4C">
        <w:rPr>
          <w:rFonts w:cstheme="minorHAnsi"/>
          <w:lang w:val="en-US"/>
        </w:rPr>
        <w:t xml:space="preserve"> gene)</w:t>
      </w:r>
      <w:r w:rsidR="00304698" w:rsidRPr="008E7F71">
        <w:rPr>
          <w:rFonts w:cstheme="minorHAnsi"/>
          <w:lang w:val="en-US"/>
        </w:rPr>
        <w:t>.</w:t>
      </w:r>
    </w:p>
    <w:p w14:paraId="7CC6FFB2" w14:textId="176C73E3" w:rsidR="00304698" w:rsidRPr="002879AB" w:rsidRDefault="00304698" w:rsidP="00B444DB">
      <w:pPr>
        <w:spacing w:after="0" w:line="360" w:lineRule="auto"/>
        <w:jc w:val="both"/>
        <w:rPr>
          <w:rFonts w:cstheme="minorHAnsi"/>
          <w:lang w:val="en-US"/>
        </w:rPr>
      </w:pPr>
    </w:p>
    <w:p w14:paraId="67A78307" w14:textId="77777777" w:rsidR="00B444DB" w:rsidRPr="00332B7F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</w:p>
    <w:p w14:paraId="205A8C38" w14:textId="77777777" w:rsidR="00B444DB" w:rsidRDefault="00B444DB" w:rsidP="00B444DB">
      <w:pPr>
        <w:spacing w:after="0" w:line="360" w:lineRule="auto"/>
        <w:rPr>
          <w:lang w:val="en-US"/>
        </w:rPr>
      </w:pPr>
    </w:p>
    <w:p w14:paraId="4CC210AB" w14:textId="77777777" w:rsidR="00B444DB" w:rsidRDefault="00B444DB" w:rsidP="00B444DB">
      <w:pPr>
        <w:spacing w:after="0" w:line="360" w:lineRule="auto"/>
        <w:jc w:val="both"/>
        <w:rPr>
          <w:rFonts w:cstheme="minorHAnsi"/>
          <w:b/>
          <w:sz w:val="24"/>
          <w:szCs w:val="24"/>
          <w:lang w:val="en-US"/>
        </w:rPr>
      </w:pPr>
      <w:r w:rsidRPr="00C31B44">
        <w:rPr>
          <w:rFonts w:cstheme="minorHAnsi"/>
          <w:b/>
          <w:sz w:val="24"/>
          <w:szCs w:val="24"/>
          <w:lang w:val="en-US"/>
        </w:rPr>
        <w:t>Legends for Supplementary Tables</w:t>
      </w:r>
    </w:p>
    <w:p w14:paraId="4C063F2C" w14:textId="77777777" w:rsidR="00B444DB" w:rsidRPr="00C31B44" w:rsidRDefault="00B444DB" w:rsidP="00B444DB">
      <w:pPr>
        <w:spacing w:after="0" w:line="360" w:lineRule="auto"/>
        <w:jc w:val="both"/>
        <w:rPr>
          <w:rFonts w:cstheme="minorHAnsi"/>
          <w:b/>
          <w:sz w:val="24"/>
          <w:szCs w:val="24"/>
          <w:lang w:val="en-US"/>
        </w:rPr>
      </w:pPr>
    </w:p>
    <w:p w14:paraId="26B246AA" w14:textId="3BFE6021" w:rsidR="00B444DB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>Supp. Table 1.</w:t>
      </w:r>
      <w:r w:rsidRPr="00332B7F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 xml:space="preserve">List of the 282 </w:t>
      </w:r>
      <w:r w:rsidR="007E789A">
        <w:rPr>
          <w:rFonts w:cstheme="minorHAnsi"/>
          <w:lang w:val="en-US"/>
        </w:rPr>
        <w:t xml:space="preserve">tracRNAs </w:t>
      </w:r>
      <w:r>
        <w:rPr>
          <w:rFonts w:cstheme="minorHAnsi"/>
          <w:lang w:val="en-US"/>
        </w:rPr>
        <w:t xml:space="preserve">whose expression is changed upon siDDX17/DDX5 treatment, identified by the Arriba pipeline. The 97 most significant </w:t>
      </w:r>
      <w:r w:rsidR="007E789A">
        <w:rPr>
          <w:rFonts w:cstheme="minorHAnsi"/>
          <w:lang w:val="en-US"/>
        </w:rPr>
        <w:t xml:space="preserve">tracRNAs </w:t>
      </w:r>
      <w:r>
        <w:rPr>
          <w:rFonts w:cstheme="minorHAnsi"/>
          <w:lang w:val="en-US"/>
        </w:rPr>
        <w:t xml:space="preserve">have their </w:t>
      </w:r>
      <w:r w:rsidRPr="007E789A">
        <w:rPr>
          <w:rFonts w:cstheme="minorHAnsi"/>
          <w:i/>
          <w:iCs/>
          <w:lang w:val="en-US"/>
        </w:rPr>
        <w:t>p</w:t>
      </w:r>
      <w:r>
        <w:rPr>
          <w:rFonts w:cstheme="minorHAnsi"/>
          <w:lang w:val="en-US"/>
        </w:rPr>
        <w:t xml:space="preserve">-value cell highlighted in green. The last 2 columns report the </w:t>
      </w:r>
      <w:r w:rsidR="007E789A">
        <w:rPr>
          <w:rFonts w:cstheme="minorHAnsi"/>
          <w:lang w:val="en-US"/>
        </w:rPr>
        <w:t xml:space="preserve">tracRNAs </w:t>
      </w:r>
      <w:r>
        <w:rPr>
          <w:rFonts w:cstheme="minorHAnsi"/>
          <w:lang w:val="en-US"/>
        </w:rPr>
        <w:t xml:space="preserve">identified by Shi </w:t>
      </w:r>
      <w:r w:rsidRPr="00917469">
        <w:rPr>
          <w:rFonts w:cstheme="minorHAnsi"/>
          <w:i/>
          <w:iCs/>
          <w:lang w:val="en-US"/>
        </w:rPr>
        <w:t>et al</w:t>
      </w:r>
      <w:r>
        <w:rPr>
          <w:rFonts w:cstheme="minorHAnsi"/>
          <w:lang w:val="en-US"/>
        </w:rPr>
        <w:t xml:space="preserve"> in neuroblastoma tumours, with their number of occurences and corresponding frequency. The ID of these </w:t>
      </w:r>
      <w:r w:rsidR="007E789A">
        <w:rPr>
          <w:rFonts w:cstheme="minorHAnsi"/>
          <w:lang w:val="en-US"/>
        </w:rPr>
        <w:t>tracRNAs is</w:t>
      </w:r>
      <w:r>
        <w:rPr>
          <w:rFonts w:cstheme="minorHAnsi"/>
          <w:lang w:val="en-US"/>
        </w:rPr>
        <w:t xml:space="preserve"> highlighted in red, and the 25 most significant are in yellow characters. The second tab of the table compiles the merged list of genes whose termination is affected by DDX17/DDX5 depletion, generating readthrough transcription (our previous work, Terrone </w:t>
      </w:r>
      <w:r w:rsidRPr="004E311B">
        <w:rPr>
          <w:rFonts w:cstheme="minorHAnsi"/>
          <w:i/>
          <w:iCs/>
          <w:lang w:val="en-US"/>
        </w:rPr>
        <w:t>et al</w:t>
      </w:r>
      <w:r>
        <w:rPr>
          <w:rFonts w:cstheme="minorHAnsi"/>
          <w:lang w:val="en-US"/>
        </w:rPr>
        <w:t xml:space="preserve">., 2022) and </w:t>
      </w:r>
      <w:r w:rsidR="007E789A">
        <w:rPr>
          <w:rFonts w:cstheme="minorHAnsi"/>
          <w:lang w:val="en-US"/>
        </w:rPr>
        <w:t xml:space="preserve">tracRNA </w:t>
      </w:r>
      <w:r>
        <w:rPr>
          <w:rFonts w:cstheme="minorHAnsi"/>
          <w:lang w:val="en-US"/>
        </w:rPr>
        <w:t>formation (this study).</w:t>
      </w:r>
    </w:p>
    <w:p w14:paraId="204DACC5" w14:textId="77777777" w:rsidR="00B444DB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</w:p>
    <w:p w14:paraId="5EE9C034" w14:textId="77777777" w:rsidR="00B444DB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>Supp. Table 2.</w:t>
      </w:r>
      <w:r w:rsidRPr="00332B7F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List of primers and siRNAs used in this study.</w:t>
      </w:r>
    </w:p>
    <w:p w14:paraId="487F8566" w14:textId="77777777" w:rsidR="00B444DB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</w:p>
    <w:p w14:paraId="5F2D7338" w14:textId="77777777" w:rsidR="00B444DB" w:rsidRPr="002879AB" w:rsidRDefault="00B444DB" w:rsidP="00B444DB">
      <w:pPr>
        <w:spacing w:after="0" w:line="360" w:lineRule="auto"/>
        <w:jc w:val="both"/>
        <w:rPr>
          <w:lang w:val="en-US"/>
        </w:rPr>
      </w:pPr>
      <w:r>
        <w:rPr>
          <w:rFonts w:cstheme="minorHAnsi"/>
          <w:b/>
          <w:bCs/>
          <w:lang w:val="en-US"/>
        </w:rPr>
        <w:t>Supp. Table 3.</w:t>
      </w:r>
      <w:r w:rsidRPr="00332B7F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List of public ChIP-seq datasets used to analyse MYCN binding.</w:t>
      </w:r>
    </w:p>
    <w:p w14:paraId="6DAA0B06" w14:textId="77777777" w:rsidR="00B444DB" w:rsidRPr="00EC01A9" w:rsidRDefault="00B444DB" w:rsidP="00B444DB">
      <w:pPr>
        <w:spacing w:after="0" w:line="360" w:lineRule="auto"/>
        <w:jc w:val="both"/>
        <w:rPr>
          <w:lang w:val="en-US"/>
        </w:rPr>
      </w:pPr>
      <w:r w:rsidRPr="00EC01A9">
        <w:rPr>
          <w:lang w:val="en-US"/>
        </w:rPr>
        <w:t xml:space="preserve">PMID 32286315: Upton K </w:t>
      </w:r>
      <w:r w:rsidRPr="00EC01A9">
        <w:rPr>
          <w:i/>
          <w:iCs/>
          <w:lang w:val="en-US"/>
        </w:rPr>
        <w:t>et al.</w:t>
      </w:r>
      <w:r w:rsidRPr="00EC01A9">
        <w:rPr>
          <w:lang w:val="en-US"/>
        </w:rPr>
        <w:t xml:space="preserve"> (2020). Epigenomic profiling of neuroblastoma cell lines. Sci Data 7(1):116. doi: 10.1038/s41597-020-0458-y.</w:t>
      </w:r>
    </w:p>
    <w:p w14:paraId="2F75E3A9" w14:textId="77777777" w:rsidR="00B444DB" w:rsidRPr="00EC01A9" w:rsidRDefault="00B444DB" w:rsidP="00B444DB">
      <w:pPr>
        <w:spacing w:after="0" w:line="360" w:lineRule="auto"/>
        <w:jc w:val="both"/>
        <w:rPr>
          <w:lang w:val="en-US"/>
        </w:rPr>
      </w:pPr>
      <w:r w:rsidRPr="00EC01A9">
        <w:rPr>
          <w:lang w:val="en-US"/>
        </w:rPr>
        <w:t xml:space="preserve">PMID 29262328: Büchel </w:t>
      </w:r>
      <w:r w:rsidRPr="00EC01A9">
        <w:rPr>
          <w:i/>
          <w:iCs/>
          <w:lang w:val="en-US"/>
        </w:rPr>
        <w:t>et al.</w:t>
      </w:r>
      <w:r w:rsidRPr="00EC01A9">
        <w:rPr>
          <w:lang w:val="en-US"/>
        </w:rPr>
        <w:t xml:space="preserve"> (2017). Association with Aurora-A Controls N-MYC-Dependent Promoter Escape and Pause Release of RNA Polymerase II during the Cell Cycle. Cell Rep 21(12):3483-3497. doi: 10.1016/j.celrep.2017.11.090.</w:t>
      </w:r>
    </w:p>
    <w:p w14:paraId="58AB953F" w14:textId="77777777" w:rsidR="00B444DB" w:rsidRPr="00EC01A9" w:rsidRDefault="00B444DB" w:rsidP="00B444DB">
      <w:pPr>
        <w:spacing w:after="0" w:line="360" w:lineRule="auto"/>
        <w:jc w:val="both"/>
        <w:rPr>
          <w:lang w:val="en-US"/>
        </w:rPr>
      </w:pPr>
      <w:r w:rsidRPr="00EC01A9">
        <w:rPr>
          <w:lang w:val="en-US"/>
        </w:rPr>
        <w:t xml:space="preserve">PMID 29379199: Zeid R </w:t>
      </w:r>
      <w:r w:rsidRPr="00EC01A9">
        <w:rPr>
          <w:i/>
          <w:iCs/>
          <w:lang w:val="en-US"/>
        </w:rPr>
        <w:t>et al.</w:t>
      </w:r>
      <w:r w:rsidRPr="00EC01A9">
        <w:rPr>
          <w:lang w:val="en-US"/>
        </w:rPr>
        <w:t xml:space="preserve"> </w:t>
      </w:r>
      <w:r w:rsidRPr="00EC01A9">
        <w:t xml:space="preserve">(2018). </w:t>
      </w:r>
      <w:r w:rsidRPr="00EC01A9">
        <w:rPr>
          <w:lang w:val="en-US"/>
        </w:rPr>
        <w:t xml:space="preserve">Enhancer invasion shapes MYCN-dependent transcriptional amplification in neuroblastoma. Nat Genet 50(4):515-523. doi: 10.1038/s41588-018-0044-9. </w:t>
      </w:r>
    </w:p>
    <w:p w14:paraId="49897D55" w14:textId="77777777" w:rsidR="00B444DB" w:rsidRPr="000A65CE" w:rsidRDefault="00B444DB" w:rsidP="00B444DB">
      <w:pPr>
        <w:spacing w:after="0" w:line="360" w:lineRule="auto"/>
        <w:jc w:val="both"/>
        <w:rPr>
          <w:lang w:val="en-US"/>
        </w:rPr>
      </w:pPr>
    </w:p>
    <w:p w14:paraId="3A9A11DA" w14:textId="77777777" w:rsidR="00B444DB" w:rsidRPr="00C536A4" w:rsidRDefault="00B444DB" w:rsidP="00B444DB">
      <w:pPr>
        <w:spacing w:after="0" w:line="360" w:lineRule="auto"/>
        <w:jc w:val="both"/>
        <w:rPr>
          <w:rFonts w:cstheme="minorHAnsi"/>
          <w:lang w:val="en-US"/>
        </w:rPr>
      </w:pPr>
    </w:p>
    <w:p w14:paraId="3F2AA93F" w14:textId="77777777" w:rsidR="000A65CE" w:rsidRPr="000A65CE" w:rsidRDefault="000A65CE" w:rsidP="00B444DB">
      <w:pPr>
        <w:spacing w:after="0" w:line="360" w:lineRule="auto"/>
        <w:jc w:val="both"/>
        <w:rPr>
          <w:lang w:val="en-US"/>
        </w:rPr>
      </w:pPr>
    </w:p>
    <w:sectPr w:rsidR="000A65CE" w:rsidRPr="000A65C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DF9EF" w14:textId="77777777" w:rsidR="007B6211" w:rsidRDefault="007B6211">
      <w:pPr>
        <w:spacing w:after="0" w:line="240" w:lineRule="auto"/>
      </w:pPr>
      <w:r>
        <w:separator/>
      </w:r>
    </w:p>
  </w:endnote>
  <w:endnote w:type="continuationSeparator" w:id="0">
    <w:p w14:paraId="24FD3D90" w14:textId="77777777" w:rsidR="007B6211" w:rsidRDefault="007B6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1026321"/>
      <w:docPartObj>
        <w:docPartGallery w:val="Page Numbers (Bottom of Page)"/>
        <w:docPartUnique/>
      </w:docPartObj>
    </w:sdtPr>
    <w:sdtEndPr/>
    <w:sdtContent>
      <w:p w14:paraId="1EEB205A" w14:textId="77777777" w:rsidR="002D32F1" w:rsidRDefault="001466CB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D44D1BF" w14:textId="77777777" w:rsidR="002D32F1" w:rsidRDefault="007B621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1F17F" w14:textId="77777777" w:rsidR="007B6211" w:rsidRDefault="007B6211">
      <w:pPr>
        <w:spacing w:after="0" w:line="240" w:lineRule="auto"/>
      </w:pPr>
      <w:r>
        <w:separator/>
      </w:r>
    </w:p>
  </w:footnote>
  <w:footnote w:type="continuationSeparator" w:id="0">
    <w:p w14:paraId="6E177DC5" w14:textId="77777777" w:rsidR="007B6211" w:rsidRDefault="007B62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C1A"/>
    <w:rsid w:val="00015799"/>
    <w:rsid w:val="0004078C"/>
    <w:rsid w:val="00063006"/>
    <w:rsid w:val="00076073"/>
    <w:rsid w:val="000A65CE"/>
    <w:rsid w:val="000A751E"/>
    <w:rsid w:val="000C0196"/>
    <w:rsid w:val="001203E4"/>
    <w:rsid w:val="001466CB"/>
    <w:rsid w:val="002879AB"/>
    <w:rsid w:val="00297345"/>
    <w:rsid w:val="00304698"/>
    <w:rsid w:val="0037267F"/>
    <w:rsid w:val="003C15AE"/>
    <w:rsid w:val="003D0757"/>
    <w:rsid w:val="003F4878"/>
    <w:rsid w:val="004357D1"/>
    <w:rsid w:val="004504C0"/>
    <w:rsid w:val="00462F4C"/>
    <w:rsid w:val="004C6F70"/>
    <w:rsid w:val="004E311B"/>
    <w:rsid w:val="004F3B1E"/>
    <w:rsid w:val="00520BB3"/>
    <w:rsid w:val="00537CEE"/>
    <w:rsid w:val="005975C6"/>
    <w:rsid w:val="005C3B72"/>
    <w:rsid w:val="00605C66"/>
    <w:rsid w:val="00775AFC"/>
    <w:rsid w:val="007B6211"/>
    <w:rsid w:val="007D5D41"/>
    <w:rsid w:val="007E789A"/>
    <w:rsid w:val="00850ECC"/>
    <w:rsid w:val="008567C9"/>
    <w:rsid w:val="00872485"/>
    <w:rsid w:val="008B21D3"/>
    <w:rsid w:val="00900D82"/>
    <w:rsid w:val="00917469"/>
    <w:rsid w:val="009873FF"/>
    <w:rsid w:val="00A148ED"/>
    <w:rsid w:val="00A3510C"/>
    <w:rsid w:val="00A77EFB"/>
    <w:rsid w:val="00AA1709"/>
    <w:rsid w:val="00B130CF"/>
    <w:rsid w:val="00B26D18"/>
    <w:rsid w:val="00B444DB"/>
    <w:rsid w:val="00B6374A"/>
    <w:rsid w:val="00BB6C1A"/>
    <w:rsid w:val="00BF4C4E"/>
    <w:rsid w:val="00BF5075"/>
    <w:rsid w:val="00C034D8"/>
    <w:rsid w:val="00CE7095"/>
    <w:rsid w:val="00D45CCD"/>
    <w:rsid w:val="00D5284A"/>
    <w:rsid w:val="00D52876"/>
    <w:rsid w:val="00D71FAE"/>
    <w:rsid w:val="00DA16D8"/>
    <w:rsid w:val="00DA381A"/>
    <w:rsid w:val="00DF3715"/>
    <w:rsid w:val="00DF67E8"/>
    <w:rsid w:val="00E32F5A"/>
    <w:rsid w:val="00F03B4B"/>
    <w:rsid w:val="00FA086E"/>
    <w:rsid w:val="00FF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9992E7"/>
  <w15:chartTrackingRefBased/>
  <w15:docId w15:val="{20474EB0-B65E-4D5B-B13B-C74983B36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BB6C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B6C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2F60C-CD5B-4D25-9E0D-B7644C601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753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Cyril BOURGEOIS</dc:creator>
  <cp:keywords/>
  <dc:description/>
  <cp:lastModifiedBy>Cyril BOURGEOIS</cp:lastModifiedBy>
  <cp:revision>3</cp:revision>
  <cp:lastPrinted>2024-02-01T15:12:00Z</cp:lastPrinted>
  <dcterms:created xsi:type="dcterms:W3CDTF">2025-10-29T15:04:00Z</dcterms:created>
  <dcterms:modified xsi:type="dcterms:W3CDTF">2025-10-29T15:04:00Z</dcterms:modified>
</cp:coreProperties>
</file>