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02A4F" w14:textId="2ED043B4" w:rsidR="0080644C" w:rsidRPr="003040F9" w:rsidRDefault="0080644C" w:rsidP="0080644C">
      <w:pPr>
        <w:rPr>
          <w:rFonts w:ascii="Calibri" w:hAnsi="Calibri" w:cs="Calibri"/>
          <w:sz w:val="22"/>
          <w:szCs w:val="22"/>
        </w:rPr>
      </w:pPr>
      <w:r w:rsidRPr="003040F9">
        <w:rPr>
          <w:rFonts w:ascii="Calibri" w:hAnsi="Calibri" w:cs="Calibri"/>
          <w:b/>
          <w:bCs/>
          <w:sz w:val="22"/>
          <w:szCs w:val="22"/>
        </w:rPr>
        <w:t xml:space="preserve">Supplementary file 2. </w:t>
      </w:r>
      <w:r w:rsidRPr="003040F9">
        <w:rPr>
          <w:rFonts w:ascii="Calibri" w:hAnsi="Calibri" w:cs="Calibri"/>
          <w:sz w:val="22"/>
          <w:szCs w:val="22"/>
        </w:rPr>
        <w:t>Detailed extracted information of the included articles</w:t>
      </w:r>
    </w:p>
    <w:p w14:paraId="09D92887" w14:textId="77777777" w:rsidR="0080644C" w:rsidRPr="0080644C" w:rsidRDefault="0080644C" w:rsidP="0080644C">
      <w:pPr>
        <w:rPr>
          <w:rFonts w:ascii="Calibri" w:hAnsi="Calibri" w:cs="Calibri"/>
          <w:sz w:val="28"/>
          <w:szCs w:val="28"/>
        </w:rPr>
      </w:pPr>
    </w:p>
    <w:tbl>
      <w:tblPr>
        <w:tblStyle w:val="TableGrid"/>
        <w:tblW w:w="0" w:type="auto"/>
        <w:tblInd w:w="-1265" w:type="dxa"/>
        <w:tblLook w:val="04A0" w:firstRow="1" w:lastRow="0" w:firstColumn="1" w:lastColumn="0" w:noHBand="0" w:noVBand="1"/>
      </w:tblPr>
      <w:tblGrid>
        <w:gridCol w:w="475"/>
        <w:gridCol w:w="1307"/>
        <w:gridCol w:w="850"/>
        <w:gridCol w:w="561"/>
        <w:gridCol w:w="963"/>
        <w:gridCol w:w="1011"/>
        <w:gridCol w:w="777"/>
        <w:gridCol w:w="837"/>
        <w:gridCol w:w="872"/>
        <w:gridCol w:w="1001"/>
        <w:gridCol w:w="833"/>
        <w:gridCol w:w="1040"/>
        <w:gridCol w:w="805"/>
        <w:gridCol w:w="987"/>
        <w:gridCol w:w="1086"/>
        <w:gridCol w:w="991"/>
        <w:gridCol w:w="976"/>
        <w:gridCol w:w="976"/>
        <w:gridCol w:w="1010"/>
        <w:gridCol w:w="1314"/>
        <w:gridCol w:w="1552"/>
        <w:gridCol w:w="1088"/>
        <w:gridCol w:w="1024"/>
        <w:gridCol w:w="1133"/>
        <w:gridCol w:w="1351"/>
        <w:gridCol w:w="1040"/>
        <w:gridCol w:w="1315"/>
      </w:tblGrid>
      <w:tr w:rsidR="00510957" w:rsidRPr="00510957" w14:paraId="74A01656" w14:textId="77777777" w:rsidTr="00510957">
        <w:trPr>
          <w:trHeight w:val="330"/>
        </w:trPr>
        <w:tc>
          <w:tcPr>
            <w:tcW w:w="574" w:type="dxa"/>
            <w:vMerge w:val="restart"/>
            <w:noWrap/>
            <w:vAlign w:val="center"/>
            <w:hideMark/>
          </w:tcPr>
          <w:p w14:paraId="6FD24F0A" w14:textId="55F1A0CE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308" w:type="dxa"/>
            <w:vMerge w:val="restart"/>
            <w:noWrap/>
            <w:vAlign w:val="center"/>
            <w:hideMark/>
          </w:tcPr>
          <w:p w14:paraId="722F2F6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638" w:type="dxa"/>
            <w:vMerge w:val="restart"/>
            <w:noWrap/>
            <w:vAlign w:val="center"/>
            <w:hideMark/>
          </w:tcPr>
          <w:p w14:paraId="1739D37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First Author</w:t>
            </w:r>
          </w:p>
        </w:tc>
        <w:tc>
          <w:tcPr>
            <w:tcW w:w="692" w:type="dxa"/>
            <w:vMerge w:val="restart"/>
            <w:noWrap/>
            <w:vAlign w:val="center"/>
            <w:hideMark/>
          </w:tcPr>
          <w:p w14:paraId="20714DE0" w14:textId="1A61EC19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962" w:type="dxa"/>
            <w:vMerge w:val="restart"/>
            <w:noWrap/>
            <w:vAlign w:val="center"/>
            <w:hideMark/>
          </w:tcPr>
          <w:p w14:paraId="35C54A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Years of Medicare data</w:t>
            </w:r>
          </w:p>
        </w:tc>
        <w:tc>
          <w:tcPr>
            <w:tcW w:w="1010" w:type="dxa"/>
            <w:vMerge w:val="restart"/>
            <w:noWrap/>
            <w:vAlign w:val="center"/>
            <w:hideMark/>
          </w:tcPr>
          <w:p w14:paraId="6CBCF08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Medicare dataset</w:t>
            </w:r>
          </w:p>
        </w:tc>
        <w:tc>
          <w:tcPr>
            <w:tcW w:w="777" w:type="dxa"/>
            <w:vMerge w:val="restart"/>
            <w:noWrap/>
            <w:vAlign w:val="center"/>
            <w:hideMark/>
          </w:tcPr>
          <w:p w14:paraId="27644F0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Medicare Part</w:t>
            </w:r>
          </w:p>
        </w:tc>
        <w:tc>
          <w:tcPr>
            <w:tcW w:w="837" w:type="dxa"/>
            <w:vMerge w:val="restart"/>
            <w:noWrap/>
            <w:vAlign w:val="center"/>
            <w:hideMark/>
          </w:tcPr>
          <w:p w14:paraId="4E3772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872" w:type="dxa"/>
            <w:vMerge w:val="restart"/>
            <w:noWrap/>
            <w:vAlign w:val="center"/>
            <w:hideMark/>
          </w:tcPr>
          <w:p w14:paraId="402F134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Study design</w:t>
            </w:r>
          </w:p>
        </w:tc>
        <w:tc>
          <w:tcPr>
            <w:tcW w:w="1000" w:type="dxa"/>
            <w:vMerge w:val="restart"/>
            <w:noWrap/>
            <w:vAlign w:val="center"/>
            <w:hideMark/>
          </w:tcPr>
          <w:p w14:paraId="690443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832" w:type="dxa"/>
            <w:vMerge w:val="restart"/>
            <w:noWrap/>
            <w:vAlign w:val="center"/>
            <w:hideMark/>
          </w:tcPr>
          <w:p w14:paraId="6391AC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Type of Dementia</w:t>
            </w:r>
          </w:p>
        </w:tc>
        <w:tc>
          <w:tcPr>
            <w:tcW w:w="1039" w:type="dxa"/>
            <w:vMerge w:val="restart"/>
            <w:noWrap/>
            <w:vAlign w:val="center"/>
            <w:hideMark/>
          </w:tcPr>
          <w:p w14:paraId="6690A9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Sample size</w:t>
            </w:r>
          </w:p>
        </w:tc>
        <w:tc>
          <w:tcPr>
            <w:tcW w:w="804" w:type="dxa"/>
            <w:vMerge w:val="restart"/>
            <w:noWrap/>
            <w:vAlign w:val="center"/>
            <w:hideMark/>
          </w:tcPr>
          <w:p w14:paraId="56BD3CF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Age group</w:t>
            </w:r>
          </w:p>
        </w:tc>
        <w:tc>
          <w:tcPr>
            <w:tcW w:w="986" w:type="dxa"/>
            <w:vMerge w:val="restart"/>
            <w:noWrap/>
            <w:vAlign w:val="center"/>
            <w:hideMark/>
          </w:tcPr>
          <w:p w14:paraId="34D942E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Sex distribution</w:t>
            </w:r>
          </w:p>
        </w:tc>
        <w:tc>
          <w:tcPr>
            <w:tcW w:w="1085" w:type="dxa"/>
            <w:vMerge w:val="restart"/>
            <w:noWrap/>
            <w:vAlign w:val="center"/>
            <w:hideMark/>
          </w:tcPr>
          <w:p w14:paraId="0DE74F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Race distribution</w:t>
            </w:r>
          </w:p>
        </w:tc>
        <w:tc>
          <w:tcPr>
            <w:tcW w:w="990" w:type="dxa"/>
            <w:vMerge w:val="restart"/>
            <w:noWrap/>
            <w:vAlign w:val="center"/>
            <w:hideMark/>
          </w:tcPr>
          <w:p w14:paraId="4CB80F26" w14:textId="77777777" w:rsid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Rurality</w:t>
            </w:r>
          </w:p>
          <w:p w14:paraId="7DD2C6CD" w14:textId="64CDF836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definition</w:t>
            </w:r>
          </w:p>
        </w:tc>
        <w:tc>
          <w:tcPr>
            <w:tcW w:w="5823" w:type="dxa"/>
            <w:gridSpan w:val="5"/>
            <w:noWrap/>
            <w:vAlign w:val="center"/>
          </w:tcPr>
          <w:p w14:paraId="24EACD76" w14:textId="67228198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Risk factors</w:t>
            </w:r>
          </w:p>
        </w:tc>
        <w:tc>
          <w:tcPr>
            <w:tcW w:w="1087" w:type="dxa"/>
            <w:vMerge w:val="restart"/>
            <w:vAlign w:val="center"/>
            <w:hideMark/>
          </w:tcPr>
          <w:p w14:paraId="5ED8DE5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Access</w:t>
            </w:r>
          </w:p>
        </w:tc>
        <w:tc>
          <w:tcPr>
            <w:tcW w:w="1023" w:type="dxa"/>
            <w:vMerge w:val="restart"/>
            <w:vAlign w:val="center"/>
            <w:hideMark/>
          </w:tcPr>
          <w:p w14:paraId="40D68B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Quality of Care</w:t>
            </w:r>
          </w:p>
        </w:tc>
        <w:tc>
          <w:tcPr>
            <w:tcW w:w="1132" w:type="dxa"/>
            <w:vMerge w:val="restart"/>
            <w:vAlign w:val="center"/>
            <w:hideMark/>
          </w:tcPr>
          <w:p w14:paraId="01B148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Health Service Utilization</w:t>
            </w:r>
          </w:p>
        </w:tc>
        <w:tc>
          <w:tcPr>
            <w:tcW w:w="1350" w:type="dxa"/>
            <w:vMerge w:val="restart"/>
            <w:vAlign w:val="center"/>
            <w:hideMark/>
          </w:tcPr>
          <w:p w14:paraId="093ACC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Intervention/Policies</w:t>
            </w:r>
          </w:p>
        </w:tc>
        <w:tc>
          <w:tcPr>
            <w:tcW w:w="1040" w:type="dxa"/>
            <w:vMerge w:val="restart"/>
            <w:vAlign w:val="center"/>
            <w:hideMark/>
          </w:tcPr>
          <w:p w14:paraId="2FC1704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Statistical Methods</w:t>
            </w:r>
          </w:p>
        </w:tc>
        <w:tc>
          <w:tcPr>
            <w:tcW w:w="1314" w:type="dxa"/>
            <w:vMerge w:val="restart"/>
            <w:vAlign w:val="center"/>
            <w:hideMark/>
          </w:tcPr>
          <w:p w14:paraId="2AFE30B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Limitations</w:t>
            </w:r>
          </w:p>
        </w:tc>
      </w:tr>
      <w:tr w:rsidR="00510957" w:rsidRPr="00510957" w14:paraId="38CF0227" w14:textId="77777777" w:rsidTr="00510957">
        <w:trPr>
          <w:trHeight w:val="330"/>
        </w:trPr>
        <w:tc>
          <w:tcPr>
            <w:tcW w:w="574" w:type="dxa"/>
            <w:vMerge/>
            <w:noWrap/>
            <w:vAlign w:val="center"/>
          </w:tcPr>
          <w:p w14:paraId="5B541BB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08" w:type="dxa"/>
            <w:vMerge/>
            <w:noWrap/>
            <w:vAlign w:val="center"/>
          </w:tcPr>
          <w:p w14:paraId="44B7CBE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638" w:type="dxa"/>
            <w:vMerge/>
            <w:noWrap/>
            <w:vAlign w:val="center"/>
          </w:tcPr>
          <w:p w14:paraId="5A15BB3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692" w:type="dxa"/>
            <w:vMerge/>
            <w:noWrap/>
            <w:vAlign w:val="center"/>
          </w:tcPr>
          <w:p w14:paraId="0EBB7769" w14:textId="77777777" w:rsid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62" w:type="dxa"/>
            <w:vMerge/>
            <w:noWrap/>
            <w:vAlign w:val="center"/>
          </w:tcPr>
          <w:p w14:paraId="48E0AF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10" w:type="dxa"/>
            <w:vMerge/>
            <w:noWrap/>
            <w:vAlign w:val="center"/>
          </w:tcPr>
          <w:p w14:paraId="6EB93F0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77" w:type="dxa"/>
            <w:vMerge/>
            <w:noWrap/>
            <w:vAlign w:val="center"/>
          </w:tcPr>
          <w:p w14:paraId="53B3C99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37" w:type="dxa"/>
            <w:vMerge/>
            <w:noWrap/>
            <w:vAlign w:val="center"/>
          </w:tcPr>
          <w:p w14:paraId="334A260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72" w:type="dxa"/>
            <w:vMerge/>
            <w:noWrap/>
            <w:vAlign w:val="center"/>
          </w:tcPr>
          <w:p w14:paraId="3EA2023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vMerge/>
            <w:noWrap/>
            <w:vAlign w:val="center"/>
          </w:tcPr>
          <w:p w14:paraId="683C7E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32" w:type="dxa"/>
            <w:vMerge/>
            <w:noWrap/>
            <w:vAlign w:val="center"/>
          </w:tcPr>
          <w:p w14:paraId="73DD4C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39" w:type="dxa"/>
            <w:vMerge/>
            <w:noWrap/>
            <w:vAlign w:val="center"/>
          </w:tcPr>
          <w:p w14:paraId="0BC1D43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04" w:type="dxa"/>
            <w:vMerge/>
            <w:noWrap/>
            <w:vAlign w:val="center"/>
          </w:tcPr>
          <w:p w14:paraId="25F619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86" w:type="dxa"/>
            <w:vMerge/>
            <w:noWrap/>
            <w:vAlign w:val="center"/>
          </w:tcPr>
          <w:p w14:paraId="6D30576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85" w:type="dxa"/>
            <w:vMerge/>
            <w:noWrap/>
            <w:vAlign w:val="center"/>
          </w:tcPr>
          <w:p w14:paraId="7295902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Merge/>
            <w:noWrap/>
            <w:vAlign w:val="center"/>
          </w:tcPr>
          <w:p w14:paraId="6EC95AD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75" w:type="dxa"/>
            <w:noWrap/>
            <w:vAlign w:val="center"/>
          </w:tcPr>
          <w:p w14:paraId="3DAE4551" w14:textId="1E3FD152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demographic</w:t>
            </w:r>
          </w:p>
        </w:tc>
        <w:tc>
          <w:tcPr>
            <w:tcW w:w="975" w:type="dxa"/>
            <w:noWrap/>
            <w:vAlign w:val="center"/>
          </w:tcPr>
          <w:p w14:paraId="61A60738" w14:textId="114E0312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Socio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-</w:t>
            </w:r>
            <w:proofErr w:type="spellStart"/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conomic</w:t>
            </w:r>
            <w:proofErr w:type="spellEnd"/>
          </w:p>
        </w:tc>
        <w:tc>
          <w:tcPr>
            <w:tcW w:w="1009" w:type="dxa"/>
            <w:noWrap/>
            <w:vAlign w:val="center"/>
          </w:tcPr>
          <w:p w14:paraId="396FE488" w14:textId="78D87991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environmental</w:t>
            </w:r>
          </w:p>
        </w:tc>
        <w:tc>
          <w:tcPr>
            <w:tcW w:w="1313" w:type="dxa"/>
            <w:noWrap/>
            <w:vAlign w:val="center"/>
          </w:tcPr>
          <w:p w14:paraId="149F128C" w14:textId="23BC9A13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lifestyle</w:t>
            </w:r>
          </w:p>
        </w:tc>
        <w:tc>
          <w:tcPr>
            <w:tcW w:w="1551" w:type="dxa"/>
            <w:noWrap/>
            <w:vAlign w:val="center"/>
          </w:tcPr>
          <w:p w14:paraId="35972FDF" w14:textId="156FA20C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10957">
              <w:rPr>
                <w:rFonts w:ascii="Calibri" w:hAnsi="Calibri" w:cs="Calibri"/>
                <w:b/>
                <w:bCs/>
                <w:sz w:val="18"/>
                <w:szCs w:val="18"/>
              </w:rPr>
              <w:t>comorbidities</w:t>
            </w:r>
          </w:p>
        </w:tc>
        <w:tc>
          <w:tcPr>
            <w:tcW w:w="1087" w:type="dxa"/>
            <w:vMerge/>
            <w:vAlign w:val="center"/>
          </w:tcPr>
          <w:p w14:paraId="04143B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23" w:type="dxa"/>
            <w:vMerge/>
            <w:vAlign w:val="center"/>
          </w:tcPr>
          <w:p w14:paraId="173C88C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14:paraId="08571E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1134D6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vMerge/>
            <w:vAlign w:val="center"/>
          </w:tcPr>
          <w:p w14:paraId="330ABC3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vMerge/>
            <w:vAlign w:val="center"/>
          </w:tcPr>
          <w:p w14:paraId="3DE2973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510957" w:rsidRPr="00510957" w14:paraId="28B93F21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3C85E3BB" w14:textId="7BD1FD40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7" w:history="1">
              <w:r w:rsidRPr="00392A87">
                <w:rPr>
                  <w:rStyle w:val="Hyperlink"/>
                  <w:rFonts w:ascii="Calibri" w:hAnsi="Calibri" w:cs="Calibri"/>
                  <w:sz w:val="18"/>
                  <w:szCs w:val="18"/>
                </w:rPr>
                <w:t>1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777E502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Telemedicine utilization among residents with Alzheimer’s disease and related dementias: Association with nursing home characteristics</w:t>
            </w:r>
          </w:p>
        </w:tc>
        <w:tc>
          <w:tcPr>
            <w:tcW w:w="638" w:type="dxa"/>
            <w:noWrap/>
            <w:vAlign w:val="center"/>
            <w:hideMark/>
          </w:tcPr>
          <w:p w14:paraId="43D6C6F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Qiuyuan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Qin</w:t>
            </w:r>
          </w:p>
        </w:tc>
        <w:tc>
          <w:tcPr>
            <w:tcW w:w="692" w:type="dxa"/>
            <w:noWrap/>
            <w:vAlign w:val="center"/>
            <w:hideMark/>
          </w:tcPr>
          <w:p w14:paraId="219C761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0A6BCB5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2020–2021</w:t>
            </w:r>
          </w:p>
        </w:tc>
        <w:tc>
          <w:tcPr>
            <w:tcW w:w="1010" w:type="dxa"/>
            <w:noWrap/>
            <w:vAlign w:val="center"/>
            <w:hideMark/>
          </w:tcPr>
          <w:p w14:paraId="64659BA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MDS 3.0, Medicare claims, Medicare beneficiary summary file (MBSF)</w:t>
            </w:r>
          </w:p>
        </w:tc>
        <w:tc>
          <w:tcPr>
            <w:tcW w:w="777" w:type="dxa"/>
            <w:noWrap/>
            <w:vAlign w:val="center"/>
            <w:hideMark/>
          </w:tcPr>
          <w:p w14:paraId="291152F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18A802B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007D7A3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68C6E90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31E7535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1276129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817,821 NH residents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56B3213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Mean age ~81–82 years</w:t>
            </w:r>
          </w:p>
        </w:tc>
        <w:tc>
          <w:tcPr>
            <w:tcW w:w="986" w:type="dxa"/>
            <w:noWrap/>
            <w:vAlign w:val="center"/>
            <w:hideMark/>
          </w:tcPr>
          <w:p w14:paraId="310DFAF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~66–68%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0061DA9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% of Black and Hispanic residents per NH</w:t>
            </w:r>
          </w:p>
        </w:tc>
        <w:tc>
          <w:tcPr>
            <w:tcW w:w="990" w:type="dxa"/>
            <w:noWrap/>
            <w:vAlign w:val="center"/>
            <w:hideMark/>
          </w:tcPr>
          <w:p w14:paraId="450B3B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defined using RUCA codes (Metropolitan, Micropolitan, Small Town, Rural) based on NH zip codes</w:t>
            </w:r>
          </w:p>
        </w:tc>
        <w:tc>
          <w:tcPr>
            <w:tcW w:w="975" w:type="dxa"/>
            <w:noWrap/>
            <w:vAlign w:val="center"/>
            <w:hideMark/>
          </w:tcPr>
          <w:p w14:paraId="5AF59DB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 (Black, Hispanic)</w:t>
            </w:r>
          </w:p>
        </w:tc>
        <w:tc>
          <w:tcPr>
            <w:tcW w:w="975" w:type="dxa"/>
            <w:noWrap/>
            <w:vAlign w:val="center"/>
            <w:hideMark/>
          </w:tcPr>
          <w:p w14:paraId="1BB19C3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Medicaid-paid days, Medicare-paid days, NH quality rating</w:t>
            </w:r>
          </w:p>
        </w:tc>
        <w:tc>
          <w:tcPr>
            <w:tcW w:w="1009" w:type="dxa"/>
            <w:noWrap/>
            <w:vAlign w:val="center"/>
            <w:hideMark/>
          </w:tcPr>
          <w:p w14:paraId="07C32FD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specifically analyzed</w:t>
            </w:r>
          </w:p>
        </w:tc>
        <w:tc>
          <w:tcPr>
            <w:tcW w:w="1313" w:type="dxa"/>
            <w:noWrap/>
            <w:vAlign w:val="center"/>
            <w:hideMark/>
          </w:tcPr>
          <w:p w14:paraId="6610267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14A0CD1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Number of chronic conditions, ADL, cognitive functioning</w:t>
            </w:r>
          </w:p>
        </w:tc>
        <w:tc>
          <w:tcPr>
            <w:tcW w:w="1087" w:type="dxa"/>
            <w:noWrap/>
            <w:vAlign w:val="center"/>
            <w:hideMark/>
          </w:tcPr>
          <w:p w14:paraId="77E8E31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Telemedicine proxy for healthcare access</w:t>
            </w:r>
          </w:p>
        </w:tc>
        <w:tc>
          <w:tcPr>
            <w:tcW w:w="1023" w:type="dxa"/>
            <w:noWrap/>
            <w:vAlign w:val="center"/>
            <w:hideMark/>
          </w:tcPr>
          <w:p w14:paraId="3C5CCD3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NH quality ratings (1–5 stars)</w:t>
            </w:r>
          </w:p>
        </w:tc>
        <w:tc>
          <w:tcPr>
            <w:tcW w:w="1132" w:type="dxa"/>
            <w:noWrap/>
            <w:vAlign w:val="center"/>
            <w:hideMark/>
          </w:tcPr>
          <w:p w14:paraId="4F3A559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Telemedicine visits (HCPCS-coded)</w:t>
            </w:r>
          </w:p>
        </w:tc>
        <w:tc>
          <w:tcPr>
            <w:tcW w:w="1350" w:type="dxa"/>
            <w:noWrap/>
            <w:vAlign w:val="center"/>
            <w:hideMark/>
          </w:tcPr>
          <w:p w14:paraId="0BF2065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telemedicine policy changes during COVID-19</w:t>
            </w:r>
          </w:p>
        </w:tc>
        <w:tc>
          <w:tcPr>
            <w:tcW w:w="1040" w:type="dxa"/>
            <w:noWrap/>
            <w:vAlign w:val="center"/>
            <w:hideMark/>
          </w:tcPr>
          <w:p w14:paraId="5EEA80A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regression, with NH random effects</w:t>
            </w:r>
          </w:p>
        </w:tc>
        <w:tc>
          <w:tcPr>
            <w:tcW w:w="1314" w:type="dxa"/>
            <w:noWrap/>
            <w:vAlign w:val="center"/>
            <w:hideMark/>
          </w:tcPr>
          <w:p w14:paraId="6555D42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Limited to FFS Medicare residents; possible underestimation of ADRD via claims; data limited to 2020–2021</w:t>
            </w:r>
          </w:p>
        </w:tc>
      </w:tr>
      <w:tr w:rsidR="00510957" w:rsidRPr="00510957" w14:paraId="6D70F2D9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65B78FBB" w14:textId="4CEBAAC3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8" w:history="1">
              <w:r w:rsidRPr="00392A87">
                <w:rPr>
                  <w:rStyle w:val="Hyperlink"/>
                  <w:rFonts w:ascii="Calibri" w:hAnsi="Calibri" w:cs="Calibri"/>
                  <w:sz w:val="18"/>
                  <w:szCs w:val="18"/>
                </w:rPr>
                <w:t>2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E11E25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The Impact of Dementia Special Care Units on Quality of Care: An Instrumental Variables Analysis</w:t>
            </w:r>
          </w:p>
        </w:tc>
        <w:tc>
          <w:tcPr>
            <w:tcW w:w="638" w:type="dxa"/>
            <w:noWrap/>
            <w:vAlign w:val="center"/>
            <w:hideMark/>
          </w:tcPr>
          <w:p w14:paraId="1F25ACB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Nina R. Joyce</w:t>
            </w:r>
          </w:p>
        </w:tc>
        <w:tc>
          <w:tcPr>
            <w:tcW w:w="692" w:type="dxa"/>
            <w:noWrap/>
            <w:vAlign w:val="center"/>
            <w:hideMark/>
          </w:tcPr>
          <w:p w14:paraId="035F41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2018</w:t>
            </w:r>
          </w:p>
        </w:tc>
        <w:tc>
          <w:tcPr>
            <w:tcW w:w="962" w:type="dxa"/>
            <w:noWrap/>
            <w:vAlign w:val="center"/>
            <w:hideMark/>
          </w:tcPr>
          <w:p w14:paraId="786433A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2005–2010</w:t>
            </w:r>
          </w:p>
        </w:tc>
        <w:tc>
          <w:tcPr>
            <w:tcW w:w="1010" w:type="dxa"/>
            <w:noWrap/>
            <w:vAlign w:val="center"/>
            <w:hideMark/>
          </w:tcPr>
          <w:p w14:paraId="371E091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MDS 2.0, Medicare claims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), Medicare enrollment files, OSCAR</w:t>
            </w:r>
          </w:p>
        </w:tc>
        <w:tc>
          <w:tcPr>
            <w:tcW w:w="777" w:type="dxa"/>
            <w:noWrap/>
            <w:vAlign w:val="center"/>
            <w:hideMark/>
          </w:tcPr>
          <w:p w14:paraId="164FDAE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108E7D9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45747B8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20B4691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4430C9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1EB3443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704,782 residents with dementia</w:t>
            </w:r>
          </w:p>
        </w:tc>
        <w:tc>
          <w:tcPr>
            <w:tcW w:w="804" w:type="dxa"/>
            <w:noWrap/>
            <w:vAlign w:val="center"/>
            <w:hideMark/>
          </w:tcPr>
          <w:p w14:paraId="5E4D6E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Mean age ~83 years</w:t>
            </w:r>
          </w:p>
        </w:tc>
        <w:tc>
          <w:tcPr>
            <w:tcW w:w="986" w:type="dxa"/>
            <w:noWrap/>
            <w:vAlign w:val="center"/>
            <w:hideMark/>
          </w:tcPr>
          <w:p w14:paraId="5B8630D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68.3%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460C8DE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Race breakdown includes White (85%), Black (10.7%), others</w:t>
            </w:r>
          </w:p>
        </w:tc>
        <w:tc>
          <w:tcPr>
            <w:tcW w:w="990" w:type="dxa"/>
            <w:noWrap/>
            <w:vAlign w:val="center"/>
            <w:hideMark/>
          </w:tcPr>
          <w:p w14:paraId="6AADDDE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% living in rural area based on zip code (non-urban classification from Census)</w:t>
            </w:r>
          </w:p>
        </w:tc>
        <w:tc>
          <w:tcPr>
            <w:tcW w:w="975" w:type="dxa"/>
            <w:noWrap/>
            <w:vAlign w:val="center"/>
            <w:hideMark/>
          </w:tcPr>
          <w:p w14:paraId="2B266C6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race, marital status</w:t>
            </w:r>
          </w:p>
        </w:tc>
        <w:tc>
          <w:tcPr>
            <w:tcW w:w="975" w:type="dxa"/>
            <w:noWrap/>
            <w:vAlign w:val="center"/>
            <w:hideMark/>
          </w:tcPr>
          <w:p w14:paraId="7C18F5C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HMO enrollment, zip-level income, education, insurance, employment</w:t>
            </w:r>
          </w:p>
        </w:tc>
        <w:tc>
          <w:tcPr>
            <w:tcW w:w="1009" w:type="dxa"/>
            <w:noWrap/>
            <w:vAlign w:val="center"/>
            <w:hideMark/>
          </w:tcPr>
          <w:p w14:paraId="64995E4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Census-defined rural status of zip code</w:t>
            </w:r>
          </w:p>
        </w:tc>
        <w:tc>
          <w:tcPr>
            <w:tcW w:w="1313" w:type="dxa"/>
            <w:noWrap/>
            <w:vAlign w:val="center"/>
            <w:hideMark/>
          </w:tcPr>
          <w:p w14:paraId="6AC3CB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7455517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Cognitive impairment, depression, chronic conditions (e.g., diabetes, COPD, CHF, CAD, stroke)</w:t>
            </w:r>
          </w:p>
        </w:tc>
        <w:tc>
          <w:tcPr>
            <w:tcW w:w="1087" w:type="dxa"/>
            <w:noWrap/>
            <w:vAlign w:val="center"/>
            <w:hideMark/>
          </w:tcPr>
          <w:p w14:paraId="082301D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Indirectly – admission to SCU assumed to improve access to dementia-specific care</w:t>
            </w:r>
          </w:p>
        </w:tc>
        <w:tc>
          <w:tcPr>
            <w:tcW w:w="1023" w:type="dxa"/>
            <w:noWrap/>
            <w:vAlign w:val="center"/>
            <w:hideMark/>
          </w:tcPr>
          <w:p w14:paraId="420A9D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Facility-level: staffing, restraint use, antipsychotics, pressure ulcers, etc.</w:t>
            </w:r>
          </w:p>
        </w:tc>
        <w:tc>
          <w:tcPr>
            <w:tcW w:w="1132" w:type="dxa"/>
            <w:noWrap/>
            <w:vAlign w:val="center"/>
            <w:hideMark/>
          </w:tcPr>
          <w:p w14:paraId="2C4AFB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Hospitalizations, use of catheters, feeding tubes</w:t>
            </w:r>
          </w:p>
        </w:tc>
        <w:tc>
          <w:tcPr>
            <w:tcW w:w="1350" w:type="dxa"/>
            <w:noWrap/>
            <w:vAlign w:val="center"/>
            <w:hideMark/>
          </w:tcPr>
          <w:p w14:paraId="53919AE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Dementia SCU policy impact, CMS Nursing Home Compare implications</w:t>
            </w:r>
          </w:p>
        </w:tc>
        <w:tc>
          <w:tcPr>
            <w:tcW w:w="1040" w:type="dxa"/>
            <w:noWrap/>
            <w:vAlign w:val="center"/>
            <w:hideMark/>
          </w:tcPr>
          <w:p w14:paraId="13EF547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probability model, 2-stage least squares (2SLS), fixed effects, clustered standard errors</w:t>
            </w:r>
          </w:p>
        </w:tc>
        <w:tc>
          <w:tcPr>
            <w:tcW w:w="1314" w:type="dxa"/>
            <w:noWrap/>
            <w:vAlign w:val="center"/>
            <w:hideMark/>
          </w:tcPr>
          <w:p w14:paraId="5F8787C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national SCU standard; self-reported SCU beds; OSCAR updates every 18 months; possible data misclassification</w:t>
            </w:r>
          </w:p>
        </w:tc>
      </w:tr>
      <w:tr w:rsidR="00510957" w:rsidRPr="00510957" w14:paraId="2B9B5774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21215DF4" w14:textId="27F52E19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9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3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181E1B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Telehealth Infrastructure, Accountable Care Organization, and Medicare Payment for Patients with Alzheimer’s Disease and Related Dementia Living in Socially Vulnerable Areas</w:t>
            </w:r>
          </w:p>
        </w:tc>
        <w:tc>
          <w:tcPr>
            <w:tcW w:w="638" w:type="dxa"/>
            <w:noWrap/>
            <w:vAlign w:val="center"/>
            <w:hideMark/>
          </w:tcPr>
          <w:p w14:paraId="5611F0B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Jie Chen</w:t>
            </w:r>
          </w:p>
        </w:tc>
        <w:tc>
          <w:tcPr>
            <w:tcW w:w="692" w:type="dxa"/>
            <w:noWrap/>
            <w:vAlign w:val="center"/>
            <w:hideMark/>
          </w:tcPr>
          <w:p w14:paraId="094D6A7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79F914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2020</w:t>
            </w:r>
          </w:p>
        </w:tc>
        <w:tc>
          <w:tcPr>
            <w:tcW w:w="1010" w:type="dxa"/>
            <w:noWrap/>
            <w:vAlign w:val="center"/>
            <w:hideMark/>
          </w:tcPr>
          <w:p w14:paraId="63859D0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Medicare inpatient claims, Medicare Beneficiary Summary File, Medicare Shared Savings Program ACO, Social Vulnerability Index (SVI), AHA Annual Survey</w:t>
            </w:r>
          </w:p>
        </w:tc>
        <w:tc>
          <w:tcPr>
            <w:tcW w:w="777" w:type="dxa"/>
            <w:noWrap/>
            <w:vAlign w:val="center"/>
            <w:hideMark/>
          </w:tcPr>
          <w:p w14:paraId="17E64FE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993AD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317B9D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6E68FDC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4CDB9ED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2069941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3,331,132 total beneficiaries, 22%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0D641F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552AEAC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Approximately 51%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6A7D6F9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White, Black, Hispanic, Asian, Native American, Other</w:t>
            </w:r>
          </w:p>
        </w:tc>
        <w:tc>
          <w:tcPr>
            <w:tcW w:w="990" w:type="dxa"/>
            <w:noWrap/>
            <w:vAlign w:val="center"/>
            <w:hideMark/>
          </w:tcPr>
          <w:p w14:paraId="692DEC0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based on Core-Based Statistical Areas from U.S. OMB</w:t>
            </w:r>
          </w:p>
        </w:tc>
        <w:tc>
          <w:tcPr>
            <w:tcW w:w="975" w:type="dxa"/>
            <w:noWrap/>
            <w:vAlign w:val="center"/>
            <w:hideMark/>
          </w:tcPr>
          <w:p w14:paraId="21C3FCD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76C898F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SVI: income, employment, education, housing, vehicle access</w:t>
            </w:r>
          </w:p>
        </w:tc>
        <w:tc>
          <w:tcPr>
            <w:tcW w:w="1009" w:type="dxa"/>
            <w:noWrap/>
            <w:vAlign w:val="center"/>
            <w:hideMark/>
          </w:tcPr>
          <w:p w14:paraId="08A0AD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Core-Based Statistical Areas classification</w:t>
            </w:r>
          </w:p>
        </w:tc>
        <w:tc>
          <w:tcPr>
            <w:tcW w:w="1313" w:type="dxa"/>
            <w:noWrap/>
            <w:vAlign w:val="center"/>
            <w:hideMark/>
          </w:tcPr>
          <w:p w14:paraId="1726E79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4A8FE89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ADRD, heart disease, diabetes, hyperlipidemia, hypertension, asthma</w:t>
            </w:r>
          </w:p>
        </w:tc>
        <w:tc>
          <w:tcPr>
            <w:tcW w:w="1087" w:type="dxa"/>
            <w:noWrap/>
            <w:vAlign w:val="center"/>
            <w:hideMark/>
          </w:tcPr>
          <w:p w14:paraId="0DDAED6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Telehealth post-discharge infrastructure</w:t>
            </w:r>
          </w:p>
        </w:tc>
        <w:tc>
          <w:tcPr>
            <w:tcW w:w="1023" w:type="dxa"/>
            <w:noWrap/>
            <w:vAlign w:val="center"/>
            <w:hideMark/>
          </w:tcPr>
          <w:p w14:paraId="22D26E9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 ACO affiliation, HIT availability, patient outcomes</w:t>
            </w:r>
          </w:p>
        </w:tc>
        <w:tc>
          <w:tcPr>
            <w:tcW w:w="1132" w:type="dxa"/>
            <w:noWrap/>
            <w:vAlign w:val="center"/>
            <w:hideMark/>
          </w:tcPr>
          <w:p w14:paraId="7DEA9A4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Hospitalizations, Medicare spending across services</w:t>
            </w:r>
          </w:p>
        </w:tc>
        <w:tc>
          <w:tcPr>
            <w:tcW w:w="1350" w:type="dxa"/>
            <w:noWrap/>
            <w:vAlign w:val="center"/>
            <w:hideMark/>
          </w:tcPr>
          <w:p w14:paraId="2C2EACA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ACO model, GUIDE model, Medicare payment innovations</w:t>
            </w:r>
          </w:p>
        </w:tc>
        <w:tc>
          <w:tcPr>
            <w:tcW w:w="1040" w:type="dxa"/>
            <w:noWrap/>
            <w:vAlign w:val="center"/>
            <w:hideMark/>
          </w:tcPr>
          <w:p w14:paraId="15A2688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Generalized Linear Models (GLM), with log link and gamma distribution, interaction terms, 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ginteff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command</w:t>
            </w:r>
          </w:p>
        </w:tc>
        <w:tc>
          <w:tcPr>
            <w:tcW w:w="1314" w:type="dxa"/>
            <w:noWrap/>
            <w:vAlign w:val="center"/>
            <w:hideMark/>
          </w:tcPr>
          <w:p w14:paraId="128FA43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 design, FFS only, HIT availability not actual use, may not generalize to Medicare Advantage</w:t>
            </w:r>
          </w:p>
        </w:tc>
      </w:tr>
      <w:tr w:rsidR="00510957" w:rsidRPr="00510957" w14:paraId="4E57577A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176BA96" w14:textId="4F389408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0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4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2E0BDD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Rural-Urban Differences in Preventable Hospitalizations Among Community-Dwelling Veterans with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42E0E26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Joshua M. Thorpe</w:t>
            </w:r>
          </w:p>
        </w:tc>
        <w:tc>
          <w:tcPr>
            <w:tcW w:w="692" w:type="dxa"/>
            <w:noWrap/>
            <w:vAlign w:val="center"/>
            <w:hideMark/>
          </w:tcPr>
          <w:p w14:paraId="4859D5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2010</w:t>
            </w:r>
          </w:p>
        </w:tc>
        <w:tc>
          <w:tcPr>
            <w:tcW w:w="962" w:type="dxa"/>
            <w:noWrap/>
            <w:vAlign w:val="center"/>
            <w:hideMark/>
          </w:tcPr>
          <w:p w14:paraId="3951C1F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1998–1999</w:t>
            </w:r>
          </w:p>
        </w:tc>
        <w:tc>
          <w:tcPr>
            <w:tcW w:w="1010" w:type="dxa"/>
            <w:noWrap/>
            <w:vAlign w:val="center"/>
            <w:hideMark/>
          </w:tcPr>
          <w:p w14:paraId="108B8B1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Medicare and VA inpatient claims linked with National Longitudinal Caregiver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Survey (NLCS)</w:t>
            </w:r>
          </w:p>
        </w:tc>
        <w:tc>
          <w:tcPr>
            <w:tcW w:w="777" w:type="dxa"/>
            <w:noWrap/>
            <w:vAlign w:val="center"/>
            <w:hideMark/>
          </w:tcPr>
          <w:p w14:paraId="54646B3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2B72FA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 – VA population)</w:t>
            </w:r>
          </w:p>
        </w:tc>
        <w:tc>
          <w:tcPr>
            <w:tcW w:w="872" w:type="dxa"/>
            <w:noWrap/>
            <w:vAlign w:val="center"/>
            <w:hideMark/>
          </w:tcPr>
          <w:p w14:paraId="7504879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49D274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29D34C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mixed dementia types</w:t>
            </w:r>
          </w:p>
        </w:tc>
        <w:tc>
          <w:tcPr>
            <w:tcW w:w="1039" w:type="dxa"/>
            <w:noWrap/>
            <w:vAlign w:val="center"/>
            <w:hideMark/>
          </w:tcPr>
          <w:p w14:paraId="2A320A7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1,186 community-dwelling older male veterans with dementia</w:t>
            </w:r>
          </w:p>
        </w:tc>
        <w:tc>
          <w:tcPr>
            <w:tcW w:w="804" w:type="dxa"/>
            <w:noWrap/>
            <w:vAlign w:val="center"/>
            <w:hideMark/>
          </w:tcPr>
          <w:p w14:paraId="5CC7CA0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779F1A4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male (veterans); 100% female caregivers (co-residing)</w:t>
            </w:r>
          </w:p>
        </w:tc>
        <w:tc>
          <w:tcPr>
            <w:tcW w:w="1085" w:type="dxa"/>
            <w:noWrap/>
            <w:vAlign w:val="center"/>
            <w:hideMark/>
          </w:tcPr>
          <w:p w14:paraId="2DBF1F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(85.1%), African-American (14.9%) – caregivers; recipients unspecified</w:t>
            </w:r>
          </w:p>
        </w:tc>
        <w:tc>
          <w:tcPr>
            <w:tcW w:w="990" w:type="dxa"/>
            <w:noWrap/>
            <w:vAlign w:val="center"/>
            <w:hideMark/>
          </w:tcPr>
          <w:p w14:paraId="181653A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Yes – based on Urban Influence Codes (UIC): large metro, small metro,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micropolitan, non-core rural</w:t>
            </w:r>
          </w:p>
        </w:tc>
        <w:tc>
          <w:tcPr>
            <w:tcW w:w="975" w:type="dxa"/>
            <w:noWrap/>
            <w:vAlign w:val="center"/>
            <w:hideMark/>
          </w:tcPr>
          <w:p w14:paraId="2B939D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Age, caregiver race, caregiver relationship (wife, daughter, sister), caregiver education</w:t>
            </w:r>
          </w:p>
        </w:tc>
        <w:tc>
          <w:tcPr>
            <w:tcW w:w="975" w:type="dxa"/>
            <w:noWrap/>
            <w:vAlign w:val="center"/>
            <w:hideMark/>
          </w:tcPr>
          <w:p w14:paraId="5907AF2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Caregiver financial adequacy, caregiver insurance status, VA and Medicare insurance mix</w:t>
            </w:r>
          </w:p>
        </w:tc>
        <w:tc>
          <w:tcPr>
            <w:tcW w:w="1009" w:type="dxa"/>
            <w:noWrap/>
            <w:vAlign w:val="center"/>
            <w:hideMark/>
          </w:tcPr>
          <w:p w14:paraId="16D74CE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County-level primary care shortage area, presence of community health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clinic, distance to VA facility</w:t>
            </w:r>
          </w:p>
        </w:tc>
        <w:tc>
          <w:tcPr>
            <w:tcW w:w="1313" w:type="dxa"/>
            <w:noWrap/>
            <w:vAlign w:val="center"/>
            <w:hideMark/>
          </w:tcPr>
          <w:p w14:paraId="5CAD01D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742BA3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ADL limitations, Charlson comorbidity index, behavioral disturbance, total number of chronic conditions</w:t>
            </w:r>
          </w:p>
        </w:tc>
        <w:tc>
          <w:tcPr>
            <w:tcW w:w="1087" w:type="dxa"/>
            <w:noWrap/>
            <w:vAlign w:val="center"/>
            <w:hideMark/>
          </w:tcPr>
          <w:p w14:paraId="493E09E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ACSH used as proxy; also explored number of VA outpatient visits (not significant)</w:t>
            </w:r>
          </w:p>
        </w:tc>
        <w:tc>
          <w:tcPr>
            <w:tcW w:w="1023" w:type="dxa"/>
            <w:noWrap/>
            <w:vAlign w:val="center"/>
            <w:hideMark/>
          </w:tcPr>
          <w:p w14:paraId="6C0FC9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assessed; inferred from ACSH as quality indicator</w:t>
            </w:r>
          </w:p>
        </w:tc>
        <w:tc>
          <w:tcPr>
            <w:tcW w:w="1132" w:type="dxa"/>
            <w:noWrap/>
            <w:vAlign w:val="center"/>
            <w:hideMark/>
          </w:tcPr>
          <w:p w14:paraId="34A4A0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ACSH, non-ACSH, outpatient visits</w:t>
            </w:r>
          </w:p>
        </w:tc>
        <w:tc>
          <w:tcPr>
            <w:tcW w:w="1350" w:type="dxa"/>
            <w:noWrap/>
            <w:vAlign w:val="center"/>
            <w:hideMark/>
          </w:tcPr>
          <w:p w14:paraId="2ABD9F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 (observational study, not interventional)</w:t>
            </w:r>
          </w:p>
        </w:tc>
        <w:tc>
          <w:tcPr>
            <w:tcW w:w="1040" w:type="dxa"/>
            <w:noWrap/>
            <w:vAlign w:val="center"/>
            <w:hideMark/>
          </w:tcPr>
          <w:p w14:paraId="479EB1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Bivariate and multivariate logistic regression; adjusted for clustering; VIF used</w:t>
            </w:r>
          </w:p>
        </w:tc>
        <w:tc>
          <w:tcPr>
            <w:tcW w:w="1314" w:type="dxa"/>
            <w:noWrap/>
            <w:vAlign w:val="center"/>
            <w:hideMark/>
          </w:tcPr>
          <w:p w14:paraId="2E13F2D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Generalizability limited to male veterans with co-residing female caregivers; excludes deceased or institutionalize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d; ACSH may not always be preventable; VA-based care system</w:t>
            </w:r>
          </w:p>
        </w:tc>
      </w:tr>
      <w:tr w:rsidR="00510957" w:rsidRPr="00510957" w14:paraId="0885323D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7C3C076" w14:textId="133E57E6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1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5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7BBB19D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Rural–Urban Differences in Medical Care for Nursing Home Residents with Severe Dementia at the End of Life</w:t>
            </w:r>
          </w:p>
        </w:tc>
        <w:tc>
          <w:tcPr>
            <w:tcW w:w="638" w:type="dxa"/>
            <w:noWrap/>
            <w:vAlign w:val="center"/>
            <w:hideMark/>
          </w:tcPr>
          <w:p w14:paraId="53DC8A4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Charles E. Gessert</w:t>
            </w:r>
          </w:p>
        </w:tc>
        <w:tc>
          <w:tcPr>
            <w:tcW w:w="692" w:type="dxa"/>
            <w:noWrap/>
            <w:vAlign w:val="center"/>
            <w:hideMark/>
          </w:tcPr>
          <w:p w14:paraId="4EB0BE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2006</w:t>
            </w:r>
          </w:p>
        </w:tc>
        <w:tc>
          <w:tcPr>
            <w:tcW w:w="962" w:type="dxa"/>
            <w:noWrap/>
            <w:vAlign w:val="center"/>
            <w:hideMark/>
          </w:tcPr>
          <w:p w14:paraId="6D85204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1998–2001</w:t>
            </w:r>
          </w:p>
        </w:tc>
        <w:tc>
          <w:tcPr>
            <w:tcW w:w="1010" w:type="dxa"/>
            <w:noWrap/>
            <w:vAlign w:val="center"/>
            <w:hideMark/>
          </w:tcPr>
          <w:p w14:paraId="273419B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MDS, Medicare Provider Analysis and Review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), Hospice files, Denominator files, Provider of Services file</w:t>
            </w:r>
          </w:p>
        </w:tc>
        <w:tc>
          <w:tcPr>
            <w:tcW w:w="777" w:type="dxa"/>
            <w:noWrap/>
            <w:vAlign w:val="center"/>
            <w:hideMark/>
          </w:tcPr>
          <w:p w14:paraId="14CC285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733C89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Minnesota and Texas</w:t>
            </w:r>
          </w:p>
        </w:tc>
        <w:tc>
          <w:tcPr>
            <w:tcW w:w="872" w:type="dxa"/>
            <w:noWrap/>
            <w:vAlign w:val="center"/>
            <w:hideMark/>
          </w:tcPr>
          <w:p w14:paraId="18A47F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79AD3F0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06587C1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0B9D31D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3,710 NH residents (1,886 rural, 1,824 urban)</w:t>
            </w:r>
          </w:p>
        </w:tc>
        <w:tc>
          <w:tcPr>
            <w:tcW w:w="804" w:type="dxa"/>
            <w:noWrap/>
            <w:vAlign w:val="center"/>
            <w:hideMark/>
          </w:tcPr>
          <w:p w14:paraId="288D8A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67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58F5EE1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76%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6DBC9CC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(92.5% rural, 79.1% urban); Nonwhite (higher ICU/tube use)</w:t>
            </w:r>
          </w:p>
        </w:tc>
        <w:tc>
          <w:tcPr>
            <w:tcW w:w="990" w:type="dxa"/>
            <w:noWrap/>
            <w:vAlign w:val="center"/>
            <w:hideMark/>
          </w:tcPr>
          <w:p w14:paraId="77D6B09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USDA metro–nonmetro county codes (0–2 urban, 6–9 rural); intermediate counties excluded</w:t>
            </w:r>
          </w:p>
        </w:tc>
        <w:tc>
          <w:tcPr>
            <w:tcW w:w="975" w:type="dxa"/>
            <w:noWrap/>
            <w:vAlign w:val="center"/>
            <w:hideMark/>
          </w:tcPr>
          <w:p w14:paraId="0241834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2655D5F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Medicaid per diem status</w:t>
            </w:r>
          </w:p>
        </w:tc>
        <w:tc>
          <w:tcPr>
            <w:tcW w:w="1009" w:type="dxa"/>
            <w:noWrap/>
            <w:vAlign w:val="center"/>
            <w:hideMark/>
          </w:tcPr>
          <w:p w14:paraId="45FF48A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State (TX vs MN), county code, facility size, facility profit status</w:t>
            </w:r>
          </w:p>
        </w:tc>
        <w:tc>
          <w:tcPr>
            <w:tcW w:w="1313" w:type="dxa"/>
            <w:noWrap/>
            <w:vAlign w:val="center"/>
            <w:hideMark/>
          </w:tcPr>
          <w:p w14:paraId="6D92A4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Nutrition-related behaviors: poor appetite, weight loss, mechanically altered diet.</w:t>
            </w:r>
          </w:p>
        </w:tc>
        <w:tc>
          <w:tcPr>
            <w:tcW w:w="1551" w:type="dxa"/>
            <w:noWrap/>
            <w:vAlign w:val="center"/>
            <w:hideMark/>
          </w:tcPr>
          <w:p w14:paraId="2DBCC1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Stroke history, advance directives (e.g., do-not-resuscitate, living will)</w:t>
            </w:r>
          </w:p>
        </w:tc>
        <w:tc>
          <w:tcPr>
            <w:tcW w:w="1087" w:type="dxa"/>
            <w:noWrap/>
            <w:vAlign w:val="center"/>
            <w:hideMark/>
          </w:tcPr>
          <w:p w14:paraId="3D5A00F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 used as proxy for end-of-life access to intensive care</w:t>
            </w:r>
          </w:p>
        </w:tc>
        <w:tc>
          <w:tcPr>
            <w:tcW w:w="1023" w:type="dxa"/>
            <w:noWrap/>
            <w:vAlign w:val="center"/>
            <w:hideMark/>
          </w:tcPr>
          <w:p w14:paraId="40E497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Feeding tube and ICU use interpreted as potential indicators of aggressive or low-quality end-of-life care</w:t>
            </w:r>
          </w:p>
        </w:tc>
        <w:tc>
          <w:tcPr>
            <w:tcW w:w="1132" w:type="dxa"/>
            <w:noWrap/>
            <w:vAlign w:val="center"/>
            <w:hideMark/>
          </w:tcPr>
          <w:p w14:paraId="1C8DDB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Hospitalizations, ICU admissions, feeding tube use, hospital days</w:t>
            </w:r>
          </w:p>
        </w:tc>
        <w:tc>
          <w:tcPr>
            <w:tcW w:w="1350" w:type="dxa"/>
            <w:noWrap/>
            <w:vAlign w:val="center"/>
            <w:hideMark/>
          </w:tcPr>
          <w:p w14:paraId="091BB5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 (observational study)</w:t>
            </w:r>
          </w:p>
        </w:tc>
        <w:tc>
          <w:tcPr>
            <w:tcW w:w="1040" w:type="dxa"/>
            <w:noWrap/>
            <w:vAlign w:val="center"/>
            <w:hideMark/>
          </w:tcPr>
          <w:p w14:paraId="070D46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Bivariate and multivariable logistic regression, chi-square, t-tests; adjustments for prior service use</w:t>
            </w:r>
          </w:p>
        </w:tc>
        <w:tc>
          <w:tcPr>
            <w:tcW w:w="1314" w:type="dxa"/>
            <w:noWrap/>
            <w:vAlign w:val="center"/>
            <w:hideMark/>
          </w:tcPr>
          <w:p w14:paraId="23477CA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Administrative data limitations; exclusion of HMO and hospice enrollees (more urban); generalizability; no facility-level modeling</w:t>
            </w:r>
          </w:p>
        </w:tc>
      </w:tr>
      <w:tr w:rsidR="00510957" w:rsidRPr="00510957" w14:paraId="6E6CB098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78E50A66" w14:textId="0613A10C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2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6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05CCECC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Rural–Urban Differences in Diagnostic Incidence and Prevalence of Alzheimer’s Disease and Related Dementias</w:t>
            </w:r>
          </w:p>
        </w:tc>
        <w:tc>
          <w:tcPr>
            <w:tcW w:w="638" w:type="dxa"/>
            <w:noWrap/>
            <w:vAlign w:val="center"/>
            <w:hideMark/>
          </w:tcPr>
          <w:p w14:paraId="21A392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Momotazur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Rahman</w:t>
            </w:r>
          </w:p>
        </w:tc>
        <w:tc>
          <w:tcPr>
            <w:tcW w:w="692" w:type="dxa"/>
            <w:noWrap/>
            <w:vAlign w:val="center"/>
            <w:hideMark/>
          </w:tcPr>
          <w:p w14:paraId="1B2A236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2021</w:t>
            </w:r>
          </w:p>
        </w:tc>
        <w:tc>
          <w:tcPr>
            <w:tcW w:w="962" w:type="dxa"/>
            <w:noWrap/>
            <w:vAlign w:val="center"/>
            <w:hideMark/>
          </w:tcPr>
          <w:p w14:paraId="3A9C11D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2007–2015 (for cohort); incidence and prevalence calculated from 2008–2015</w:t>
            </w:r>
          </w:p>
        </w:tc>
        <w:tc>
          <w:tcPr>
            <w:tcW w:w="1010" w:type="dxa"/>
            <w:noWrap/>
            <w:vAlign w:val="center"/>
            <w:hideMark/>
          </w:tcPr>
          <w:p w14:paraId="106511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Beneficiary Summary File (MBSF), Medicare Part A claims, MDS, OASIS, Residential History File</w:t>
            </w:r>
          </w:p>
        </w:tc>
        <w:tc>
          <w:tcPr>
            <w:tcW w:w="777" w:type="dxa"/>
            <w:noWrap/>
            <w:vAlign w:val="center"/>
            <w:hideMark/>
          </w:tcPr>
          <w:p w14:paraId="10504A9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34AE7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1BA71A7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74AE09E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 &amp; incidence</w:t>
            </w:r>
          </w:p>
        </w:tc>
        <w:tc>
          <w:tcPr>
            <w:tcW w:w="832" w:type="dxa"/>
            <w:noWrap/>
            <w:vAlign w:val="center"/>
            <w:hideMark/>
          </w:tcPr>
          <w:p w14:paraId="53BE23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4054996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170 million person-years (Medicare FFS beneficiaries aged 65+)</w:t>
            </w:r>
          </w:p>
        </w:tc>
        <w:tc>
          <w:tcPr>
            <w:tcW w:w="804" w:type="dxa"/>
            <w:noWrap/>
            <w:vAlign w:val="center"/>
            <w:hideMark/>
          </w:tcPr>
          <w:p w14:paraId="088D9D7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3BDDEB8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~58% female (metro); slightly less in rural/micro</w:t>
            </w:r>
          </w:p>
        </w:tc>
        <w:tc>
          <w:tcPr>
            <w:tcW w:w="1085" w:type="dxa"/>
            <w:noWrap/>
            <w:vAlign w:val="center"/>
            <w:hideMark/>
          </w:tcPr>
          <w:p w14:paraId="4BA0FD4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White, Black, Hispanic, Other – higher nonwhite % in metro counties</w:t>
            </w:r>
          </w:p>
        </w:tc>
        <w:tc>
          <w:tcPr>
            <w:tcW w:w="990" w:type="dxa"/>
            <w:noWrap/>
            <w:vAlign w:val="center"/>
            <w:hideMark/>
          </w:tcPr>
          <w:p w14:paraId="7A2123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Rural-Urban Continuum Codes (RUCC): metro (1–3), micropolitan (4–7), rural (8–9)</w:t>
            </w:r>
          </w:p>
        </w:tc>
        <w:tc>
          <w:tcPr>
            <w:tcW w:w="975" w:type="dxa"/>
            <w:noWrap/>
            <w:vAlign w:val="center"/>
            <w:hideMark/>
          </w:tcPr>
          <w:p w14:paraId="645B9A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293F1E3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Medicaid eligibility, Medicare Advantage penetration in ZIP code, dual-eligible rate</w:t>
            </w:r>
          </w:p>
        </w:tc>
        <w:tc>
          <w:tcPr>
            <w:tcW w:w="1009" w:type="dxa"/>
            <w:noWrap/>
            <w:vAlign w:val="center"/>
            <w:hideMark/>
          </w:tcPr>
          <w:p w14:paraId="7575D6D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County classification, zip code-level neighborhood characteristics</w:t>
            </w:r>
          </w:p>
        </w:tc>
        <w:tc>
          <w:tcPr>
            <w:tcW w:w="1313" w:type="dxa"/>
            <w:noWrap/>
            <w:vAlign w:val="center"/>
            <w:hideMark/>
          </w:tcPr>
          <w:p w14:paraId="44BF50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7A71654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conditions count, HCC score, prior year utilization (hospital, NH, home health)</w:t>
            </w:r>
          </w:p>
        </w:tc>
        <w:tc>
          <w:tcPr>
            <w:tcW w:w="1087" w:type="dxa"/>
            <w:noWrap/>
            <w:vAlign w:val="center"/>
            <w:hideMark/>
          </w:tcPr>
          <w:p w14:paraId="6B47B24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Implied through diagnosis timing and survival; late-stage diagnosis in rural areas discussed</w:t>
            </w:r>
          </w:p>
        </w:tc>
        <w:tc>
          <w:tcPr>
            <w:tcW w:w="1023" w:type="dxa"/>
            <w:noWrap/>
            <w:vAlign w:val="center"/>
            <w:hideMark/>
          </w:tcPr>
          <w:p w14:paraId="388F4B4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assessed; inferred through survival time differences and diagnosis patterns</w:t>
            </w:r>
          </w:p>
        </w:tc>
        <w:tc>
          <w:tcPr>
            <w:tcW w:w="1132" w:type="dxa"/>
            <w:noWrap/>
            <w:vAlign w:val="center"/>
            <w:hideMark/>
          </w:tcPr>
          <w:p w14:paraId="6C48860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 and nursing home days, home health assessments, Medicare service patterns</w:t>
            </w:r>
          </w:p>
        </w:tc>
        <w:tc>
          <w:tcPr>
            <w:tcW w:w="1350" w:type="dxa"/>
            <w:noWrap/>
            <w:vAlign w:val="center"/>
            <w:hideMark/>
          </w:tcPr>
          <w:p w14:paraId="354B08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 (observational); recommendations include policy improvements in rural diagnosis</w:t>
            </w:r>
          </w:p>
        </w:tc>
        <w:tc>
          <w:tcPr>
            <w:tcW w:w="1040" w:type="dxa"/>
            <w:noWrap/>
            <w:vAlign w:val="center"/>
            <w:hideMark/>
          </w:tcPr>
          <w:p w14:paraId="1AA11C5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Multinomial logistic regression, Cox proportional hazards models, margins and 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stcurve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(Stata)</w:t>
            </w:r>
          </w:p>
        </w:tc>
        <w:tc>
          <w:tcPr>
            <w:tcW w:w="1314" w:type="dxa"/>
            <w:noWrap/>
            <w:vAlign w:val="center"/>
            <w:hideMark/>
          </w:tcPr>
          <w:p w14:paraId="31C85B8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Use of claims-based diagnosis (possible misclassification), exclusion of Medicare Advantage, inability to assess all potential risk factors (e.g., education, healthcare access)</w:t>
            </w:r>
          </w:p>
        </w:tc>
      </w:tr>
      <w:tr w:rsidR="00510957" w:rsidRPr="00510957" w14:paraId="54CC94BA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5ABFB3E6" w14:textId="4A72800A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3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7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076561F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 and urban disparities in potentially preventable hospitalizations among US patients with Alzheimer's Disease and Related Dementias: Evidence of hospital-based telehealth and enabling services</w:t>
            </w:r>
          </w:p>
        </w:tc>
        <w:tc>
          <w:tcPr>
            <w:tcW w:w="638" w:type="dxa"/>
            <w:noWrap/>
            <w:vAlign w:val="center"/>
            <w:hideMark/>
          </w:tcPr>
          <w:p w14:paraId="576CDBC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Nianyang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Wang</w:t>
            </w:r>
          </w:p>
        </w:tc>
        <w:tc>
          <w:tcPr>
            <w:tcW w:w="692" w:type="dxa"/>
            <w:noWrap/>
            <w:vAlign w:val="center"/>
            <w:hideMark/>
          </w:tcPr>
          <w:p w14:paraId="0639772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2022</w:t>
            </w:r>
          </w:p>
        </w:tc>
        <w:tc>
          <w:tcPr>
            <w:tcW w:w="962" w:type="dxa"/>
            <w:noWrap/>
            <w:vAlign w:val="center"/>
            <w:hideMark/>
          </w:tcPr>
          <w:p w14:paraId="659DF78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2017</w:t>
            </w:r>
          </w:p>
        </w:tc>
        <w:tc>
          <w:tcPr>
            <w:tcW w:w="1010" w:type="dxa"/>
            <w:noWrap/>
            <w:vAlign w:val="center"/>
            <w:hideMark/>
          </w:tcPr>
          <w:p w14:paraId="782DCB6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FFS inpatient claims, Medicare Beneficiary Summary File, AHA Annual Survey, American Community Survey</w:t>
            </w:r>
          </w:p>
        </w:tc>
        <w:tc>
          <w:tcPr>
            <w:tcW w:w="777" w:type="dxa"/>
            <w:noWrap/>
            <w:vAlign w:val="center"/>
            <w:hideMark/>
          </w:tcPr>
          <w:p w14:paraId="0FE06A8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2F63CE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22E3CE9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18794D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00AC534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6E029AC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357,641 Medicare FFS beneficiaries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74F8F7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0E36E18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56% female overall; slightly less in rural areas</w:t>
            </w:r>
          </w:p>
        </w:tc>
        <w:tc>
          <w:tcPr>
            <w:tcW w:w="1085" w:type="dxa"/>
            <w:noWrap/>
            <w:vAlign w:val="center"/>
            <w:hideMark/>
          </w:tcPr>
          <w:p w14:paraId="6A771F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(86%), Black (8%), Hispanic (3%), Asian (1%), Native American (&lt;1%)</w:t>
            </w:r>
          </w:p>
        </w:tc>
        <w:tc>
          <w:tcPr>
            <w:tcW w:w="990" w:type="dxa"/>
            <w:noWrap/>
            <w:vAlign w:val="center"/>
            <w:hideMark/>
          </w:tcPr>
          <w:p w14:paraId="770096C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Core-Based Statistical Areas (CBSAs): rural, micropolitan, and metropolitan</w:t>
            </w:r>
          </w:p>
        </w:tc>
        <w:tc>
          <w:tcPr>
            <w:tcW w:w="975" w:type="dxa"/>
            <w:noWrap/>
            <w:vAlign w:val="center"/>
            <w:hideMark/>
          </w:tcPr>
          <w:p w14:paraId="6CA5B80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2C92772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Poverty rate, education level, hospital ownership, hospital bed size</w:t>
            </w:r>
          </w:p>
        </w:tc>
        <w:tc>
          <w:tcPr>
            <w:tcW w:w="1009" w:type="dxa"/>
            <w:noWrap/>
            <w:vAlign w:val="center"/>
            <w:hideMark/>
          </w:tcPr>
          <w:p w14:paraId="09F208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Geography (CBSA classification), hospital characteristics (teaching, ownership)</w:t>
            </w:r>
          </w:p>
        </w:tc>
        <w:tc>
          <w:tcPr>
            <w:tcW w:w="1313" w:type="dxa"/>
            <w:noWrap/>
            <w:vAlign w:val="center"/>
            <w:hideMark/>
          </w:tcPr>
          <w:p w14:paraId="253A481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47EB816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Diabetes, heart disease, hypertension, asthma, hyperlipidemia</w:t>
            </w:r>
          </w:p>
        </w:tc>
        <w:tc>
          <w:tcPr>
            <w:tcW w:w="1087" w:type="dxa"/>
            <w:noWrap/>
            <w:vAlign w:val="center"/>
            <w:hideMark/>
          </w:tcPr>
          <w:p w14:paraId="30D116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Telehealth post-discharge and enabling services</w:t>
            </w:r>
          </w:p>
        </w:tc>
        <w:tc>
          <w:tcPr>
            <w:tcW w:w="1023" w:type="dxa"/>
            <w:noWrap/>
            <w:vAlign w:val="center"/>
            <w:hideMark/>
          </w:tcPr>
          <w:p w14:paraId="6066846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PPHs used as proxy for avoidable hospitalization; interpreted as a quality measure</w:t>
            </w:r>
          </w:p>
        </w:tc>
        <w:tc>
          <w:tcPr>
            <w:tcW w:w="1132" w:type="dxa"/>
            <w:noWrap/>
            <w:vAlign w:val="center"/>
            <w:hideMark/>
          </w:tcPr>
          <w:p w14:paraId="57F17F9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PPHs (acute and chronic), hospital visits</w:t>
            </w:r>
          </w:p>
        </w:tc>
        <w:tc>
          <w:tcPr>
            <w:tcW w:w="1350" w:type="dxa"/>
            <w:noWrap/>
            <w:vAlign w:val="center"/>
            <w:hideMark/>
          </w:tcPr>
          <w:p w14:paraId="66B985F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Telehealth post-discharge and enabling services as care interventions</w:t>
            </w:r>
          </w:p>
        </w:tc>
        <w:tc>
          <w:tcPr>
            <w:tcW w:w="1040" w:type="dxa"/>
            <w:noWrap/>
            <w:vAlign w:val="center"/>
            <w:hideMark/>
          </w:tcPr>
          <w:p w14:paraId="765576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regression, interaction terms, state-fixed effects, sensitivity analyses</w:t>
            </w:r>
          </w:p>
        </w:tc>
        <w:tc>
          <w:tcPr>
            <w:tcW w:w="1314" w:type="dxa"/>
            <w:noWrap/>
            <w:vAlign w:val="center"/>
            <w:hideMark/>
          </w:tcPr>
          <w:p w14:paraId="47AD0CB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 design, intent-to-treat not actual service use, claims data limitations, Medicare Advantage and dual-eligible excluded</w:t>
            </w:r>
          </w:p>
        </w:tc>
      </w:tr>
      <w:tr w:rsidR="00510957" w:rsidRPr="00510957" w14:paraId="4BA45D91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477286C6" w14:textId="7591226A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4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8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0FA946A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Primary care preparedness to care for patients with ADRD: A national survey study</w:t>
            </w:r>
          </w:p>
        </w:tc>
        <w:tc>
          <w:tcPr>
            <w:tcW w:w="638" w:type="dxa"/>
            <w:noWrap/>
            <w:vAlign w:val="center"/>
            <w:hideMark/>
          </w:tcPr>
          <w:p w14:paraId="6C083DA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Joseph Januszewicz</w:t>
            </w:r>
          </w:p>
        </w:tc>
        <w:tc>
          <w:tcPr>
            <w:tcW w:w="692" w:type="dxa"/>
            <w:noWrap/>
            <w:vAlign w:val="center"/>
            <w:hideMark/>
          </w:tcPr>
          <w:p w14:paraId="1331E00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2025</w:t>
            </w:r>
          </w:p>
        </w:tc>
        <w:tc>
          <w:tcPr>
            <w:tcW w:w="962" w:type="dxa"/>
            <w:noWrap/>
            <w:vAlign w:val="center"/>
            <w:hideMark/>
          </w:tcPr>
          <w:p w14:paraId="7B6B199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Not directly used (survey data from 2022–2023; Medicare revenue was a practice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characteristic)</w:t>
            </w:r>
          </w:p>
        </w:tc>
        <w:tc>
          <w:tcPr>
            <w:tcW w:w="1010" w:type="dxa"/>
            <w:noWrap/>
            <w:vAlign w:val="center"/>
            <w:hideMark/>
          </w:tcPr>
          <w:p w14:paraId="56C2B66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Not applicable (survey-based study)</w:t>
            </w:r>
          </w:p>
        </w:tc>
        <w:tc>
          <w:tcPr>
            <w:tcW w:w="777" w:type="dxa"/>
            <w:noWrap/>
            <w:vAlign w:val="center"/>
            <w:hideMark/>
          </w:tcPr>
          <w:p w14:paraId="06DBD4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</w:t>
            </w:r>
          </w:p>
        </w:tc>
        <w:tc>
          <w:tcPr>
            <w:tcW w:w="837" w:type="dxa"/>
            <w:noWrap/>
            <w:vAlign w:val="center"/>
            <w:hideMark/>
          </w:tcPr>
          <w:p w14:paraId="3A7B9D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335A47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2978034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7C229BD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56C0D0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1,245 primary care practices (36% response rate out of 3,498 sampled)</w:t>
            </w:r>
          </w:p>
        </w:tc>
        <w:tc>
          <w:tcPr>
            <w:tcW w:w="804" w:type="dxa"/>
            <w:noWrap/>
            <w:vAlign w:val="center"/>
            <w:hideMark/>
          </w:tcPr>
          <w:p w14:paraId="3DFC8FB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 (practice-level analysis, not patient-level)</w:t>
            </w:r>
          </w:p>
        </w:tc>
        <w:tc>
          <w:tcPr>
            <w:tcW w:w="986" w:type="dxa"/>
            <w:noWrap/>
            <w:vAlign w:val="center"/>
            <w:hideMark/>
          </w:tcPr>
          <w:p w14:paraId="1D2285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reported</w:t>
            </w:r>
          </w:p>
        </w:tc>
        <w:tc>
          <w:tcPr>
            <w:tcW w:w="1085" w:type="dxa"/>
            <w:noWrap/>
            <w:vAlign w:val="center"/>
            <w:hideMark/>
          </w:tcPr>
          <w:p w14:paraId="507A6C2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reported; but focus on ADRD disparities among racial/ethnic minorities noted</w:t>
            </w:r>
          </w:p>
        </w:tc>
        <w:tc>
          <w:tcPr>
            <w:tcW w:w="990" w:type="dxa"/>
            <w:noWrap/>
            <w:vAlign w:val="center"/>
            <w:hideMark/>
          </w:tcPr>
          <w:p w14:paraId="03943E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ZIP-code level classification based on RUCA codes from IQVIA database</w:t>
            </w:r>
          </w:p>
        </w:tc>
        <w:tc>
          <w:tcPr>
            <w:tcW w:w="975" w:type="dxa"/>
            <w:noWrap/>
            <w:vAlign w:val="center"/>
            <w:hideMark/>
          </w:tcPr>
          <w:p w14:paraId="692AE9A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 (survey of practices)</w:t>
            </w:r>
          </w:p>
        </w:tc>
        <w:tc>
          <w:tcPr>
            <w:tcW w:w="975" w:type="dxa"/>
            <w:noWrap/>
            <w:vAlign w:val="center"/>
            <w:hideMark/>
          </w:tcPr>
          <w:p w14:paraId="2E51BB2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Percent of Medicare revenue, ownership type, FQHC status, financial status of practice</w:t>
            </w:r>
          </w:p>
        </w:tc>
        <w:tc>
          <w:tcPr>
            <w:tcW w:w="1009" w:type="dxa"/>
            <w:noWrap/>
            <w:vAlign w:val="center"/>
            <w:hideMark/>
          </w:tcPr>
          <w:p w14:paraId="10849B3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Practice size, region, safety-net status, ACO participation</w:t>
            </w:r>
          </w:p>
        </w:tc>
        <w:tc>
          <w:tcPr>
            <w:tcW w:w="1313" w:type="dxa"/>
            <w:noWrap/>
            <w:vAlign w:val="center"/>
            <w:hideMark/>
          </w:tcPr>
          <w:p w14:paraId="4A431F4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</w:t>
            </w:r>
          </w:p>
        </w:tc>
        <w:tc>
          <w:tcPr>
            <w:tcW w:w="1551" w:type="dxa"/>
            <w:noWrap/>
            <w:vAlign w:val="center"/>
            <w:hideMark/>
          </w:tcPr>
          <w:p w14:paraId="0C1333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</w:t>
            </w:r>
          </w:p>
        </w:tc>
        <w:tc>
          <w:tcPr>
            <w:tcW w:w="1087" w:type="dxa"/>
            <w:noWrap/>
            <w:vAlign w:val="center"/>
            <w:hideMark/>
          </w:tcPr>
          <w:p w14:paraId="57AA4C2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Systems to refer for ADRD diagnostic testing and routine screening assessed</w:t>
            </w:r>
          </w:p>
        </w:tc>
        <w:tc>
          <w:tcPr>
            <w:tcW w:w="1023" w:type="dxa"/>
            <w:noWrap/>
            <w:vAlign w:val="center"/>
            <w:hideMark/>
          </w:tcPr>
          <w:p w14:paraId="3B391C0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Indirectly assessed via ADRD preparedness score (training, registry, screening, referral systems)</w:t>
            </w:r>
          </w:p>
        </w:tc>
        <w:tc>
          <w:tcPr>
            <w:tcW w:w="1132" w:type="dxa"/>
            <w:noWrap/>
            <w:vAlign w:val="center"/>
            <w:hideMark/>
          </w:tcPr>
          <w:p w14:paraId="18F650C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</w:t>
            </w:r>
          </w:p>
        </w:tc>
        <w:tc>
          <w:tcPr>
            <w:tcW w:w="1350" w:type="dxa"/>
            <w:noWrap/>
            <w:vAlign w:val="center"/>
            <w:hideMark/>
          </w:tcPr>
          <w:p w14:paraId="3C84C5C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direct intervention; study recommends supporting infrastructure and training as policy action</w:t>
            </w:r>
          </w:p>
        </w:tc>
        <w:tc>
          <w:tcPr>
            <w:tcW w:w="1040" w:type="dxa"/>
            <w:noWrap/>
            <w:vAlign w:val="center"/>
            <w:hideMark/>
          </w:tcPr>
          <w:p w14:paraId="4CA3DF3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regression, Descriptive statistics, one-way ANOVA, adjusted for ownership and size</w:t>
            </w:r>
          </w:p>
        </w:tc>
        <w:tc>
          <w:tcPr>
            <w:tcW w:w="1314" w:type="dxa"/>
            <w:noWrap/>
            <w:vAlign w:val="center"/>
            <w:hideMark/>
          </w:tcPr>
          <w:p w14:paraId="45B8551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Self-report bias; no patient-level outcomes; limited generalizability; modest response rate; capabilities not weighted</w:t>
            </w:r>
          </w:p>
        </w:tc>
      </w:tr>
      <w:tr w:rsidR="00510957" w:rsidRPr="00510957" w14:paraId="7BFE2165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7BA66F32" w14:textId="265B83E0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5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9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3B04C4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Primary Care Patterns Among Dual Eligibles with Alzheimer’s Disease and Related Dementias</w:t>
            </w:r>
          </w:p>
        </w:tc>
        <w:tc>
          <w:tcPr>
            <w:tcW w:w="638" w:type="dxa"/>
            <w:noWrap/>
            <w:vAlign w:val="center"/>
            <w:hideMark/>
          </w:tcPr>
          <w:p w14:paraId="40E40BD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Andrew J. Potter</w:t>
            </w:r>
          </w:p>
        </w:tc>
        <w:tc>
          <w:tcPr>
            <w:tcW w:w="692" w:type="dxa"/>
            <w:noWrap/>
            <w:vAlign w:val="center"/>
            <w:hideMark/>
          </w:tcPr>
          <w:p w14:paraId="07A7DE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4E1A225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2012–2018</w:t>
            </w:r>
          </w:p>
        </w:tc>
        <w:tc>
          <w:tcPr>
            <w:tcW w:w="1010" w:type="dxa"/>
            <w:noWrap/>
            <w:vAlign w:val="center"/>
            <w:hideMark/>
          </w:tcPr>
          <w:p w14:paraId="5BA3C6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claims and enrollment files (Part B outpatient and carrier files, MBSF), RTI-enhanced race field</w:t>
            </w:r>
          </w:p>
        </w:tc>
        <w:tc>
          <w:tcPr>
            <w:tcW w:w="777" w:type="dxa"/>
            <w:noWrap/>
            <w:vAlign w:val="center"/>
            <w:hideMark/>
          </w:tcPr>
          <w:p w14:paraId="35043D5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EB184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7B444D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064C38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3516AAF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41A9BD0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Over 4 million person-years across the study period (2012–2018)</w:t>
            </w:r>
          </w:p>
        </w:tc>
        <w:tc>
          <w:tcPr>
            <w:tcW w:w="804" w:type="dxa"/>
            <w:noWrap/>
            <w:vAlign w:val="center"/>
            <w:hideMark/>
          </w:tcPr>
          <w:p w14:paraId="27C522E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older; average age ~79</w:t>
            </w:r>
          </w:p>
        </w:tc>
        <w:tc>
          <w:tcPr>
            <w:tcW w:w="986" w:type="dxa"/>
            <w:noWrap/>
            <w:vAlign w:val="center"/>
            <w:hideMark/>
          </w:tcPr>
          <w:p w14:paraId="50D82F8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~69%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10A489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(65.9%), Black (15.8%), Hispanic (11.5%), API (5.0%), AI/AN (0.8%), Other (0.8%)</w:t>
            </w:r>
          </w:p>
        </w:tc>
        <w:tc>
          <w:tcPr>
            <w:tcW w:w="990" w:type="dxa"/>
            <w:noWrap/>
            <w:vAlign w:val="center"/>
            <w:hideMark/>
          </w:tcPr>
          <w:p w14:paraId="132DF2E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based on ZIP code–level rurality; linked to setting types (e.g., RHCs, higher rural %)</w:t>
            </w:r>
          </w:p>
        </w:tc>
        <w:tc>
          <w:tcPr>
            <w:tcW w:w="975" w:type="dxa"/>
            <w:noWrap/>
            <w:vAlign w:val="center"/>
            <w:hideMark/>
          </w:tcPr>
          <w:p w14:paraId="64CC9D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18BF3A3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Medicaid dual eligibility, disability-based Medicare entitlement</w:t>
            </w:r>
          </w:p>
        </w:tc>
        <w:tc>
          <w:tcPr>
            <w:tcW w:w="1009" w:type="dxa"/>
            <w:noWrap/>
            <w:vAlign w:val="center"/>
            <w:hideMark/>
          </w:tcPr>
          <w:p w14:paraId="7B28C92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Primary care setting types (e.g., RHCs, FQHCs), geographic patterns</w:t>
            </w:r>
          </w:p>
        </w:tc>
        <w:tc>
          <w:tcPr>
            <w:tcW w:w="1313" w:type="dxa"/>
            <w:noWrap/>
            <w:vAlign w:val="center"/>
            <w:hideMark/>
          </w:tcPr>
          <w:p w14:paraId="66BA15C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0BE2D5C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Number of chronic conditions, derived from claims</w:t>
            </w:r>
          </w:p>
        </w:tc>
        <w:tc>
          <w:tcPr>
            <w:tcW w:w="1087" w:type="dxa"/>
            <w:noWrap/>
            <w:vAlign w:val="center"/>
            <w:hideMark/>
          </w:tcPr>
          <w:p w14:paraId="1830F72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Shift from NH to outpatient and safety-net settings interpreted as increased access</w:t>
            </w:r>
          </w:p>
        </w:tc>
        <w:tc>
          <w:tcPr>
            <w:tcW w:w="1023" w:type="dxa"/>
            <w:noWrap/>
            <w:vAlign w:val="center"/>
            <w:hideMark/>
          </w:tcPr>
          <w:p w14:paraId="2985AF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Interpersonal and organizational continuity used as proxy for primary care quality</w:t>
            </w:r>
          </w:p>
        </w:tc>
        <w:tc>
          <w:tcPr>
            <w:tcW w:w="1132" w:type="dxa"/>
            <w:noWrap/>
            <w:vAlign w:val="center"/>
            <w:hideMark/>
          </w:tcPr>
          <w:p w14:paraId="089CBF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applicable</w:t>
            </w:r>
          </w:p>
        </w:tc>
        <w:tc>
          <w:tcPr>
            <w:tcW w:w="1350" w:type="dxa"/>
            <w:noWrap/>
            <w:vAlign w:val="center"/>
            <w:hideMark/>
          </w:tcPr>
          <w:p w14:paraId="005C768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ACA-related policy changes (e.g., Medicare wellness visit, FQHC funding); policy implications discussed</w:t>
            </w:r>
          </w:p>
        </w:tc>
        <w:tc>
          <w:tcPr>
            <w:tcW w:w="1040" w:type="dxa"/>
            <w:noWrap/>
            <w:vAlign w:val="center"/>
            <w:hideMark/>
          </w:tcPr>
          <w:p w14:paraId="763B0AD3" w14:textId="222A9D3A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k-means clustering, Descriptive statistics, setting-based comparisons, continuity metrics</w:t>
            </w:r>
          </w:p>
        </w:tc>
        <w:tc>
          <w:tcPr>
            <w:tcW w:w="1314" w:type="dxa"/>
            <w:noWrap/>
            <w:vAlign w:val="center"/>
            <w:hideMark/>
          </w:tcPr>
          <w:p w14:paraId="521B4A4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Descriptive only (not causal), excludes Medicare Advantage, limited to FFS duals, potential underdiagnosis of mild ADRD</w:t>
            </w:r>
          </w:p>
        </w:tc>
      </w:tr>
      <w:tr w:rsidR="00510957" w:rsidRPr="00510957" w14:paraId="08F3AED2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5F540D16" w14:textId="2075A1EA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6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10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3686E65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 of dementia subtypes in United States Medicare fee-for-service beneficiaries, 2011–2013</w:t>
            </w:r>
          </w:p>
        </w:tc>
        <w:tc>
          <w:tcPr>
            <w:tcW w:w="638" w:type="dxa"/>
            <w:noWrap/>
            <w:vAlign w:val="center"/>
            <w:hideMark/>
          </w:tcPr>
          <w:p w14:paraId="703ED6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Richard A. Goodman</w:t>
            </w:r>
          </w:p>
        </w:tc>
        <w:tc>
          <w:tcPr>
            <w:tcW w:w="692" w:type="dxa"/>
            <w:noWrap/>
            <w:vAlign w:val="center"/>
            <w:hideMark/>
          </w:tcPr>
          <w:p w14:paraId="35A920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2017</w:t>
            </w:r>
          </w:p>
        </w:tc>
        <w:tc>
          <w:tcPr>
            <w:tcW w:w="962" w:type="dxa"/>
            <w:noWrap/>
            <w:vAlign w:val="center"/>
            <w:hideMark/>
          </w:tcPr>
          <w:p w14:paraId="344452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2011–2013</w:t>
            </w:r>
          </w:p>
        </w:tc>
        <w:tc>
          <w:tcPr>
            <w:tcW w:w="1010" w:type="dxa"/>
            <w:noWrap/>
            <w:vAlign w:val="center"/>
            <w:hideMark/>
          </w:tcPr>
          <w:p w14:paraId="3C0EEE5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Fee-for-Service claims; Chronic Conditions Warehouse (CCW); Medicare Beneficiary Summary File (MBSF)</w:t>
            </w:r>
          </w:p>
        </w:tc>
        <w:tc>
          <w:tcPr>
            <w:tcW w:w="777" w:type="dxa"/>
            <w:noWrap/>
            <w:vAlign w:val="center"/>
            <w:hideMark/>
          </w:tcPr>
          <w:p w14:paraId="23DB38B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2C1C3A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520493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149DA71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</w:t>
            </w:r>
          </w:p>
        </w:tc>
        <w:tc>
          <w:tcPr>
            <w:tcW w:w="832" w:type="dxa"/>
            <w:noWrap/>
            <w:vAlign w:val="center"/>
            <w:hideMark/>
          </w:tcPr>
          <w:p w14:paraId="7F1F3A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6C0F50B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21,624,228 beneficiaries aged ≥68 years (3,110,654 with dementia)</w:t>
            </w:r>
          </w:p>
        </w:tc>
        <w:tc>
          <w:tcPr>
            <w:tcW w:w="804" w:type="dxa"/>
            <w:noWrap/>
            <w:vAlign w:val="center"/>
            <w:hideMark/>
          </w:tcPr>
          <w:p w14:paraId="229930D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68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69F2606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Among those with dementia: 65.7% female, 34.3%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1269E64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Non-Hispanic White: 82.2%, Black: 9.2%, Hispanic: 5.6%, Asian/PI: 2.1%, AI/AN: 0.4%</w:t>
            </w:r>
          </w:p>
        </w:tc>
        <w:tc>
          <w:tcPr>
            <w:tcW w:w="990" w:type="dxa"/>
            <w:noWrap/>
            <w:vAlign w:val="center"/>
            <w:hideMark/>
          </w:tcPr>
          <w:p w14:paraId="03B4F45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Urban vs. rural designation reported (78.3% urban)</w:t>
            </w:r>
          </w:p>
        </w:tc>
        <w:tc>
          <w:tcPr>
            <w:tcW w:w="975" w:type="dxa"/>
            <w:noWrap/>
            <w:vAlign w:val="center"/>
            <w:hideMark/>
          </w:tcPr>
          <w:p w14:paraId="500F45D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74F709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 status (Medicare and Medicaid)</w:t>
            </w:r>
          </w:p>
        </w:tc>
        <w:tc>
          <w:tcPr>
            <w:tcW w:w="1009" w:type="dxa"/>
            <w:noWrap/>
            <w:vAlign w:val="center"/>
            <w:hideMark/>
          </w:tcPr>
          <w:p w14:paraId="44331B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Urbanicity included as contextual variable</w:t>
            </w:r>
          </w:p>
        </w:tc>
        <w:tc>
          <w:tcPr>
            <w:tcW w:w="1313" w:type="dxa"/>
            <w:noWrap/>
            <w:vAlign w:val="center"/>
            <w:hideMark/>
          </w:tcPr>
          <w:p w14:paraId="77B5043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551" w:type="dxa"/>
            <w:noWrap/>
            <w:vAlign w:val="center"/>
            <w:hideMark/>
          </w:tcPr>
          <w:p w14:paraId="766F352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analyzed; comorbidities not the study focus</w:t>
            </w:r>
          </w:p>
        </w:tc>
        <w:tc>
          <w:tcPr>
            <w:tcW w:w="1087" w:type="dxa"/>
            <w:noWrap/>
            <w:vAlign w:val="center"/>
            <w:hideMark/>
          </w:tcPr>
          <w:p w14:paraId="2355FEB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023" w:type="dxa"/>
            <w:noWrap/>
            <w:vAlign w:val="center"/>
            <w:hideMark/>
          </w:tcPr>
          <w:p w14:paraId="351A8B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56563FC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 only; no utilization metrics</w:t>
            </w:r>
          </w:p>
        </w:tc>
        <w:tc>
          <w:tcPr>
            <w:tcW w:w="1350" w:type="dxa"/>
            <w:noWrap/>
            <w:vAlign w:val="center"/>
            <w:hideMark/>
          </w:tcPr>
          <w:p w14:paraId="45D89F8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 tested</w:t>
            </w:r>
          </w:p>
        </w:tc>
        <w:tc>
          <w:tcPr>
            <w:tcW w:w="1040" w:type="dxa"/>
            <w:noWrap/>
            <w:vAlign w:val="center"/>
            <w:hideMark/>
          </w:tcPr>
          <w:p w14:paraId="226C3A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Descriptive statistics, cross-tabulation, subgroup stratification</w:t>
            </w:r>
          </w:p>
        </w:tc>
        <w:tc>
          <w:tcPr>
            <w:tcW w:w="1314" w:type="dxa"/>
            <w:noWrap/>
            <w:vAlign w:val="center"/>
            <w:hideMark/>
          </w:tcPr>
          <w:p w14:paraId="2D113A3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Claims-based diagnosis may miss undiagnosed cases; limited clinical detail; excludes MA enrollees</w:t>
            </w:r>
          </w:p>
        </w:tc>
      </w:tr>
      <w:tr w:rsidR="00510957" w:rsidRPr="00510957" w14:paraId="5E84FDDD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7866969" w14:textId="6E08B22A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7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11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A86A0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Potentially Inappropriate Medication Use in Community-Dwelling Older Adults Living with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29CF349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Yuna H. Bae-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Shaaw</w:t>
            </w:r>
            <w:proofErr w:type="spellEnd"/>
          </w:p>
        </w:tc>
        <w:tc>
          <w:tcPr>
            <w:tcW w:w="692" w:type="dxa"/>
            <w:noWrap/>
            <w:vAlign w:val="center"/>
            <w:hideMark/>
          </w:tcPr>
          <w:p w14:paraId="0D2239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2023</w:t>
            </w:r>
          </w:p>
        </w:tc>
        <w:tc>
          <w:tcPr>
            <w:tcW w:w="962" w:type="dxa"/>
            <w:noWrap/>
            <w:vAlign w:val="center"/>
            <w:hideMark/>
          </w:tcPr>
          <w:p w14:paraId="74F5CB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2011–2017</w:t>
            </w:r>
          </w:p>
        </w:tc>
        <w:tc>
          <w:tcPr>
            <w:tcW w:w="1010" w:type="dxa"/>
            <w:noWrap/>
            <w:vAlign w:val="center"/>
            <w:hideMark/>
          </w:tcPr>
          <w:p w14:paraId="14870FE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20% Medicare FFS claims, Medicare Part D Event file, MDS 3.0, Medicare enrollment and claims data</w:t>
            </w:r>
          </w:p>
        </w:tc>
        <w:tc>
          <w:tcPr>
            <w:tcW w:w="777" w:type="dxa"/>
            <w:noWrap/>
            <w:vAlign w:val="center"/>
            <w:hideMark/>
          </w:tcPr>
          <w:p w14:paraId="1C7A642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Fee-for-Service, Part D</w:t>
            </w:r>
          </w:p>
        </w:tc>
        <w:tc>
          <w:tcPr>
            <w:tcW w:w="837" w:type="dxa"/>
            <w:noWrap/>
            <w:vAlign w:val="center"/>
            <w:hideMark/>
          </w:tcPr>
          <w:p w14:paraId="1E6094A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7A33301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18C7E9E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use</w:t>
            </w:r>
          </w:p>
        </w:tc>
        <w:tc>
          <w:tcPr>
            <w:tcW w:w="832" w:type="dxa"/>
            <w:noWrap/>
            <w:vAlign w:val="center"/>
            <w:hideMark/>
          </w:tcPr>
          <w:p w14:paraId="4863E6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3B9C27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1,605,256 person-year observations (8.2% of eligible Medicare FFS enrollees with dementia)</w:t>
            </w:r>
          </w:p>
        </w:tc>
        <w:tc>
          <w:tcPr>
            <w:tcW w:w="804" w:type="dxa"/>
            <w:noWrap/>
            <w:vAlign w:val="center"/>
            <w:hideMark/>
          </w:tcPr>
          <w:p w14:paraId="70928F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older; mean age ~81.4</w:t>
            </w:r>
          </w:p>
        </w:tc>
        <w:tc>
          <w:tcPr>
            <w:tcW w:w="986" w:type="dxa"/>
            <w:noWrap/>
            <w:vAlign w:val="center"/>
            <w:hideMark/>
          </w:tcPr>
          <w:p w14:paraId="419494B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66.6% female overall; 70.1% among PIM users</w:t>
            </w:r>
          </w:p>
        </w:tc>
        <w:tc>
          <w:tcPr>
            <w:tcW w:w="1085" w:type="dxa"/>
            <w:noWrap/>
            <w:vAlign w:val="center"/>
            <w:hideMark/>
          </w:tcPr>
          <w:p w14:paraId="7C1B48E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(81.0%), Black (9.1%), Asian (3.5%), Hispanic (3.4%), Other/Unknown (3.0%)</w:t>
            </w:r>
          </w:p>
        </w:tc>
        <w:tc>
          <w:tcPr>
            <w:tcW w:w="990" w:type="dxa"/>
            <w:noWrap/>
            <w:vAlign w:val="center"/>
            <w:hideMark/>
          </w:tcPr>
          <w:p w14:paraId="3DC9179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ZIP code-level RUCA codes (codes 7–10 classified as rural)</w:t>
            </w:r>
          </w:p>
        </w:tc>
        <w:tc>
          <w:tcPr>
            <w:tcW w:w="975" w:type="dxa"/>
            <w:noWrap/>
            <w:vAlign w:val="center"/>
            <w:hideMark/>
          </w:tcPr>
          <w:p w14:paraId="6699F8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3BDF5D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low-income subsidy enrollment</w:t>
            </w:r>
          </w:p>
        </w:tc>
        <w:tc>
          <w:tcPr>
            <w:tcW w:w="1009" w:type="dxa"/>
            <w:noWrap/>
            <w:vAlign w:val="center"/>
            <w:hideMark/>
          </w:tcPr>
          <w:p w14:paraId="0303B2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RUCA classification (ZIP code–level)</w:t>
            </w:r>
          </w:p>
        </w:tc>
        <w:tc>
          <w:tcPr>
            <w:tcW w:w="1313" w:type="dxa"/>
            <w:noWrap/>
            <w:vAlign w:val="center"/>
            <w:hideMark/>
          </w:tcPr>
          <w:p w14:paraId="3FDFA18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0143E9C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Charlson Comorbidity Index (CCI); exclusion of schizophrenia, Tourette’s, Huntington’s</w:t>
            </w:r>
          </w:p>
        </w:tc>
        <w:tc>
          <w:tcPr>
            <w:tcW w:w="1087" w:type="dxa"/>
            <w:noWrap/>
            <w:vAlign w:val="center"/>
            <w:hideMark/>
          </w:tcPr>
          <w:p w14:paraId="256B15F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assessed; PIM use linked to medication access indirectly</w:t>
            </w:r>
          </w:p>
        </w:tc>
        <w:tc>
          <w:tcPr>
            <w:tcW w:w="1023" w:type="dxa"/>
            <w:noWrap/>
            <w:vAlign w:val="center"/>
            <w:hideMark/>
          </w:tcPr>
          <w:p w14:paraId="183736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Prolonged PIM use interpreted as a quality concern</w:t>
            </w:r>
          </w:p>
        </w:tc>
        <w:tc>
          <w:tcPr>
            <w:tcW w:w="1132" w:type="dxa"/>
            <w:noWrap/>
            <w:vAlign w:val="center"/>
            <w:hideMark/>
          </w:tcPr>
          <w:p w14:paraId="1944A5F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PIM prescription fills and days-supply (antipsychotics, anticholinergics, benzodiazepines)</w:t>
            </w:r>
          </w:p>
        </w:tc>
        <w:tc>
          <w:tcPr>
            <w:tcW w:w="1350" w:type="dxa"/>
            <w:noWrap/>
            <w:vAlign w:val="center"/>
            <w:hideMark/>
          </w:tcPr>
          <w:p w14:paraId="799EE89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nursing home antipsychotic reduction policy discussed for context; no direct intervention</w:t>
            </w:r>
          </w:p>
        </w:tc>
        <w:tc>
          <w:tcPr>
            <w:tcW w:w="1040" w:type="dxa"/>
            <w:noWrap/>
            <w:vAlign w:val="center"/>
            <w:hideMark/>
          </w:tcPr>
          <w:p w14:paraId="604D45A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Descriptive statistics, chi-square tests, t-tests; sensitivity analysis on PIM definitions</w:t>
            </w:r>
          </w:p>
        </w:tc>
        <w:tc>
          <w:tcPr>
            <w:tcW w:w="1314" w:type="dxa"/>
            <w:noWrap/>
            <w:vAlign w:val="center"/>
            <w:hideMark/>
          </w:tcPr>
          <w:p w14:paraId="0F76E03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FFS and Part D enrollees only; no Medicare Advantage; claims-based dementia identification; recall bias; no patient outcomes</w:t>
            </w:r>
          </w:p>
        </w:tc>
      </w:tr>
      <w:tr w:rsidR="00510957" w:rsidRPr="00510957" w14:paraId="13DC1B35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2F0BFD99" w14:textId="1F26738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8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12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7A0CA9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Annual Wellness Visits and Early Dementia Diagnosis Among Medicare Beneficiaries</w:t>
            </w:r>
          </w:p>
        </w:tc>
        <w:tc>
          <w:tcPr>
            <w:tcW w:w="638" w:type="dxa"/>
            <w:noWrap/>
            <w:vAlign w:val="center"/>
            <w:hideMark/>
          </w:tcPr>
          <w:p w14:paraId="52C21D7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Huey-Ming Tzeng</w:t>
            </w:r>
          </w:p>
        </w:tc>
        <w:tc>
          <w:tcPr>
            <w:tcW w:w="692" w:type="dxa"/>
            <w:noWrap/>
            <w:vAlign w:val="center"/>
            <w:hideMark/>
          </w:tcPr>
          <w:p w14:paraId="7BF0AE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5B5D89E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2015–2022</w:t>
            </w:r>
          </w:p>
        </w:tc>
        <w:tc>
          <w:tcPr>
            <w:tcW w:w="1010" w:type="dxa"/>
            <w:noWrap/>
            <w:vAlign w:val="center"/>
            <w:hideMark/>
          </w:tcPr>
          <w:p w14:paraId="2E8099F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Texas Medicare fee-for-service data including MBSF, 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, carrier, outpatient files</w:t>
            </w:r>
          </w:p>
        </w:tc>
        <w:tc>
          <w:tcPr>
            <w:tcW w:w="777" w:type="dxa"/>
            <w:noWrap/>
            <w:vAlign w:val="center"/>
            <w:hideMark/>
          </w:tcPr>
          <w:p w14:paraId="169F8F4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02480B2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Texas</w:t>
            </w:r>
          </w:p>
        </w:tc>
        <w:tc>
          <w:tcPr>
            <w:tcW w:w="872" w:type="dxa"/>
            <w:noWrap/>
            <w:vAlign w:val="center"/>
            <w:hideMark/>
          </w:tcPr>
          <w:p w14:paraId="20E1B7A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0E4E86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Incidence</w:t>
            </w:r>
          </w:p>
        </w:tc>
        <w:tc>
          <w:tcPr>
            <w:tcW w:w="832" w:type="dxa"/>
            <w:noWrap/>
            <w:vAlign w:val="center"/>
            <w:hideMark/>
          </w:tcPr>
          <w:p w14:paraId="757BE33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2CC8CFA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549,516 Medicare beneficiaries</w:t>
            </w:r>
          </w:p>
        </w:tc>
        <w:tc>
          <w:tcPr>
            <w:tcW w:w="804" w:type="dxa"/>
            <w:noWrap/>
            <w:vAlign w:val="center"/>
            <w:hideMark/>
          </w:tcPr>
          <w:p w14:paraId="2ED2501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68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555785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Included in regression; not fully stratified numerically</w:t>
            </w:r>
          </w:p>
        </w:tc>
        <w:tc>
          <w:tcPr>
            <w:tcW w:w="1085" w:type="dxa"/>
            <w:noWrap/>
            <w:vAlign w:val="center"/>
            <w:hideMark/>
          </w:tcPr>
          <w:p w14:paraId="199D151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Race/ethnicity included: non-Hispanic White, Hispanic, Black, Other</w:t>
            </w:r>
          </w:p>
        </w:tc>
        <w:tc>
          <w:tcPr>
            <w:tcW w:w="990" w:type="dxa"/>
            <w:noWrap/>
            <w:vAlign w:val="center"/>
            <w:hideMark/>
          </w:tcPr>
          <w:p w14:paraId="3A3F1C5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Texas rural-urban classification from residence ZIP code</w:t>
            </w:r>
          </w:p>
        </w:tc>
        <w:tc>
          <w:tcPr>
            <w:tcW w:w="975" w:type="dxa"/>
            <w:noWrap/>
            <w:vAlign w:val="center"/>
            <w:hideMark/>
          </w:tcPr>
          <w:p w14:paraId="222E77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6BAAE05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Education (area-level), dual eligibility (proxy via claims)</w:t>
            </w:r>
          </w:p>
        </w:tc>
        <w:tc>
          <w:tcPr>
            <w:tcW w:w="1009" w:type="dxa"/>
            <w:noWrap/>
            <w:vAlign w:val="center"/>
            <w:hideMark/>
          </w:tcPr>
          <w:p w14:paraId="156DFD1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Rural/urban status, social association rates</w:t>
            </w:r>
          </w:p>
        </w:tc>
        <w:tc>
          <w:tcPr>
            <w:tcW w:w="1313" w:type="dxa"/>
            <w:noWrap/>
            <w:vAlign w:val="center"/>
            <w:hideMark/>
          </w:tcPr>
          <w:p w14:paraId="37943D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Physical inactivity (county-level measure, extracted as a covariate) and social association rates (proxy for social engagement, e.g., attending clubs/organizations).</w:t>
            </w:r>
          </w:p>
        </w:tc>
        <w:tc>
          <w:tcPr>
            <w:tcW w:w="1551" w:type="dxa"/>
            <w:noWrap/>
            <w:vAlign w:val="center"/>
            <w:hideMark/>
          </w:tcPr>
          <w:p w14:paraId="4D0F88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Elixhauser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comorbidity index</w:t>
            </w:r>
          </w:p>
        </w:tc>
        <w:tc>
          <w:tcPr>
            <w:tcW w:w="1087" w:type="dxa"/>
            <w:noWrap/>
            <w:vAlign w:val="center"/>
            <w:hideMark/>
          </w:tcPr>
          <w:p w14:paraId="67ED5D2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Primary care access, specialist visits considered</w:t>
            </w:r>
          </w:p>
        </w:tc>
        <w:tc>
          <w:tcPr>
            <w:tcW w:w="1023" w:type="dxa"/>
            <w:noWrap/>
            <w:vAlign w:val="center"/>
            <w:hideMark/>
          </w:tcPr>
          <w:p w14:paraId="181C41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0F03971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hospitalizations, specialist visits, AWV uptake</w:t>
            </w:r>
          </w:p>
        </w:tc>
        <w:tc>
          <w:tcPr>
            <w:tcW w:w="1350" w:type="dxa"/>
            <w:noWrap/>
            <w:vAlign w:val="center"/>
            <w:hideMark/>
          </w:tcPr>
          <w:p w14:paraId="17C780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policy relevance of AWV supported; Medicare benefit analysis</w:t>
            </w:r>
          </w:p>
        </w:tc>
        <w:tc>
          <w:tcPr>
            <w:tcW w:w="1040" w:type="dxa"/>
            <w:noWrap/>
            <w:vAlign w:val="center"/>
            <w:hideMark/>
          </w:tcPr>
          <w:p w14:paraId="5B877B5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regression, Propensity score matching; Fine-Gray competing risk regression; time-dependent sensitivity analysis</w:t>
            </w:r>
          </w:p>
        </w:tc>
        <w:tc>
          <w:tcPr>
            <w:tcW w:w="1314" w:type="dxa"/>
            <w:noWrap/>
            <w:vAlign w:val="center"/>
            <w:hideMark/>
          </w:tcPr>
          <w:p w14:paraId="77946B0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Observational design; self-selection bias; limited to Texas; claims-based diagnosis without clinical confirmation</w:t>
            </w:r>
          </w:p>
        </w:tc>
      </w:tr>
      <w:tr w:rsidR="00510957" w:rsidRPr="00510957" w14:paraId="262A9967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7E0C845C" w14:textId="449FEF69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19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13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13EC1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Long-Stay Nursing Home Residents with Dementia: Telemedicine Mental Health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Use during the COVID-19 Pandemic</w:t>
            </w:r>
          </w:p>
        </w:tc>
        <w:tc>
          <w:tcPr>
            <w:tcW w:w="638" w:type="dxa"/>
            <w:noWrap/>
            <w:vAlign w:val="center"/>
            <w:hideMark/>
          </w:tcPr>
          <w:p w14:paraId="1FA14D6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Qiuyuan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Qin</w:t>
            </w:r>
          </w:p>
        </w:tc>
        <w:tc>
          <w:tcPr>
            <w:tcW w:w="692" w:type="dxa"/>
            <w:noWrap/>
            <w:vAlign w:val="center"/>
            <w:hideMark/>
          </w:tcPr>
          <w:p w14:paraId="0A24234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2025</w:t>
            </w:r>
          </w:p>
        </w:tc>
        <w:tc>
          <w:tcPr>
            <w:tcW w:w="962" w:type="dxa"/>
            <w:noWrap/>
            <w:vAlign w:val="center"/>
            <w:hideMark/>
          </w:tcPr>
          <w:p w14:paraId="2769CB4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2020–2021 (inferred from context of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COVID-19 analysis)</w:t>
            </w:r>
          </w:p>
        </w:tc>
        <w:tc>
          <w:tcPr>
            <w:tcW w:w="1010" w:type="dxa"/>
            <w:noWrap/>
            <w:vAlign w:val="center"/>
            <w:hideMark/>
          </w:tcPr>
          <w:p w14:paraId="20A8725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Minimum Data Set 3.0, Medicare datasets, Nursing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Home Compare, Payroll-Based Journal, CMS COVID-19 data, ACS, RUCA</w:t>
            </w:r>
          </w:p>
        </w:tc>
        <w:tc>
          <w:tcPr>
            <w:tcW w:w="777" w:type="dxa"/>
            <w:noWrap/>
            <w:vAlign w:val="center"/>
            <w:hideMark/>
          </w:tcPr>
          <w:p w14:paraId="7937E7C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0C455A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37179C4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1FD3F0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20B8268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53ABCD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259,467 long-stay nursing home residents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00E875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 (not explicitl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y stated but inferred)</w:t>
            </w:r>
          </w:p>
        </w:tc>
        <w:tc>
          <w:tcPr>
            <w:tcW w:w="986" w:type="dxa"/>
            <w:noWrap/>
            <w:vAlign w:val="center"/>
            <w:hideMark/>
          </w:tcPr>
          <w:p w14:paraId="70F090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Not explicitly reported</w:t>
            </w:r>
          </w:p>
        </w:tc>
        <w:tc>
          <w:tcPr>
            <w:tcW w:w="1085" w:type="dxa"/>
            <w:noWrap/>
            <w:vAlign w:val="center"/>
            <w:hideMark/>
          </w:tcPr>
          <w:p w14:paraId="57E593D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Stratified by percent Black and Hispanic NH residents;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higher Hispanic % = higher tele-MH use, higher Black % = lower use</w:t>
            </w:r>
          </w:p>
        </w:tc>
        <w:tc>
          <w:tcPr>
            <w:tcW w:w="990" w:type="dxa"/>
            <w:noWrap/>
            <w:vAlign w:val="center"/>
            <w:hideMark/>
          </w:tcPr>
          <w:p w14:paraId="1D665E3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Yes – Rural-Urban Commuting Area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(RUCA) codes</w:t>
            </w:r>
          </w:p>
        </w:tc>
        <w:tc>
          <w:tcPr>
            <w:tcW w:w="975" w:type="dxa"/>
            <w:noWrap/>
            <w:vAlign w:val="center"/>
            <w:hideMark/>
          </w:tcPr>
          <w:p w14:paraId="7B39A1D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Age, sex, race (Black, Hispanic), cognitive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impairment</w:t>
            </w:r>
          </w:p>
        </w:tc>
        <w:tc>
          <w:tcPr>
            <w:tcW w:w="975" w:type="dxa"/>
            <w:noWrap/>
            <w:vAlign w:val="center"/>
            <w:hideMark/>
          </w:tcPr>
          <w:p w14:paraId="6D02E64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Medicaid status, % Medicaid residents</w:t>
            </w:r>
          </w:p>
        </w:tc>
        <w:tc>
          <w:tcPr>
            <w:tcW w:w="1009" w:type="dxa"/>
            <w:noWrap/>
            <w:vAlign w:val="center"/>
            <w:hideMark/>
          </w:tcPr>
          <w:p w14:paraId="234A54D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Shortage of mental health professionals</w:t>
            </w:r>
          </w:p>
        </w:tc>
        <w:tc>
          <w:tcPr>
            <w:tcW w:w="1313" w:type="dxa"/>
            <w:noWrap/>
            <w:vAlign w:val="center"/>
            <w:hideMark/>
          </w:tcPr>
          <w:p w14:paraId="75A69F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143BAC8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Severity of cognitive impairment</w:t>
            </w:r>
          </w:p>
        </w:tc>
        <w:tc>
          <w:tcPr>
            <w:tcW w:w="1087" w:type="dxa"/>
            <w:noWrap/>
            <w:vAlign w:val="center"/>
            <w:hideMark/>
          </w:tcPr>
          <w:p w14:paraId="50560A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Tele-MH use as proxy for access to mental health care</w:t>
            </w:r>
          </w:p>
        </w:tc>
        <w:tc>
          <w:tcPr>
            <w:tcW w:w="1023" w:type="dxa"/>
            <w:noWrap/>
            <w:vAlign w:val="center"/>
            <w:hideMark/>
          </w:tcPr>
          <w:p w14:paraId="0FE1E78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687BEC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Mental health telemedicine visits</w:t>
            </w:r>
          </w:p>
        </w:tc>
        <w:tc>
          <w:tcPr>
            <w:tcW w:w="1350" w:type="dxa"/>
            <w:noWrap/>
            <w:vAlign w:val="center"/>
            <w:hideMark/>
          </w:tcPr>
          <w:p w14:paraId="752334A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COVID-19 telehealth policy expansions</w:t>
            </w:r>
          </w:p>
        </w:tc>
        <w:tc>
          <w:tcPr>
            <w:tcW w:w="1040" w:type="dxa"/>
            <w:noWrap/>
            <w:vAlign w:val="center"/>
            <w:hideMark/>
          </w:tcPr>
          <w:p w14:paraId="62A7EFF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regression, with NH random effects</w:t>
            </w:r>
          </w:p>
        </w:tc>
        <w:tc>
          <w:tcPr>
            <w:tcW w:w="1314" w:type="dxa"/>
            <w:noWrap/>
            <w:vAlign w:val="center"/>
            <w:hideMark/>
          </w:tcPr>
          <w:p w14:paraId="5FADB5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FFS Medicare only; NH-level unmeasured confounders; observational design; lack of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pre-pandemic tele-MH baseline</w:t>
            </w:r>
          </w:p>
        </w:tc>
      </w:tr>
      <w:tr w:rsidR="00510957" w:rsidRPr="00510957" w14:paraId="71FC2D7C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4B4BC1A2" w14:textId="364BCB15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0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14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34504D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Home Health Services for Minorities in Urban and Rural Areas with Alzheimer’s and Related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07A8C6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Amol M. Karmarkar</w:t>
            </w:r>
          </w:p>
        </w:tc>
        <w:tc>
          <w:tcPr>
            <w:tcW w:w="692" w:type="dxa"/>
            <w:noWrap/>
            <w:vAlign w:val="center"/>
            <w:hideMark/>
          </w:tcPr>
          <w:p w14:paraId="70D2756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2023</w:t>
            </w:r>
          </w:p>
        </w:tc>
        <w:tc>
          <w:tcPr>
            <w:tcW w:w="962" w:type="dxa"/>
            <w:noWrap/>
            <w:vAlign w:val="center"/>
            <w:hideMark/>
          </w:tcPr>
          <w:p w14:paraId="54EFF1A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2016–2017</w:t>
            </w:r>
          </w:p>
        </w:tc>
        <w:tc>
          <w:tcPr>
            <w:tcW w:w="1010" w:type="dxa"/>
            <w:noWrap/>
            <w:vAlign w:val="center"/>
            <w:hideMark/>
          </w:tcPr>
          <w:p w14:paraId="141559E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 Warehouse (CCW); Medicare Inpatient Claims (SAF); Master Beneficiary Summary File (MBSF); Outcome and Assessment Information Set (OASIS); Revenue Center File; Provider of Services File; Home Health CAHPS; AHRQ data; Medicare Provider Utilization and Payment Data</w:t>
            </w:r>
          </w:p>
        </w:tc>
        <w:tc>
          <w:tcPr>
            <w:tcW w:w="777" w:type="dxa"/>
            <w:noWrap/>
            <w:vAlign w:val="center"/>
            <w:hideMark/>
          </w:tcPr>
          <w:p w14:paraId="1227819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10A2281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37E8A55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731CC4A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31B18C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0366A1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262,525 Medicare beneficiaries</w:t>
            </w:r>
          </w:p>
        </w:tc>
        <w:tc>
          <w:tcPr>
            <w:tcW w:w="804" w:type="dxa"/>
            <w:noWrap/>
            <w:vAlign w:val="center"/>
            <w:hideMark/>
          </w:tcPr>
          <w:p w14:paraId="135BDBE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66–100 years</w:t>
            </w:r>
          </w:p>
        </w:tc>
        <w:tc>
          <w:tcPr>
            <w:tcW w:w="986" w:type="dxa"/>
            <w:noWrap/>
            <w:vAlign w:val="center"/>
            <w:hideMark/>
          </w:tcPr>
          <w:p w14:paraId="460FC6C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61.9% female, 38.1%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6649409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(80.6%), Black (9.4%), Hispanic (6.0%), Other (4.0%)</w:t>
            </w:r>
          </w:p>
        </w:tc>
        <w:tc>
          <w:tcPr>
            <w:tcW w:w="990" w:type="dxa"/>
            <w:noWrap/>
            <w:vAlign w:val="center"/>
            <w:hideMark/>
          </w:tcPr>
          <w:p w14:paraId="233FD69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Urban/Rural location based on zip code</w:t>
            </w:r>
          </w:p>
        </w:tc>
        <w:tc>
          <w:tcPr>
            <w:tcW w:w="975" w:type="dxa"/>
            <w:noWrap/>
            <w:vAlign w:val="center"/>
            <w:hideMark/>
          </w:tcPr>
          <w:p w14:paraId="6317603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race/ethnicity, living alone</w:t>
            </w:r>
          </w:p>
        </w:tc>
        <w:tc>
          <w:tcPr>
            <w:tcW w:w="975" w:type="dxa"/>
            <w:noWrap/>
            <w:vAlign w:val="center"/>
            <w:hideMark/>
          </w:tcPr>
          <w:p w14:paraId="12D36B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neighborhood poverty rate, ZIP-level education</w:t>
            </w:r>
          </w:p>
        </w:tc>
        <w:tc>
          <w:tcPr>
            <w:tcW w:w="1009" w:type="dxa"/>
            <w:noWrap/>
            <w:vAlign w:val="center"/>
            <w:hideMark/>
          </w:tcPr>
          <w:p w14:paraId="53E17C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Distance from beneficiary to HHA; HHA concentration in ZIP; provider concentration (physician/NP)</w:t>
            </w:r>
          </w:p>
        </w:tc>
        <w:tc>
          <w:tcPr>
            <w:tcW w:w="1313" w:type="dxa"/>
            <w:noWrap/>
            <w:vAlign w:val="center"/>
            <w:hideMark/>
          </w:tcPr>
          <w:p w14:paraId="0C724D4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</w:t>
            </w:r>
          </w:p>
        </w:tc>
        <w:tc>
          <w:tcPr>
            <w:tcW w:w="1551" w:type="dxa"/>
            <w:noWrap/>
            <w:vAlign w:val="center"/>
            <w:hideMark/>
          </w:tcPr>
          <w:p w14:paraId="180BBCF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Elixhauser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comorbidity index, ICU admission, hospital-acquired conditions</w:t>
            </w:r>
          </w:p>
        </w:tc>
        <w:tc>
          <w:tcPr>
            <w:tcW w:w="1087" w:type="dxa"/>
            <w:noWrap/>
            <w:vAlign w:val="center"/>
            <w:hideMark/>
          </w:tcPr>
          <w:p w14:paraId="155E1D1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Delay in HH initiation as proxy for access; lower access among minorities and rural Whites</w:t>
            </w:r>
          </w:p>
        </w:tc>
        <w:tc>
          <w:tcPr>
            <w:tcW w:w="1023" w:type="dxa"/>
            <w:noWrap/>
            <w:vAlign w:val="center"/>
            <w:hideMark/>
          </w:tcPr>
          <w:p w14:paraId="568EB36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Delay in HH is a CMS process of care quality measure</w:t>
            </w:r>
          </w:p>
        </w:tc>
        <w:tc>
          <w:tcPr>
            <w:tcW w:w="1132" w:type="dxa"/>
            <w:noWrap/>
            <w:vAlign w:val="center"/>
            <w:hideMark/>
          </w:tcPr>
          <w:p w14:paraId="3B854B2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Initiation of HH post-hospitalization; provider availability; service latency</w:t>
            </w:r>
          </w:p>
        </w:tc>
        <w:tc>
          <w:tcPr>
            <w:tcW w:w="1350" w:type="dxa"/>
            <w:noWrap/>
            <w:vAlign w:val="center"/>
            <w:hideMark/>
          </w:tcPr>
          <w:p w14:paraId="03A14E7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specific policy intervention studied; discusses implications for equity-focused policy under value-based payment models</w:t>
            </w:r>
          </w:p>
        </w:tc>
        <w:tc>
          <w:tcPr>
            <w:tcW w:w="1040" w:type="dxa"/>
            <w:noWrap/>
            <w:vAlign w:val="center"/>
            <w:hideMark/>
          </w:tcPr>
          <w:p w14:paraId="5E4B2A2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Multilevel multivariate logistic regression, Bivariate analysis, interaction and subgroup models</w:t>
            </w:r>
          </w:p>
        </w:tc>
        <w:tc>
          <w:tcPr>
            <w:tcW w:w="1314" w:type="dxa"/>
            <w:noWrap/>
            <w:vAlign w:val="center"/>
            <w:hideMark/>
          </w:tcPr>
          <w:p w14:paraId="049C0F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Excludes Medicare Advantage; no outcome analysis; 1-year sample; no provider network data; no caregiver or staffing data; COVID-19 disruptions not examined</w:t>
            </w:r>
          </w:p>
        </w:tc>
      </w:tr>
      <w:tr w:rsidR="00510957" w:rsidRPr="00510957" w14:paraId="7FCD4D93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7269F477" w14:textId="1965CC8B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1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15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65D474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Home Health Care and Hospice Use Among Medicare Beneficiaries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With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and Without a Diagnosis of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227FF1D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Hyosin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(Dawn) Kim</w:t>
            </w:r>
          </w:p>
        </w:tc>
        <w:tc>
          <w:tcPr>
            <w:tcW w:w="692" w:type="dxa"/>
            <w:noWrap/>
            <w:vAlign w:val="center"/>
            <w:hideMark/>
          </w:tcPr>
          <w:p w14:paraId="216E975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2AB06ED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2016–2019 (3-year look-back from 2019 death)</w:t>
            </w:r>
          </w:p>
        </w:tc>
        <w:tc>
          <w:tcPr>
            <w:tcW w:w="1010" w:type="dxa"/>
            <w:noWrap/>
            <w:vAlign w:val="center"/>
            <w:hideMark/>
          </w:tcPr>
          <w:p w14:paraId="4D9A366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Master Beneficiary Summary File (MBSF), Medicare Provider Analysis and Review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), Hospice claims, Minimum Data Set (MDS 3.0),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Outcome and Assessment Information Set (OASIS), Inpatient Rehabilitation Facility-Patient Assessment Instrument, Rural-Urban Continuum Codes (RUCC), Area Deprivation Index (ADI 3.0)</w:t>
            </w:r>
          </w:p>
        </w:tc>
        <w:tc>
          <w:tcPr>
            <w:tcW w:w="777" w:type="dxa"/>
            <w:noWrap/>
            <w:vAlign w:val="center"/>
            <w:hideMark/>
          </w:tcPr>
          <w:p w14:paraId="3026F68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Fee-for-Service and Medicare Advantage (both included)</w:t>
            </w:r>
          </w:p>
        </w:tc>
        <w:tc>
          <w:tcPr>
            <w:tcW w:w="837" w:type="dxa"/>
            <w:noWrap/>
            <w:vAlign w:val="center"/>
            <w:hideMark/>
          </w:tcPr>
          <w:p w14:paraId="61CB4C7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(50 states, DC, Puerto Rico, USVI)</w:t>
            </w:r>
          </w:p>
        </w:tc>
        <w:tc>
          <w:tcPr>
            <w:tcW w:w="872" w:type="dxa"/>
            <w:noWrap/>
            <w:vAlign w:val="center"/>
            <w:hideMark/>
          </w:tcPr>
          <w:p w14:paraId="4F4235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3A1A6DE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Mortality</w:t>
            </w:r>
          </w:p>
        </w:tc>
        <w:tc>
          <w:tcPr>
            <w:tcW w:w="832" w:type="dxa"/>
            <w:noWrap/>
            <w:vAlign w:val="center"/>
            <w:hideMark/>
          </w:tcPr>
          <w:p w14:paraId="22F71D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7D2D9E6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2,169,422 Medicare beneficiaries who died in 2019</w:t>
            </w:r>
          </w:p>
        </w:tc>
        <w:tc>
          <w:tcPr>
            <w:tcW w:w="804" w:type="dxa"/>
            <w:noWrap/>
            <w:vAlign w:val="center"/>
            <w:hideMark/>
          </w:tcPr>
          <w:p w14:paraId="5A236CD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40 years and older (with continuous enrollment ≥3 years before death)</w:t>
            </w:r>
          </w:p>
        </w:tc>
        <w:tc>
          <w:tcPr>
            <w:tcW w:w="986" w:type="dxa"/>
            <w:noWrap/>
            <w:vAlign w:val="center"/>
            <w:hideMark/>
          </w:tcPr>
          <w:p w14:paraId="1C12C1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Overall: ~52% female, 48% male; Dementia group: 59%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169740F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(80.3%), Black (10.1%), Hispanic (6.9%), Asian (2.3%), AI/AN (0.5%)</w:t>
            </w:r>
          </w:p>
        </w:tc>
        <w:tc>
          <w:tcPr>
            <w:tcW w:w="990" w:type="dxa"/>
            <w:noWrap/>
            <w:vAlign w:val="center"/>
            <w:hideMark/>
          </w:tcPr>
          <w:p w14:paraId="43A342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Rural-Urban Continuum Codes (RUCC)</w:t>
            </w:r>
          </w:p>
        </w:tc>
        <w:tc>
          <w:tcPr>
            <w:tcW w:w="975" w:type="dxa"/>
            <w:noWrap/>
            <w:vAlign w:val="center"/>
            <w:hideMark/>
          </w:tcPr>
          <w:p w14:paraId="6945B55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324ABDC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ZIP-level ADI, insurance type</w:t>
            </w:r>
          </w:p>
        </w:tc>
        <w:tc>
          <w:tcPr>
            <w:tcW w:w="1009" w:type="dxa"/>
            <w:noWrap/>
            <w:vAlign w:val="center"/>
            <w:hideMark/>
          </w:tcPr>
          <w:p w14:paraId="785F0F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Neighborhood profile (urban/rural + ADI), state of residence</w:t>
            </w:r>
          </w:p>
        </w:tc>
        <w:tc>
          <w:tcPr>
            <w:tcW w:w="1313" w:type="dxa"/>
            <w:noWrap/>
            <w:vAlign w:val="center"/>
            <w:hideMark/>
          </w:tcPr>
          <w:p w14:paraId="71DDA3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5ED366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Multiple (e.g., IHD, CKD, CHF, COPD, stroke, cancer, dementia)</w:t>
            </w:r>
          </w:p>
        </w:tc>
        <w:tc>
          <w:tcPr>
            <w:tcW w:w="1087" w:type="dxa"/>
            <w:noWrap/>
            <w:vAlign w:val="center"/>
            <w:hideMark/>
          </w:tcPr>
          <w:p w14:paraId="6F0DA8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Home health use (and its timing) as an indicator of access before hospice</w:t>
            </w:r>
          </w:p>
        </w:tc>
        <w:tc>
          <w:tcPr>
            <w:tcW w:w="1023" w:type="dxa"/>
            <w:noWrap/>
            <w:vAlign w:val="center"/>
            <w:hideMark/>
          </w:tcPr>
          <w:p w14:paraId="7A038AA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Short hospice stays (&lt;3 days) discussed as indicators of poor care</w:t>
            </w:r>
          </w:p>
        </w:tc>
        <w:tc>
          <w:tcPr>
            <w:tcW w:w="1132" w:type="dxa"/>
            <w:noWrap/>
            <w:vAlign w:val="center"/>
            <w:hideMark/>
          </w:tcPr>
          <w:p w14:paraId="74EC25D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Home health use, SNF days, hospitalizations, hospice use and duration</w:t>
            </w:r>
          </w:p>
        </w:tc>
        <w:tc>
          <w:tcPr>
            <w:tcW w:w="1350" w:type="dxa"/>
            <w:noWrap/>
            <w:vAlign w:val="center"/>
            <w:hideMark/>
          </w:tcPr>
          <w:p w14:paraId="2274102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None explicitly tested, but policy implications discussed for end-of-life care and home-based care models</w:t>
            </w:r>
          </w:p>
        </w:tc>
        <w:tc>
          <w:tcPr>
            <w:tcW w:w="1040" w:type="dxa"/>
            <w:noWrap/>
            <w:vAlign w:val="center"/>
            <w:hideMark/>
          </w:tcPr>
          <w:p w14:paraId="599C95C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regression, multinomial logistic regression (stratified by dementia status), sensitivity analyses</w:t>
            </w:r>
          </w:p>
        </w:tc>
        <w:tc>
          <w:tcPr>
            <w:tcW w:w="1314" w:type="dxa"/>
            <w:noWrap/>
            <w:vAlign w:val="center"/>
            <w:hideMark/>
          </w:tcPr>
          <w:p w14:paraId="672B364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clinical severity measures; potential inaccuracies in dementia diagnosis; possible financial incentives bias; generalizability to those without Medicare limited</w:t>
            </w:r>
          </w:p>
        </w:tc>
      </w:tr>
      <w:tr w:rsidR="00510957" w:rsidRPr="00510957" w14:paraId="63F32B3F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2260B2C" w14:textId="4CF4D1EE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2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16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088759C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Geographic Variation of Prevalence of Alzheimer’s Disease and Related Dementias in Central Appalachia</w:t>
            </w:r>
          </w:p>
        </w:tc>
        <w:tc>
          <w:tcPr>
            <w:tcW w:w="638" w:type="dxa"/>
            <w:noWrap/>
            <w:vAlign w:val="center"/>
            <w:hideMark/>
          </w:tcPr>
          <w:p w14:paraId="4B8AC82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Jeffrey J. Wing</w:t>
            </w:r>
          </w:p>
        </w:tc>
        <w:tc>
          <w:tcPr>
            <w:tcW w:w="692" w:type="dxa"/>
            <w:noWrap/>
            <w:vAlign w:val="center"/>
            <w:hideMark/>
          </w:tcPr>
          <w:p w14:paraId="262D9A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3E81E58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2015–2018</w:t>
            </w:r>
          </w:p>
        </w:tc>
        <w:tc>
          <w:tcPr>
            <w:tcW w:w="1010" w:type="dxa"/>
            <w:noWrap/>
            <w:vAlign w:val="center"/>
            <w:hideMark/>
          </w:tcPr>
          <w:p w14:paraId="18504D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Fee-for-Service; CMS Geographic Variation Public Use Files</w:t>
            </w:r>
          </w:p>
        </w:tc>
        <w:tc>
          <w:tcPr>
            <w:tcW w:w="777" w:type="dxa"/>
            <w:noWrap/>
            <w:vAlign w:val="center"/>
            <w:hideMark/>
          </w:tcPr>
          <w:p w14:paraId="5BBC19A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A31DA9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Central Appalachia: Kentucky, North Carolina, Ohio, Tennessee, Virginia, West Virginia</w:t>
            </w:r>
          </w:p>
        </w:tc>
        <w:tc>
          <w:tcPr>
            <w:tcW w:w="872" w:type="dxa"/>
            <w:noWrap/>
            <w:vAlign w:val="center"/>
            <w:hideMark/>
          </w:tcPr>
          <w:p w14:paraId="459AA2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ecological study</w:t>
            </w:r>
          </w:p>
        </w:tc>
        <w:tc>
          <w:tcPr>
            <w:tcW w:w="1000" w:type="dxa"/>
            <w:noWrap/>
            <w:vAlign w:val="center"/>
            <w:hideMark/>
          </w:tcPr>
          <w:p w14:paraId="585AC5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</w:t>
            </w:r>
          </w:p>
        </w:tc>
        <w:tc>
          <w:tcPr>
            <w:tcW w:w="832" w:type="dxa"/>
            <w:noWrap/>
            <w:vAlign w:val="center"/>
            <w:hideMark/>
          </w:tcPr>
          <w:p w14:paraId="2D5F52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3CFFDA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specifically stated; county-level aggregate of all FFS Medicare beneficiaries (591 counties), 4.9 million</w:t>
            </w:r>
          </w:p>
        </w:tc>
        <w:tc>
          <w:tcPr>
            <w:tcW w:w="804" w:type="dxa"/>
            <w:noWrap/>
            <w:vAlign w:val="center"/>
            <w:hideMark/>
          </w:tcPr>
          <w:p w14:paraId="3E7BAB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29693A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Descriptive county-level (more females than males on average)</w:t>
            </w:r>
          </w:p>
        </w:tc>
        <w:tc>
          <w:tcPr>
            <w:tcW w:w="1085" w:type="dxa"/>
            <w:noWrap/>
            <w:vAlign w:val="center"/>
            <w:hideMark/>
          </w:tcPr>
          <w:p w14:paraId="44E760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County-level summaries, including proportions of Black, White, and Hispanic/Latinx populations</w:t>
            </w:r>
          </w:p>
        </w:tc>
        <w:tc>
          <w:tcPr>
            <w:tcW w:w="990" w:type="dxa"/>
            <w:noWrap/>
            <w:vAlign w:val="center"/>
            <w:hideMark/>
          </w:tcPr>
          <w:p w14:paraId="7B80F7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Appalachian Regional Commission classification; also used rural/urban indicators (no formal RUCA/RUCC)</w:t>
            </w:r>
          </w:p>
        </w:tc>
        <w:tc>
          <w:tcPr>
            <w:tcW w:w="975" w:type="dxa"/>
            <w:noWrap/>
            <w:vAlign w:val="center"/>
            <w:hideMark/>
          </w:tcPr>
          <w:p w14:paraId="1D961E7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age, gender, Medicaid eligibility</w:t>
            </w:r>
          </w:p>
        </w:tc>
        <w:tc>
          <w:tcPr>
            <w:tcW w:w="975" w:type="dxa"/>
            <w:noWrap/>
            <w:vAlign w:val="center"/>
            <w:hideMark/>
          </w:tcPr>
          <w:p w14:paraId="231C3F0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education, renter-occupied housing, poverty, life expectancy</w:t>
            </w:r>
          </w:p>
        </w:tc>
        <w:tc>
          <w:tcPr>
            <w:tcW w:w="1009" w:type="dxa"/>
            <w:noWrap/>
            <w:vAlign w:val="center"/>
            <w:hideMark/>
          </w:tcPr>
          <w:p w14:paraId="0DA9FF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313" w:type="dxa"/>
            <w:noWrap/>
            <w:vAlign w:val="center"/>
            <w:hideMark/>
          </w:tcPr>
          <w:p w14:paraId="4DCB02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social participation (social events)</w:t>
            </w:r>
          </w:p>
        </w:tc>
        <w:tc>
          <w:tcPr>
            <w:tcW w:w="1551" w:type="dxa"/>
            <w:noWrap/>
            <w:vAlign w:val="center"/>
            <w:hideMark/>
          </w:tcPr>
          <w:p w14:paraId="0019C0D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multiple chronic conditions (e.g., diabetes, heart failure, hypertension, stroke, etc.)</w:t>
            </w:r>
          </w:p>
        </w:tc>
        <w:tc>
          <w:tcPr>
            <w:tcW w:w="1087" w:type="dxa"/>
            <w:noWrap/>
            <w:vAlign w:val="center"/>
            <w:hideMark/>
          </w:tcPr>
          <w:p w14:paraId="7707494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diagnostic access: PCP visits, neurologist visits, imaging scans</w:t>
            </w:r>
          </w:p>
        </w:tc>
        <w:tc>
          <w:tcPr>
            <w:tcW w:w="1023" w:type="dxa"/>
            <w:noWrap/>
            <w:vAlign w:val="center"/>
            <w:hideMark/>
          </w:tcPr>
          <w:p w14:paraId="6D92EE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measured</w:t>
            </w:r>
          </w:p>
        </w:tc>
        <w:tc>
          <w:tcPr>
            <w:tcW w:w="1132" w:type="dxa"/>
            <w:noWrap/>
            <w:vAlign w:val="center"/>
            <w:hideMark/>
          </w:tcPr>
          <w:p w14:paraId="38D3A31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Indirectly assessed through diagnostic access metrics</w:t>
            </w:r>
          </w:p>
        </w:tc>
        <w:tc>
          <w:tcPr>
            <w:tcW w:w="1350" w:type="dxa"/>
            <w:noWrap/>
            <w:vAlign w:val="center"/>
            <w:hideMark/>
          </w:tcPr>
          <w:p w14:paraId="2A24DBC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interventions or policies examined</w:t>
            </w:r>
          </w:p>
        </w:tc>
        <w:tc>
          <w:tcPr>
            <w:tcW w:w="1040" w:type="dxa"/>
            <w:noWrap/>
            <w:vAlign w:val="center"/>
            <w:hideMark/>
          </w:tcPr>
          <w:p w14:paraId="630F8D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Negative binomial regression, Poisson regression</w:t>
            </w:r>
          </w:p>
        </w:tc>
        <w:tc>
          <w:tcPr>
            <w:tcW w:w="1314" w:type="dxa"/>
            <w:noWrap/>
            <w:vAlign w:val="center"/>
            <w:hideMark/>
          </w:tcPr>
          <w:p w14:paraId="66C663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Administrative data may undercount true prevalence; lack of individual-level data; variation in diagnostic access may bias estimates</w:t>
            </w:r>
          </w:p>
        </w:tc>
      </w:tr>
      <w:tr w:rsidR="00510957" w:rsidRPr="00510957" w14:paraId="4B60A38E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2CEEEAD" w14:textId="538FFC04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3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17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57A70DB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Geographic Variation of Antidementia and Antipsychotic Medication Use Among US Nursing Home Residents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With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3EC5AE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Alison Rataj</w:t>
            </w:r>
          </w:p>
        </w:tc>
        <w:tc>
          <w:tcPr>
            <w:tcW w:w="692" w:type="dxa"/>
            <w:noWrap/>
            <w:vAlign w:val="center"/>
            <w:hideMark/>
          </w:tcPr>
          <w:p w14:paraId="40CBE09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6874F43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2018</w:t>
            </w:r>
          </w:p>
        </w:tc>
        <w:tc>
          <w:tcPr>
            <w:tcW w:w="1010" w:type="dxa"/>
            <w:noWrap/>
            <w:vAlign w:val="center"/>
            <w:hideMark/>
          </w:tcPr>
          <w:p w14:paraId="69C92A7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Minimum Data Set (MDS 3.0), CMS Medicare data, Dartmouth Atlas data, CMS facility data</w:t>
            </w:r>
          </w:p>
        </w:tc>
        <w:tc>
          <w:tcPr>
            <w:tcW w:w="777" w:type="dxa"/>
            <w:noWrap/>
            <w:vAlign w:val="center"/>
            <w:hideMark/>
          </w:tcPr>
          <w:p w14:paraId="656EB3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62F69AD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29A02D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00F80B4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use</w:t>
            </w:r>
          </w:p>
        </w:tc>
        <w:tc>
          <w:tcPr>
            <w:tcW w:w="832" w:type="dxa"/>
            <w:noWrap/>
            <w:vAlign w:val="center"/>
            <w:hideMark/>
          </w:tcPr>
          <w:p w14:paraId="46D607E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1BFAD41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273,004 long-stay nursing home residents with dementia in 9735 facilities across 289 HRRs</w:t>
            </w:r>
          </w:p>
        </w:tc>
        <w:tc>
          <w:tcPr>
            <w:tcW w:w="804" w:type="dxa"/>
            <w:noWrap/>
            <w:vAlign w:val="center"/>
            <w:hideMark/>
          </w:tcPr>
          <w:p w14:paraId="00A8004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481F6FE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65.8%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7915793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(79.6%), Black (15.8%), Other (4.6%)</w:t>
            </w:r>
          </w:p>
        </w:tc>
        <w:tc>
          <w:tcPr>
            <w:tcW w:w="990" w:type="dxa"/>
            <w:noWrap/>
            <w:vAlign w:val="center"/>
            <w:hideMark/>
          </w:tcPr>
          <w:p w14:paraId="47D7248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explicitly defined; includes facility-level rural/urban status indicator</w:t>
            </w:r>
          </w:p>
        </w:tc>
        <w:tc>
          <w:tcPr>
            <w:tcW w:w="975" w:type="dxa"/>
            <w:noWrap/>
            <w:vAlign w:val="center"/>
            <w:hideMark/>
          </w:tcPr>
          <w:p w14:paraId="23A1B6F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0DF4429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Medicaid status, educational attainment in county</w:t>
            </w:r>
          </w:p>
        </w:tc>
        <w:tc>
          <w:tcPr>
            <w:tcW w:w="1009" w:type="dxa"/>
            <w:noWrap/>
            <w:vAlign w:val="center"/>
            <w:hideMark/>
          </w:tcPr>
          <w:p w14:paraId="6EAAC10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HRR-level healthcare utilization (physician visits, hospice use), facility ownership, staffing</w:t>
            </w:r>
          </w:p>
        </w:tc>
        <w:tc>
          <w:tcPr>
            <w:tcW w:w="1313" w:type="dxa"/>
            <w:noWrap/>
            <w:vAlign w:val="center"/>
            <w:hideMark/>
          </w:tcPr>
          <w:p w14:paraId="27BB987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mentioned</w:t>
            </w:r>
          </w:p>
        </w:tc>
        <w:tc>
          <w:tcPr>
            <w:tcW w:w="1551" w:type="dxa"/>
            <w:noWrap/>
            <w:vAlign w:val="center"/>
            <w:hideMark/>
          </w:tcPr>
          <w:p w14:paraId="62D4B0D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Cognitive impairment severity, comorbidities (e.g., diabetes, depression)</w:t>
            </w:r>
          </w:p>
        </w:tc>
        <w:tc>
          <w:tcPr>
            <w:tcW w:w="1087" w:type="dxa"/>
            <w:noWrap/>
            <w:vAlign w:val="center"/>
            <w:hideMark/>
          </w:tcPr>
          <w:p w14:paraId="14904CD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use as a proxy for access to dementia-related pharmacological care</w:t>
            </w:r>
          </w:p>
        </w:tc>
        <w:tc>
          <w:tcPr>
            <w:tcW w:w="1023" w:type="dxa"/>
            <w:noWrap/>
            <w:vAlign w:val="center"/>
            <w:hideMark/>
          </w:tcPr>
          <w:p w14:paraId="7EE0CB2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Included facility star ratings, staffing, and prescribing patterns</w:t>
            </w:r>
          </w:p>
        </w:tc>
        <w:tc>
          <w:tcPr>
            <w:tcW w:w="1132" w:type="dxa"/>
            <w:noWrap/>
            <w:vAlign w:val="center"/>
            <w:hideMark/>
          </w:tcPr>
          <w:p w14:paraId="10DEFC2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usage: antipsychotics and antidementia agents</w:t>
            </w:r>
          </w:p>
        </w:tc>
        <w:tc>
          <w:tcPr>
            <w:tcW w:w="1350" w:type="dxa"/>
            <w:noWrap/>
            <w:vAlign w:val="center"/>
            <w:hideMark/>
          </w:tcPr>
          <w:p w14:paraId="557C1B3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CMS regulations (e.g., Nursing Home Compare), regional care variation implications</w:t>
            </w:r>
          </w:p>
        </w:tc>
        <w:tc>
          <w:tcPr>
            <w:tcW w:w="1040" w:type="dxa"/>
            <w:noWrap/>
            <w:vAlign w:val="center"/>
            <w:hideMark/>
          </w:tcPr>
          <w:p w14:paraId="152DE0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Multilevel logistic regression model, with random effects for HRR and state; adjusted odds ratios; proportional change in variance</w:t>
            </w:r>
          </w:p>
        </w:tc>
        <w:tc>
          <w:tcPr>
            <w:tcW w:w="1314" w:type="dxa"/>
            <w:noWrap/>
            <w:vAlign w:val="center"/>
            <w:hideMark/>
          </w:tcPr>
          <w:p w14:paraId="1C06C9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Cross-sectional design; possible 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undercoding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; no clinical outcome measures; observational limits causal inference</w:t>
            </w:r>
          </w:p>
        </w:tc>
      </w:tr>
      <w:tr w:rsidR="00510957" w:rsidRPr="00510957" w14:paraId="6B8A6B7C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556F611E" w14:textId="30D06A6B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4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18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2CED904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Geographic Variation in Hospice Use in the United States in 2002</w:t>
            </w:r>
          </w:p>
        </w:tc>
        <w:tc>
          <w:tcPr>
            <w:tcW w:w="638" w:type="dxa"/>
            <w:noWrap/>
            <w:vAlign w:val="center"/>
            <w:hideMark/>
          </w:tcPr>
          <w:p w14:paraId="30C46EC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Stephen R. Connor</w:t>
            </w:r>
          </w:p>
        </w:tc>
        <w:tc>
          <w:tcPr>
            <w:tcW w:w="692" w:type="dxa"/>
            <w:noWrap/>
            <w:vAlign w:val="center"/>
            <w:hideMark/>
          </w:tcPr>
          <w:p w14:paraId="7ADA753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2007</w:t>
            </w:r>
          </w:p>
        </w:tc>
        <w:tc>
          <w:tcPr>
            <w:tcW w:w="962" w:type="dxa"/>
            <w:noWrap/>
            <w:vAlign w:val="center"/>
            <w:hideMark/>
          </w:tcPr>
          <w:p w14:paraId="29D0F1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2002</w:t>
            </w:r>
          </w:p>
        </w:tc>
        <w:tc>
          <w:tcPr>
            <w:tcW w:w="1010" w:type="dxa"/>
            <w:noWrap/>
            <w:vAlign w:val="center"/>
            <w:hideMark/>
          </w:tcPr>
          <w:p w14:paraId="4FCD2F2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CMS 100% Standard Analytic File for hospice claims (SAF-H); Compressed Mortality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File (CMF) from CDC</w:t>
            </w:r>
          </w:p>
        </w:tc>
        <w:tc>
          <w:tcPr>
            <w:tcW w:w="777" w:type="dxa"/>
            <w:noWrap/>
            <w:vAlign w:val="center"/>
            <w:hideMark/>
          </w:tcPr>
          <w:p w14:paraId="0D962CA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53CD6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(U.S.); state and county-level results reported</w:t>
            </w:r>
          </w:p>
        </w:tc>
        <w:tc>
          <w:tcPr>
            <w:tcW w:w="872" w:type="dxa"/>
            <w:noWrap/>
            <w:vAlign w:val="center"/>
            <w:hideMark/>
          </w:tcPr>
          <w:p w14:paraId="19F6C9B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2BA5B86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Mortality</w:t>
            </w:r>
          </w:p>
        </w:tc>
        <w:tc>
          <w:tcPr>
            <w:tcW w:w="832" w:type="dxa"/>
            <w:noWrap/>
            <w:vAlign w:val="center"/>
            <w:hideMark/>
          </w:tcPr>
          <w:p w14:paraId="0FA09E2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Alzheimer's disease</w:t>
            </w:r>
          </w:p>
        </w:tc>
        <w:tc>
          <w:tcPr>
            <w:tcW w:w="1039" w:type="dxa"/>
            <w:noWrap/>
            <w:vAlign w:val="center"/>
            <w:hideMark/>
          </w:tcPr>
          <w:p w14:paraId="1FE07B1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1,811,720 decedents aged 65+, with 518,078 Medicare hospice users</w:t>
            </w:r>
          </w:p>
        </w:tc>
        <w:tc>
          <w:tcPr>
            <w:tcW w:w="804" w:type="dxa"/>
            <w:noWrap/>
            <w:vAlign w:val="center"/>
            <w:hideMark/>
          </w:tcPr>
          <w:p w14:paraId="01DDEB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399DB3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30% female hospice use; 27% male hospice use</w:t>
            </w:r>
          </w:p>
        </w:tc>
        <w:tc>
          <w:tcPr>
            <w:tcW w:w="1085" w:type="dxa"/>
            <w:noWrap/>
            <w:vAlign w:val="center"/>
            <w:hideMark/>
          </w:tcPr>
          <w:p w14:paraId="720B6F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29% White vs. 22% Black hospice use; no reliable data for other races</w:t>
            </w:r>
          </w:p>
        </w:tc>
        <w:tc>
          <w:tcPr>
            <w:tcW w:w="990" w:type="dxa"/>
            <w:noWrap/>
            <w:vAlign w:val="center"/>
            <w:hideMark/>
          </w:tcPr>
          <w:p w14:paraId="3BC8FB2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Not formally defined (no RUCC/RUCA), but includes geographic variation at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county/state level</w:t>
            </w:r>
          </w:p>
        </w:tc>
        <w:tc>
          <w:tcPr>
            <w:tcW w:w="975" w:type="dxa"/>
            <w:noWrap/>
            <w:vAlign w:val="center"/>
            <w:hideMark/>
          </w:tcPr>
          <w:p w14:paraId="2857A1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Sex, age</w:t>
            </w:r>
          </w:p>
        </w:tc>
        <w:tc>
          <w:tcPr>
            <w:tcW w:w="975" w:type="dxa"/>
            <w:noWrap/>
            <w:vAlign w:val="center"/>
            <w:hideMark/>
          </w:tcPr>
          <w:p w14:paraId="44DA491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009" w:type="dxa"/>
            <w:noWrap/>
            <w:vAlign w:val="center"/>
            <w:hideMark/>
          </w:tcPr>
          <w:p w14:paraId="0531EE2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State and county of residence</w:t>
            </w:r>
          </w:p>
        </w:tc>
        <w:tc>
          <w:tcPr>
            <w:tcW w:w="1313" w:type="dxa"/>
            <w:noWrap/>
            <w:vAlign w:val="center"/>
            <w:hideMark/>
          </w:tcPr>
          <w:p w14:paraId="678A84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481166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11 cause-of-death categories including Alzheimer’s disease, malignancies, sepsis, COPD, etc.</w:t>
            </w:r>
          </w:p>
        </w:tc>
        <w:tc>
          <w:tcPr>
            <w:tcW w:w="1087" w:type="dxa"/>
            <w:noWrap/>
            <w:vAlign w:val="center"/>
            <w:hideMark/>
          </w:tcPr>
          <w:p w14:paraId="5E931B3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Assessed indirectly via regional HUR differences</w:t>
            </w:r>
          </w:p>
        </w:tc>
        <w:tc>
          <w:tcPr>
            <w:tcW w:w="1023" w:type="dxa"/>
            <w:noWrap/>
            <w:vAlign w:val="center"/>
            <w:hideMark/>
          </w:tcPr>
          <w:p w14:paraId="4C871E7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evaluated</w:t>
            </w:r>
          </w:p>
        </w:tc>
        <w:tc>
          <w:tcPr>
            <w:tcW w:w="1132" w:type="dxa"/>
            <w:noWrap/>
            <w:vAlign w:val="center"/>
            <w:hideMark/>
          </w:tcPr>
          <w:p w14:paraId="76A871C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Use of hospice services in the last year of life</w:t>
            </w:r>
          </w:p>
        </w:tc>
        <w:tc>
          <w:tcPr>
            <w:tcW w:w="1350" w:type="dxa"/>
            <w:noWrap/>
            <w:vAlign w:val="center"/>
            <w:hideMark/>
          </w:tcPr>
          <w:p w14:paraId="3721C22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hospice benefit (contextual policy background)</w:t>
            </w:r>
          </w:p>
        </w:tc>
        <w:tc>
          <w:tcPr>
            <w:tcW w:w="1040" w:type="dxa"/>
            <w:noWrap/>
            <w:vAlign w:val="center"/>
            <w:hideMark/>
          </w:tcPr>
          <w:p w14:paraId="25210F9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Descriptive statistics only, (no inferential testing); population-level enumeration using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CMS and CDC data</w:t>
            </w:r>
          </w:p>
        </w:tc>
        <w:tc>
          <w:tcPr>
            <w:tcW w:w="1314" w:type="dxa"/>
            <w:noWrap/>
            <w:vAlign w:val="center"/>
            <w:hideMark/>
          </w:tcPr>
          <w:p w14:paraId="005F855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No individual-level linkage; diagnostic miscoding; underrepresentation of non-Medicare patients; race data unreliable beyond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Black/White; no site of death or clinical severity</w:t>
            </w:r>
          </w:p>
        </w:tc>
      </w:tr>
      <w:tr w:rsidR="00510957" w:rsidRPr="00510957" w14:paraId="76911A1E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384A65F1" w14:textId="140CE386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5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19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1935940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Factors Associated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With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Deprescribing Acetylcholinesterase Inhibitors in Older Nursing Home Residents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With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Severe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377BF92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Joshua D. Niznik</w:t>
            </w:r>
          </w:p>
        </w:tc>
        <w:tc>
          <w:tcPr>
            <w:tcW w:w="692" w:type="dxa"/>
            <w:noWrap/>
            <w:vAlign w:val="center"/>
            <w:hideMark/>
          </w:tcPr>
          <w:p w14:paraId="2A13152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2019</w:t>
            </w:r>
          </w:p>
        </w:tc>
        <w:tc>
          <w:tcPr>
            <w:tcW w:w="962" w:type="dxa"/>
            <w:noWrap/>
            <w:vAlign w:val="center"/>
            <w:hideMark/>
          </w:tcPr>
          <w:p w14:paraId="391E6E6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2015–2016</w:t>
            </w:r>
          </w:p>
        </w:tc>
        <w:tc>
          <w:tcPr>
            <w:tcW w:w="1010" w:type="dxa"/>
            <w:noWrap/>
            <w:vAlign w:val="center"/>
            <w:hideMark/>
          </w:tcPr>
          <w:p w14:paraId="5F7E2FF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Parts A, B, D; Master Beneficiary Summary File (MBSF); Minimum Data Set (MDS) v3.0; Area Health Resource File (AHRF); Nursing Home Compare (NHC)</w:t>
            </w:r>
          </w:p>
        </w:tc>
        <w:tc>
          <w:tcPr>
            <w:tcW w:w="777" w:type="dxa"/>
            <w:noWrap/>
            <w:vAlign w:val="center"/>
            <w:hideMark/>
          </w:tcPr>
          <w:p w14:paraId="0703330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A, B, D</w:t>
            </w:r>
          </w:p>
        </w:tc>
        <w:tc>
          <w:tcPr>
            <w:tcW w:w="837" w:type="dxa"/>
            <w:noWrap/>
            <w:vAlign w:val="center"/>
            <w:hideMark/>
          </w:tcPr>
          <w:p w14:paraId="20C9900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6FA61E8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52EDE24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use</w:t>
            </w:r>
          </w:p>
        </w:tc>
        <w:tc>
          <w:tcPr>
            <w:tcW w:w="832" w:type="dxa"/>
            <w:noWrap/>
            <w:vAlign w:val="center"/>
            <w:hideMark/>
          </w:tcPr>
          <w:p w14:paraId="0B0FAC45" w14:textId="57DE7F8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Severe dementia</w:t>
            </w:r>
          </w:p>
        </w:tc>
        <w:tc>
          <w:tcPr>
            <w:tcW w:w="1039" w:type="dxa"/>
            <w:noWrap/>
            <w:vAlign w:val="center"/>
            <w:hideMark/>
          </w:tcPr>
          <w:p w14:paraId="735096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37,106 residents; 100,807 MDS assessments</w:t>
            </w:r>
          </w:p>
        </w:tc>
        <w:tc>
          <w:tcPr>
            <w:tcW w:w="804" w:type="dxa"/>
            <w:noWrap/>
            <w:vAlign w:val="center"/>
            <w:hideMark/>
          </w:tcPr>
          <w:p w14:paraId="7599596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17076E7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75.5% female, 24.5%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13252E3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78.7% White, 11.9% Black, 5.5% Hispanic, 3.9% Other</w:t>
            </w:r>
          </w:p>
        </w:tc>
        <w:tc>
          <w:tcPr>
            <w:tcW w:w="990" w:type="dxa"/>
            <w:noWrap/>
            <w:vAlign w:val="center"/>
            <w:hideMark/>
          </w:tcPr>
          <w:p w14:paraId="146B825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Defined using ZIP code and rural-urban continuum from AHRF: urban, rural, highly rural</w:t>
            </w:r>
          </w:p>
        </w:tc>
        <w:tc>
          <w:tcPr>
            <w:tcW w:w="975" w:type="dxa"/>
            <w:noWrap/>
            <w:vAlign w:val="center"/>
            <w:hideMark/>
          </w:tcPr>
          <w:p w14:paraId="7B736B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race, marital status</w:t>
            </w:r>
          </w:p>
        </w:tc>
        <w:tc>
          <w:tcPr>
            <w:tcW w:w="975" w:type="dxa"/>
            <w:noWrap/>
            <w:vAlign w:val="center"/>
            <w:hideMark/>
          </w:tcPr>
          <w:p w14:paraId="15ECA35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explicitly reported</w:t>
            </w:r>
          </w:p>
        </w:tc>
        <w:tc>
          <w:tcPr>
            <w:tcW w:w="1009" w:type="dxa"/>
            <w:noWrap/>
            <w:vAlign w:val="center"/>
            <w:hideMark/>
          </w:tcPr>
          <w:p w14:paraId="324409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Facility size, rurality, region, prescriber specialty</w:t>
            </w:r>
          </w:p>
        </w:tc>
        <w:tc>
          <w:tcPr>
            <w:tcW w:w="1313" w:type="dxa"/>
            <w:noWrap/>
            <w:vAlign w:val="center"/>
            <w:hideMark/>
          </w:tcPr>
          <w:p w14:paraId="77263CC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Poor appetite, weight loss, mechanically altered diet as predictors</w:t>
            </w:r>
          </w:p>
        </w:tc>
        <w:tc>
          <w:tcPr>
            <w:tcW w:w="1551" w:type="dxa"/>
            <w:noWrap/>
            <w:vAlign w:val="center"/>
            <w:hideMark/>
          </w:tcPr>
          <w:p w14:paraId="10F725D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Charlson Comorbidity Index, aggressive behavior, poor appetite, ADL impairment, hospitalization history, limited prognosis</w:t>
            </w:r>
          </w:p>
        </w:tc>
        <w:tc>
          <w:tcPr>
            <w:tcW w:w="1087" w:type="dxa"/>
            <w:noWrap/>
            <w:vAlign w:val="center"/>
            <w:hideMark/>
          </w:tcPr>
          <w:p w14:paraId="747296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measured, but medication use (deprescribing) may reflect access variation</w:t>
            </w:r>
          </w:p>
        </w:tc>
        <w:tc>
          <w:tcPr>
            <w:tcW w:w="1023" w:type="dxa"/>
            <w:noWrap/>
            <w:vAlign w:val="center"/>
            <w:hideMark/>
          </w:tcPr>
          <w:p w14:paraId="6AFDA7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Facility-level characteristics (star rating not reported, but provider specialty and regional variation included)</w:t>
            </w:r>
          </w:p>
        </w:tc>
        <w:tc>
          <w:tcPr>
            <w:tcW w:w="1132" w:type="dxa"/>
            <w:noWrap/>
            <w:vAlign w:val="center"/>
            <w:hideMark/>
          </w:tcPr>
          <w:p w14:paraId="2022C4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Hospitalizations, medication prescribing, provider specialty</w:t>
            </w:r>
          </w:p>
        </w:tc>
        <w:tc>
          <w:tcPr>
            <w:tcW w:w="1350" w:type="dxa"/>
            <w:noWrap/>
            <w:vAlign w:val="center"/>
            <w:hideMark/>
          </w:tcPr>
          <w:p w14:paraId="70CC7A1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intervention; findings may inform deprescribing guidelines or policy targets</w:t>
            </w:r>
          </w:p>
        </w:tc>
        <w:tc>
          <w:tcPr>
            <w:tcW w:w="1040" w:type="dxa"/>
            <w:noWrap/>
            <w:vAlign w:val="center"/>
            <w:hideMark/>
          </w:tcPr>
          <w:p w14:paraId="6F73ACD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Cox proportional hazards model, with time-varying covariates; sensitivity analysis with 60-day gap definition; adjusted hazard ratios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aHRs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); imputation for missing data</w:t>
            </w:r>
          </w:p>
        </w:tc>
        <w:tc>
          <w:tcPr>
            <w:tcW w:w="1314" w:type="dxa"/>
            <w:noWrap/>
            <w:vAlign w:val="center"/>
            <w:hideMark/>
          </w:tcPr>
          <w:p w14:paraId="43BAF68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Inability to confirm deprescribing intent, potential misclassification of discontinuation, exclusion of skilled nursing stays, unobserved confounding, use of claims-based proxies</w:t>
            </w:r>
          </w:p>
        </w:tc>
      </w:tr>
      <w:tr w:rsidR="00510957" w:rsidRPr="00510957" w14:paraId="3458CBC1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37A3F91E" w14:textId="54B82C5C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6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20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2898D66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Examining the role of race and quality of home health agencies in delayed initiation of home health services for individuals with Alzheimer’s disease and related dementias (ADRD)</w:t>
            </w:r>
          </w:p>
        </w:tc>
        <w:tc>
          <w:tcPr>
            <w:tcW w:w="638" w:type="dxa"/>
            <w:noWrap/>
            <w:vAlign w:val="center"/>
            <w:hideMark/>
          </w:tcPr>
          <w:p w14:paraId="0A670E5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Amol M. Karmarkar</w:t>
            </w:r>
          </w:p>
        </w:tc>
        <w:tc>
          <w:tcPr>
            <w:tcW w:w="692" w:type="dxa"/>
            <w:noWrap/>
            <w:vAlign w:val="center"/>
            <w:hideMark/>
          </w:tcPr>
          <w:p w14:paraId="2E9D9A9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2023</w:t>
            </w:r>
          </w:p>
        </w:tc>
        <w:tc>
          <w:tcPr>
            <w:tcW w:w="962" w:type="dxa"/>
            <w:noWrap/>
            <w:vAlign w:val="center"/>
            <w:hideMark/>
          </w:tcPr>
          <w:p w14:paraId="6F403FC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2016–2017</w:t>
            </w:r>
          </w:p>
        </w:tc>
        <w:tc>
          <w:tcPr>
            <w:tcW w:w="1010" w:type="dxa"/>
            <w:noWrap/>
            <w:vAlign w:val="center"/>
            <w:hideMark/>
          </w:tcPr>
          <w:p w14:paraId="0EDCE7C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inpatient claims, Master Beneficiary Summary File (MBSF), Outcome and Assessment Information Set (OASIS), Home Health Standard Analytic Files (SAF)</w:t>
            </w:r>
          </w:p>
        </w:tc>
        <w:tc>
          <w:tcPr>
            <w:tcW w:w="777" w:type="dxa"/>
            <w:noWrap/>
            <w:vAlign w:val="center"/>
            <w:hideMark/>
          </w:tcPr>
          <w:p w14:paraId="4BB58A3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0E83A1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6AD725E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5AD511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3AFB80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5D7CAB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262,525 Medicare beneficiaries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12DE5FA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66–100 years</w:t>
            </w:r>
          </w:p>
        </w:tc>
        <w:tc>
          <w:tcPr>
            <w:tcW w:w="986" w:type="dxa"/>
            <w:noWrap/>
            <w:vAlign w:val="center"/>
            <w:hideMark/>
          </w:tcPr>
          <w:p w14:paraId="780753B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61.9% female, 38.1%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4C2478F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80.6% non-Hispanic White, 9.4% Black, 6.0% Hispanic, 4.0% Other</w:t>
            </w:r>
          </w:p>
        </w:tc>
        <w:tc>
          <w:tcPr>
            <w:tcW w:w="990" w:type="dxa"/>
            <w:noWrap/>
            <w:vAlign w:val="center"/>
            <w:hideMark/>
          </w:tcPr>
          <w:p w14:paraId="2E41669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Based on beneficiary location (rural vs. urban) using ZIP code classification</w:t>
            </w:r>
          </w:p>
        </w:tc>
        <w:tc>
          <w:tcPr>
            <w:tcW w:w="975" w:type="dxa"/>
            <w:noWrap/>
            <w:vAlign w:val="center"/>
            <w:hideMark/>
          </w:tcPr>
          <w:p w14:paraId="1E094D9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65F1EC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poverty level in ZIP code</w:t>
            </w:r>
          </w:p>
        </w:tc>
        <w:tc>
          <w:tcPr>
            <w:tcW w:w="1009" w:type="dxa"/>
            <w:noWrap/>
            <w:vAlign w:val="center"/>
            <w:hideMark/>
          </w:tcPr>
          <w:p w14:paraId="0D05EE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Distance from beneficiary ZIP code to HHA, ZIP-level provider concentration</w:t>
            </w:r>
          </w:p>
        </w:tc>
        <w:tc>
          <w:tcPr>
            <w:tcW w:w="1313" w:type="dxa"/>
            <w:noWrap/>
            <w:vAlign w:val="center"/>
            <w:hideMark/>
          </w:tcPr>
          <w:p w14:paraId="37AAC71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551" w:type="dxa"/>
            <w:noWrap/>
            <w:vAlign w:val="center"/>
            <w:hideMark/>
          </w:tcPr>
          <w:p w14:paraId="2DA4BFE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Elixhauser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Comorbidity Index, ICU stay, pain, respiratory status, self-care, cognition, mobility</w:t>
            </w:r>
          </w:p>
        </w:tc>
        <w:tc>
          <w:tcPr>
            <w:tcW w:w="1087" w:type="dxa"/>
            <w:noWrap/>
            <w:vAlign w:val="center"/>
            <w:hideMark/>
          </w:tcPr>
          <w:p w14:paraId="2462049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Measured by timely access to home health after hospital discharge</w:t>
            </w:r>
          </w:p>
        </w:tc>
        <w:tc>
          <w:tcPr>
            <w:tcW w:w="1023" w:type="dxa"/>
            <w:noWrap/>
            <w:vAlign w:val="center"/>
            <w:hideMark/>
          </w:tcPr>
          <w:p w14:paraId="5F57C7C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Based on HHA star ratings (CMS)</w:t>
            </w:r>
          </w:p>
        </w:tc>
        <w:tc>
          <w:tcPr>
            <w:tcW w:w="1132" w:type="dxa"/>
            <w:noWrap/>
            <w:vAlign w:val="center"/>
            <w:hideMark/>
          </w:tcPr>
          <w:p w14:paraId="45975DA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Hospital discharge, HH initiation, ICU admissions</w:t>
            </w:r>
          </w:p>
        </w:tc>
        <w:tc>
          <w:tcPr>
            <w:tcW w:w="1350" w:type="dxa"/>
            <w:noWrap/>
            <w:vAlign w:val="center"/>
            <w:hideMark/>
          </w:tcPr>
          <w:p w14:paraId="5AF1ADE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explicit intervention; policy implications discussed</w:t>
            </w:r>
          </w:p>
        </w:tc>
        <w:tc>
          <w:tcPr>
            <w:tcW w:w="1040" w:type="dxa"/>
            <w:noWrap/>
            <w:vAlign w:val="center"/>
            <w:hideMark/>
          </w:tcPr>
          <w:p w14:paraId="04A8907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Multilevel multivariate logistic regression, Descriptive statistics</w:t>
            </w:r>
          </w:p>
        </w:tc>
        <w:tc>
          <w:tcPr>
            <w:tcW w:w="1314" w:type="dxa"/>
            <w:noWrap/>
            <w:vAlign w:val="center"/>
            <w:hideMark/>
          </w:tcPr>
          <w:p w14:paraId="51BBFF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Excludes Medicare Advantage; no clinical outcomes analyzed; possible endogeneity due to quality measure overlap; lacks data on logistical/patient-level barriers</w:t>
            </w:r>
          </w:p>
        </w:tc>
      </w:tr>
      <w:tr w:rsidR="00510957" w:rsidRPr="00510957" w14:paraId="0CC883F6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4D8D7717" w14:textId="78AB9DF9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7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21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71E8E3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Effect of Medicare Part D on 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Ethnoracial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Disparities in Antidementia Medication Use</w:t>
            </w:r>
          </w:p>
        </w:tc>
        <w:tc>
          <w:tcPr>
            <w:tcW w:w="638" w:type="dxa"/>
            <w:noWrap/>
            <w:vAlign w:val="center"/>
            <w:hideMark/>
          </w:tcPr>
          <w:p w14:paraId="7A438EA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Kimberly E. Lind</w:t>
            </w:r>
          </w:p>
        </w:tc>
        <w:tc>
          <w:tcPr>
            <w:tcW w:w="692" w:type="dxa"/>
            <w:noWrap/>
            <w:vAlign w:val="center"/>
            <w:hideMark/>
          </w:tcPr>
          <w:p w14:paraId="0CC57ED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2018</w:t>
            </w:r>
          </w:p>
        </w:tc>
        <w:tc>
          <w:tcPr>
            <w:tcW w:w="962" w:type="dxa"/>
            <w:noWrap/>
            <w:vAlign w:val="center"/>
            <w:hideMark/>
          </w:tcPr>
          <w:p w14:paraId="0FA062B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2003–2013</w:t>
            </w:r>
          </w:p>
        </w:tc>
        <w:tc>
          <w:tcPr>
            <w:tcW w:w="1010" w:type="dxa"/>
            <w:noWrap/>
            <w:vAlign w:val="center"/>
            <w:hideMark/>
          </w:tcPr>
          <w:p w14:paraId="16F7C1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Current Beneficiary Survey (MCBS), linked to Medicare claims and Prescribed Medication Events file</w:t>
            </w:r>
          </w:p>
        </w:tc>
        <w:tc>
          <w:tcPr>
            <w:tcW w:w="777" w:type="dxa"/>
            <w:noWrap/>
            <w:vAlign w:val="center"/>
            <w:hideMark/>
          </w:tcPr>
          <w:p w14:paraId="39B6D16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Part D</w:t>
            </w:r>
          </w:p>
        </w:tc>
        <w:tc>
          <w:tcPr>
            <w:tcW w:w="837" w:type="dxa"/>
            <w:noWrap/>
            <w:vAlign w:val="center"/>
            <w:hideMark/>
          </w:tcPr>
          <w:p w14:paraId="358BBA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4C8C08A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33349EC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medication use</w:t>
            </w:r>
          </w:p>
        </w:tc>
        <w:tc>
          <w:tcPr>
            <w:tcW w:w="832" w:type="dxa"/>
            <w:noWrap/>
            <w:vAlign w:val="center"/>
            <w:hideMark/>
          </w:tcPr>
          <w:p w14:paraId="04BBDCF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All-cause dementia (diagnosed via self-report or claims algorithm)</w:t>
            </w:r>
          </w:p>
        </w:tc>
        <w:tc>
          <w:tcPr>
            <w:tcW w:w="1039" w:type="dxa"/>
            <w:noWrap/>
            <w:vAlign w:val="center"/>
            <w:hideMark/>
          </w:tcPr>
          <w:p w14:paraId="36178FD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4,304 beneficiaries; 7,225 person-years</w:t>
            </w:r>
          </w:p>
        </w:tc>
        <w:tc>
          <w:tcPr>
            <w:tcW w:w="804" w:type="dxa"/>
            <w:noWrap/>
            <w:vAlign w:val="center"/>
            <w:hideMark/>
          </w:tcPr>
          <w:p w14:paraId="40F6353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and older (Mean: ~82.1)</w:t>
            </w:r>
          </w:p>
        </w:tc>
        <w:tc>
          <w:tcPr>
            <w:tcW w:w="986" w:type="dxa"/>
            <w:noWrap/>
            <w:vAlign w:val="center"/>
            <w:hideMark/>
          </w:tcPr>
          <w:p w14:paraId="4063B64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60.4% female, 39.6%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4C557A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Non-Hispanic White (N=19.76M), Non-Hispanic Black (N=2.48M), Hispanic (N=1.87M), Other (N=1.42M)</w:t>
            </w:r>
          </w:p>
        </w:tc>
        <w:tc>
          <w:tcPr>
            <w:tcW w:w="990" w:type="dxa"/>
            <w:noWrap/>
            <w:vAlign w:val="center"/>
            <w:hideMark/>
          </w:tcPr>
          <w:p w14:paraId="064826E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“Rural residence” included as binary covariate based on residence location</w:t>
            </w:r>
          </w:p>
        </w:tc>
        <w:tc>
          <w:tcPr>
            <w:tcW w:w="975" w:type="dxa"/>
            <w:noWrap/>
            <w:vAlign w:val="center"/>
            <w:hideMark/>
          </w:tcPr>
          <w:p w14:paraId="19097FE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race/ethnicity, marital status</w:t>
            </w:r>
          </w:p>
        </w:tc>
        <w:tc>
          <w:tcPr>
            <w:tcW w:w="975" w:type="dxa"/>
            <w:noWrap/>
            <w:vAlign w:val="center"/>
            <w:hideMark/>
          </w:tcPr>
          <w:p w14:paraId="1C7C90C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Education, income, prescription coverage type (Medicaid, Part D, private, etc.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),  Medicaid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>(dual eligible)</w:t>
            </w:r>
          </w:p>
        </w:tc>
        <w:tc>
          <w:tcPr>
            <w:tcW w:w="1009" w:type="dxa"/>
            <w:noWrap/>
            <w:vAlign w:val="center"/>
            <w:hideMark/>
          </w:tcPr>
          <w:p w14:paraId="71CB87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Region (East, Midwest, South, West, Puerto Rico)</w:t>
            </w:r>
          </w:p>
        </w:tc>
        <w:tc>
          <w:tcPr>
            <w:tcW w:w="1313" w:type="dxa"/>
            <w:noWrap/>
            <w:vAlign w:val="center"/>
            <w:hideMark/>
          </w:tcPr>
          <w:p w14:paraId="281445B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551" w:type="dxa"/>
            <w:noWrap/>
            <w:vAlign w:val="center"/>
            <w:hideMark/>
          </w:tcPr>
          <w:p w14:paraId="2CC426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Hypertension, cancer, diabetes, arthritis, osteoporosis, dyslipidemia</w:t>
            </w:r>
          </w:p>
        </w:tc>
        <w:tc>
          <w:tcPr>
            <w:tcW w:w="1087" w:type="dxa"/>
            <w:noWrap/>
            <w:vAlign w:val="center"/>
            <w:hideMark/>
          </w:tcPr>
          <w:p w14:paraId="7C02D10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Assessed indirectly via drug coverage and medication use trends</w:t>
            </w:r>
          </w:p>
        </w:tc>
        <w:tc>
          <w:tcPr>
            <w:tcW w:w="1023" w:type="dxa"/>
            <w:noWrap/>
            <w:vAlign w:val="center"/>
            <w:hideMark/>
          </w:tcPr>
          <w:p w14:paraId="1318F0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3EBDF0B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Outpatient office visits, Medicaid dual-eligibility status</w:t>
            </w:r>
          </w:p>
        </w:tc>
        <w:tc>
          <w:tcPr>
            <w:tcW w:w="1350" w:type="dxa"/>
            <w:noWrap/>
            <w:vAlign w:val="center"/>
            <w:hideMark/>
          </w:tcPr>
          <w:p w14:paraId="17C8C6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Natural policy experiment (Part D implementation)</w:t>
            </w:r>
          </w:p>
        </w:tc>
        <w:tc>
          <w:tcPr>
            <w:tcW w:w="1040" w:type="dxa"/>
            <w:noWrap/>
            <w:vAlign w:val="center"/>
            <w:hideMark/>
          </w:tcPr>
          <w:p w14:paraId="0C70CF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Probit regression, Weighted descriptive stats, marginal effects, sensitivity analysis, GEE models</w:t>
            </w:r>
          </w:p>
        </w:tc>
        <w:tc>
          <w:tcPr>
            <w:tcW w:w="1314" w:type="dxa"/>
            <w:noWrap/>
            <w:vAlign w:val="center"/>
            <w:hideMark/>
          </w:tcPr>
          <w:p w14:paraId="5ECA2A6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direct prescribing data, limited adherence info, potential underdiagnosis, no control group, observational limits for causal inference</w:t>
            </w:r>
          </w:p>
        </w:tc>
      </w:tr>
      <w:tr w:rsidR="00510957" w:rsidRPr="00510957" w14:paraId="521CF5D8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37B3B1B" w14:textId="7D709998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8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22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299719E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Does Living in Rural Areas Impact the Diagnostic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Prevalence of Alzheimer’s Disease and Related Disorders? The Cases of Arkansas and Louisiana</w:t>
            </w:r>
          </w:p>
        </w:tc>
        <w:tc>
          <w:tcPr>
            <w:tcW w:w="638" w:type="dxa"/>
            <w:noWrap/>
            <w:vAlign w:val="center"/>
            <w:hideMark/>
          </w:tcPr>
          <w:p w14:paraId="24C99B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Badr Alnasser</w:t>
            </w:r>
          </w:p>
        </w:tc>
        <w:tc>
          <w:tcPr>
            <w:tcW w:w="692" w:type="dxa"/>
            <w:noWrap/>
            <w:vAlign w:val="center"/>
            <w:hideMark/>
          </w:tcPr>
          <w:p w14:paraId="655A46E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2021</w:t>
            </w:r>
          </w:p>
        </w:tc>
        <w:tc>
          <w:tcPr>
            <w:tcW w:w="962" w:type="dxa"/>
            <w:noWrap/>
            <w:vAlign w:val="center"/>
            <w:hideMark/>
          </w:tcPr>
          <w:p w14:paraId="535FF3D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2013</w:t>
            </w:r>
          </w:p>
        </w:tc>
        <w:tc>
          <w:tcPr>
            <w:tcW w:w="1010" w:type="dxa"/>
            <w:noWrap/>
            <w:vAlign w:val="center"/>
            <w:hideMark/>
          </w:tcPr>
          <w:p w14:paraId="231BA2E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Centers for Medicare &amp;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Medicaid Services (CMS) Public Use Files – State/County Table for all beneficiaries (FFS + Advantage)</w:t>
            </w:r>
          </w:p>
        </w:tc>
        <w:tc>
          <w:tcPr>
            <w:tcW w:w="777" w:type="dxa"/>
            <w:noWrap/>
            <w:vAlign w:val="center"/>
            <w:hideMark/>
          </w:tcPr>
          <w:p w14:paraId="7646540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Fee-for-Service and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Medicare Advantage</w:t>
            </w:r>
          </w:p>
        </w:tc>
        <w:tc>
          <w:tcPr>
            <w:tcW w:w="837" w:type="dxa"/>
            <w:noWrap/>
            <w:vAlign w:val="center"/>
            <w:hideMark/>
          </w:tcPr>
          <w:p w14:paraId="0312B35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Arkansas and Louisiana</w:t>
            </w:r>
          </w:p>
        </w:tc>
        <w:tc>
          <w:tcPr>
            <w:tcW w:w="872" w:type="dxa"/>
            <w:noWrap/>
            <w:vAlign w:val="center"/>
            <w:hideMark/>
          </w:tcPr>
          <w:p w14:paraId="7F77C56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ecological study</w:t>
            </w:r>
          </w:p>
        </w:tc>
        <w:tc>
          <w:tcPr>
            <w:tcW w:w="1000" w:type="dxa"/>
            <w:noWrap/>
            <w:vAlign w:val="center"/>
            <w:hideMark/>
          </w:tcPr>
          <w:p w14:paraId="30DC2F3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</w:t>
            </w:r>
          </w:p>
        </w:tc>
        <w:tc>
          <w:tcPr>
            <w:tcW w:w="832" w:type="dxa"/>
            <w:noWrap/>
            <w:vAlign w:val="center"/>
            <w:hideMark/>
          </w:tcPr>
          <w:p w14:paraId="0A0B85F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Alzheimer’s disease and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771FA8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1,297,271 Medicare beneficiaries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(947,776 urban; 349,495 rural)</w:t>
            </w:r>
          </w:p>
        </w:tc>
        <w:tc>
          <w:tcPr>
            <w:tcW w:w="804" w:type="dxa"/>
            <w:noWrap/>
            <w:vAlign w:val="center"/>
            <w:hideMark/>
          </w:tcPr>
          <w:p w14:paraId="148F364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All ages; average age ~70</w:t>
            </w:r>
          </w:p>
        </w:tc>
        <w:tc>
          <w:tcPr>
            <w:tcW w:w="986" w:type="dxa"/>
            <w:noWrap/>
            <w:vAlign w:val="center"/>
            <w:hideMark/>
          </w:tcPr>
          <w:p w14:paraId="5522E3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53.9% female overall (54.2%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urban, 53.8% rural)</w:t>
            </w:r>
          </w:p>
        </w:tc>
        <w:tc>
          <w:tcPr>
            <w:tcW w:w="1085" w:type="dxa"/>
            <w:noWrap/>
            <w:vAlign w:val="center"/>
            <w:hideMark/>
          </w:tcPr>
          <w:p w14:paraId="3685CE3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76.5% non-Hispanic White, 20.7%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African American</w:t>
            </w:r>
          </w:p>
        </w:tc>
        <w:tc>
          <w:tcPr>
            <w:tcW w:w="990" w:type="dxa"/>
            <w:noWrap/>
            <w:vAlign w:val="center"/>
            <w:hideMark/>
          </w:tcPr>
          <w:p w14:paraId="464541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Yes – Rural-Urban Continuu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m Codes (RUCC); RUCC 6–9 = rural, 1–5 = urban</w:t>
            </w:r>
          </w:p>
        </w:tc>
        <w:tc>
          <w:tcPr>
            <w:tcW w:w="975" w:type="dxa"/>
            <w:noWrap/>
            <w:vAlign w:val="center"/>
            <w:hideMark/>
          </w:tcPr>
          <w:p w14:paraId="69E0D3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Age, sex, race</w:t>
            </w:r>
          </w:p>
        </w:tc>
        <w:tc>
          <w:tcPr>
            <w:tcW w:w="975" w:type="dxa"/>
            <w:noWrap/>
            <w:vAlign w:val="center"/>
            <w:hideMark/>
          </w:tcPr>
          <w:p w14:paraId="7111472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county-level demographics</w:t>
            </w:r>
          </w:p>
        </w:tc>
        <w:tc>
          <w:tcPr>
            <w:tcW w:w="1009" w:type="dxa"/>
            <w:noWrap/>
            <w:vAlign w:val="center"/>
            <w:hideMark/>
          </w:tcPr>
          <w:p w14:paraId="3EE452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County-level rurality,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geographic setting</w:t>
            </w:r>
          </w:p>
        </w:tc>
        <w:tc>
          <w:tcPr>
            <w:tcW w:w="1313" w:type="dxa"/>
            <w:noWrap/>
            <w:vAlign w:val="center"/>
            <w:hideMark/>
          </w:tcPr>
          <w:p w14:paraId="583177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7CC0F86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COPD, stroke, hypertension, cholesterol, arthritis,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depression, diabetes</w:t>
            </w:r>
          </w:p>
        </w:tc>
        <w:tc>
          <w:tcPr>
            <w:tcW w:w="1087" w:type="dxa"/>
            <w:noWrap/>
            <w:vAlign w:val="center"/>
            <w:hideMark/>
          </w:tcPr>
          <w:p w14:paraId="12058D8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Indirect – inferred through prevalence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and geographic distribution</w:t>
            </w:r>
          </w:p>
        </w:tc>
        <w:tc>
          <w:tcPr>
            <w:tcW w:w="1023" w:type="dxa"/>
            <w:noWrap/>
            <w:vAlign w:val="center"/>
            <w:hideMark/>
          </w:tcPr>
          <w:p w14:paraId="7A12A03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Not measured</w:t>
            </w:r>
          </w:p>
        </w:tc>
        <w:tc>
          <w:tcPr>
            <w:tcW w:w="1132" w:type="dxa"/>
            <w:noWrap/>
            <w:vAlign w:val="center"/>
            <w:hideMark/>
          </w:tcPr>
          <w:p w14:paraId="379894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350" w:type="dxa"/>
            <w:noWrap/>
            <w:vAlign w:val="center"/>
            <w:hideMark/>
          </w:tcPr>
          <w:p w14:paraId="7387BEC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No intervention tested; background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discussion of diagnostic access</w:t>
            </w:r>
          </w:p>
        </w:tc>
        <w:tc>
          <w:tcPr>
            <w:tcW w:w="1040" w:type="dxa"/>
            <w:noWrap/>
            <w:vAlign w:val="center"/>
            <w:hideMark/>
          </w:tcPr>
          <w:p w14:paraId="39AE1B0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Poisson regression, Negative Binomial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regression, Moran’s I for spatial autocorrelation</w:t>
            </w:r>
          </w:p>
        </w:tc>
        <w:tc>
          <w:tcPr>
            <w:tcW w:w="1314" w:type="dxa"/>
            <w:noWrap/>
            <w:vAlign w:val="center"/>
            <w:hideMark/>
          </w:tcPr>
          <w:p w14:paraId="674EB90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Ecologic design (potential ecological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fallacy), lack of individual-level data, no control over age eligibility, public data limits generalizability</w:t>
            </w:r>
          </w:p>
        </w:tc>
      </w:tr>
      <w:tr w:rsidR="00510957" w:rsidRPr="00510957" w14:paraId="3EDEB947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3C103111" w14:textId="109C6870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29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23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54372B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Disparities in 30-Day Readmission Rates among Medicare Enrollees with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63905EE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Andrea Gilmore-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Bykovskyi</w:t>
            </w:r>
            <w:proofErr w:type="spellEnd"/>
          </w:p>
        </w:tc>
        <w:tc>
          <w:tcPr>
            <w:tcW w:w="692" w:type="dxa"/>
            <w:noWrap/>
            <w:vAlign w:val="center"/>
            <w:hideMark/>
          </w:tcPr>
          <w:p w14:paraId="34969BD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2023</w:t>
            </w:r>
          </w:p>
        </w:tc>
        <w:tc>
          <w:tcPr>
            <w:tcW w:w="962" w:type="dxa"/>
            <w:noWrap/>
            <w:vAlign w:val="center"/>
            <w:hideMark/>
          </w:tcPr>
          <w:p w14:paraId="10E556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2014</w:t>
            </w:r>
          </w:p>
        </w:tc>
        <w:tc>
          <w:tcPr>
            <w:tcW w:w="1010" w:type="dxa"/>
            <w:noWrap/>
            <w:vAlign w:val="center"/>
            <w:hideMark/>
          </w:tcPr>
          <w:p w14:paraId="4938476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inpatient claims</w:t>
            </w:r>
          </w:p>
        </w:tc>
        <w:tc>
          <w:tcPr>
            <w:tcW w:w="777" w:type="dxa"/>
            <w:noWrap/>
            <w:vAlign w:val="center"/>
            <w:hideMark/>
          </w:tcPr>
          <w:p w14:paraId="0F193F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6B7F4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6A25B9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44445BF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0D888A9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All-cause dementia (diagnosed via self-report or claims algorithm)</w:t>
            </w:r>
          </w:p>
        </w:tc>
        <w:tc>
          <w:tcPr>
            <w:tcW w:w="1039" w:type="dxa"/>
            <w:noWrap/>
            <w:vAlign w:val="center"/>
            <w:hideMark/>
          </w:tcPr>
          <w:p w14:paraId="4A3897D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1,523,142 hospitalizations from 945,481 beneficiaries</w:t>
            </w:r>
          </w:p>
        </w:tc>
        <w:tc>
          <w:tcPr>
            <w:tcW w:w="804" w:type="dxa"/>
            <w:noWrap/>
            <w:vAlign w:val="center"/>
            <w:hideMark/>
          </w:tcPr>
          <w:p w14:paraId="78270C8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0D18213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fully stratified; adjusted in models</w:t>
            </w:r>
          </w:p>
        </w:tc>
        <w:tc>
          <w:tcPr>
            <w:tcW w:w="1085" w:type="dxa"/>
            <w:noWrap/>
            <w:vAlign w:val="center"/>
            <w:hideMark/>
          </w:tcPr>
          <w:p w14:paraId="71BFC93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Black vs. non-Hispanic White comparisons</w:t>
            </w:r>
          </w:p>
        </w:tc>
        <w:tc>
          <w:tcPr>
            <w:tcW w:w="990" w:type="dxa"/>
            <w:noWrap/>
            <w:vAlign w:val="center"/>
            <w:hideMark/>
          </w:tcPr>
          <w:p w14:paraId="6598568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– geographic region used but rurality not formally defined</w:t>
            </w:r>
          </w:p>
        </w:tc>
        <w:tc>
          <w:tcPr>
            <w:tcW w:w="975" w:type="dxa"/>
            <w:noWrap/>
            <w:vAlign w:val="center"/>
            <w:hideMark/>
          </w:tcPr>
          <w:p w14:paraId="203CF8A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race/ethnicity, disability status</w:t>
            </w:r>
          </w:p>
        </w:tc>
        <w:tc>
          <w:tcPr>
            <w:tcW w:w="975" w:type="dxa"/>
            <w:noWrap/>
            <w:vAlign w:val="center"/>
            <w:hideMark/>
          </w:tcPr>
          <w:p w14:paraId="5E1ADBB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Area Deprivation Index (ADI), dual eligibility</w:t>
            </w:r>
          </w:p>
        </w:tc>
        <w:tc>
          <w:tcPr>
            <w:tcW w:w="1009" w:type="dxa"/>
            <w:noWrap/>
            <w:vAlign w:val="center"/>
            <w:hideMark/>
          </w:tcPr>
          <w:p w14:paraId="476B70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neighborhood disadvantage, ADI and hospital region included</w:t>
            </w:r>
          </w:p>
        </w:tc>
        <w:tc>
          <w:tcPr>
            <w:tcW w:w="1313" w:type="dxa"/>
            <w:noWrap/>
            <w:vAlign w:val="center"/>
            <w:hideMark/>
          </w:tcPr>
          <w:p w14:paraId="7FC66A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79F1D36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Elixhauser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index, Hierarchical Condition Categories (HCCs)</w:t>
            </w:r>
          </w:p>
        </w:tc>
        <w:tc>
          <w:tcPr>
            <w:tcW w:w="1087" w:type="dxa"/>
            <w:noWrap/>
            <w:vAlign w:val="center"/>
            <w:hideMark/>
          </w:tcPr>
          <w:p w14:paraId="4D48C55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 – via readmission and dual eligibility patterns</w:t>
            </w:r>
          </w:p>
        </w:tc>
        <w:tc>
          <w:tcPr>
            <w:tcW w:w="1023" w:type="dxa"/>
            <w:noWrap/>
            <w:vAlign w:val="center"/>
            <w:hideMark/>
          </w:tcPr>
          <w:p w14:paraId="7BC7F5E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measured, but disparities imply systemic care quality differences</w:t>
            </w:r>
          </w:p>
        </w:tc>
        <w:tc>
          <w:tcPr>
            <w:tcW w:w="1132" w:type="dxa"/>
            <w:noWrap/>
            <w:vAlign w:val="center"/>
            <w:hideMark/>
          </w:tcPr>
          <w:p w14:paraId="41322B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30-day readmission; hospitalization characteristics</w:t>
            </w:r>
          </w:p>
        </w:tc>
        <w:tc>
          <w:tcPr>
            <w:tcW w:w="1350" w:type="dxa"/>
            <w:noWrap/>
            <w:vAlign w:val="center"/>
            <w:hideMark/>
          </w:tcPr>
          <w:p w14:paraId="3CBFE7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None tested; implications for equity-based policy suggested</w:t>
            </w:r>
          </w:p>
        </w:tc>
        <w:tc>
          <w:tcPr>
            <w:tcW w:w="1040" w:type="dxa"/>
            <w:noWrap/>
            <w:vAlign w:val="center"/>
            <w:hideMark/>
          </w:tcPr>
          <w:p w14:paraId="2924AFF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regression; stratified by race and ADI</w:t>
            </w:r>
          </w:p>
        </w:tc>
        <w:tc>
          <w:tcPr>
            <w:tcW w:w="1314" w:type="dxa"/>
            <w:noWrap/>
            <w:vAlign w:val="center"/>
            <w:hideMark/>
          </w:tcPr>
          <w:p w14:paraId="7F7ECF2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functional/cognitive severity data; observational limits causal inference; restricted to Black and White FFS Medicare beneficiaries</w:t>
            </w:r>
          </w:p>
        </w:tc>
      </w:tr>
      <w:tr w:rsidR="00510957" w:rsidRPr="00510957" w14:paraId="6996F0CE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176C106" w14:textId="60BC4BDF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0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24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3D7A9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Discharge disposition for home health care patients with Alzheimer’s disease and related dementia: The role of living arrangements and rural living</w:t>
            </w:r>
          </w:p>
        </w:tc>
        <w:tc>
          <w:tcPr>
            <w:tcW w:w="638" w:type="dxa"/>
            <w:noWrap/>
            <w:vAlign w:val="center"/>
            <w:hideMark/>
          </w:tcPr>
          <w:p w14:paraId="4395D3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Daniel Jung</w:t>
            </w:r>
          </w:p>
        </w:tc>
        <w:tc>
          <w:tcPr>
            <w:tcW w:w="692" w:type="dxa"/>
            <w:noWrap/>
            <w:vAlign w:val="center"/>
            <w:hideMark/>
          </w:tcPr>
          <w:p w14:paraId="65CF7B2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63B4A60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2019</w:t>
            </w:r>
          </w:p>
        </w:tc>
        <w:tc>
          <w:tcPr>
            <w:tcW w:w="1010" w:type="dxa"/>
            <w:noWrap/>
            <w:vAlign w:val="center"/>
            <w:hideMark/>
          </w:tcPr>
          <w:p w14:paraId="2451C44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Outcome and Assessment Information Set (OASIS-D), Medicare Beneficiary Summary File (MBSF)</w:t>
            </w:r>
          </w:p>
        </w:tc>
        <w:tc>
          <w:tcPr>
            <w:tcW w:w="777" w:type="dxa"/>
            <w:noWrap/>
            <w:vAlign w:val="center"/>
            <w:hideMark/>
          </w:tcPr>
          <w:p w14:paraId="6FE426B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1EAF3B6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438622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0BDCD09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3139D99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135D2EF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531,269 Medicare beneficiaries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78DF09D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1F89C76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Approximately 63% female (e.g., 69.4% in urban congregate settings; varies by living arrangement)</w:t>
            </w:r>
          </w:p>
        </w:tc>
        <w:tc>
          <w:tcPr>
            <w:tcW w:w="1085" w:type="dxa"/>
            <w:noWrap/>
            <w:vAlign w:val="center"/>
            <w:hideMark/>
          </w:tcPr>
          <w:p w14:paraId="03B3F17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(81.9%), Black (9.5%), Hispanic (5.3%), Asian/PI (2.8%), American Indian/Alaska Native (0.4%)</w:t>
            </w:r>
          </w:p>
        </w:tc>
        <w:tc>
          <w:tcPr>
            <w:tcW w:w="990" w:type="dxa"/>
            <w:noWrap/>
            <w:vAlign w:val="center"/>
            <w:hideMark/>
          </w:tcPr>
          <w:p w14:paraId="294358C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Core-Based Statistical Areas (CBSAs): Metro = urban; micro + noncore = rural</w:t>
            </w:r>
          </w:p>
        </w:tc>
        <w:tc>
          <w:tcPr>
            <w:tcW w:w="975" w:type="dxa"/>
            <w:noWrap/>
            <w:vAlign w:val="center"/>
            <w:hideMark/>
          </w:tcPr>
          <w:p w14:paraId="17B13E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05BE6D2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Area Deprivation Index (ADI), dual eligibility, living arrangements</w:t>
            </w:r>
          </w:p>
        </w:tc>
        <w:tc>
          <w:tcPr>
            <w:tcW w:w="1009" w:type="dxa"/>
            <w:noWrap/>
            <w:vAlign w:val="center"/>
            <w:hideMark/>
          </w:tcPr>
          <w:p w14:paraId="756D759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Rurality, housing quality implied</w:t>
            </w:r>
          </w:p>
        </w:tc>
        <w:tc>
          <w:tcPr>
            <w:tcW w:w="1313" w:type="dxa"/>
            <w:noWrap/>
            <w:vAlign w:val="center"/>
            <w:hideMark/>
          </w:tcPr>
          <w:p w14:paraId="0345CDB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Living arrangements (living alone, with others, or in congregate settings) strongly linked to outcomes, Living alone tied to social isolation / lack of social support</w:t>
            </w:r>
          </w:p>
        </w:tc>
        <w:tc>
          <w:tcPr>
            <w:tcW w:w="1551" w:type="dxa"/>
            <w:noWrap/>
            <w:vAlign w:val="center"/>
            <w:hideMark/>
          </w:tcPr>
          <w:p w14:paraId="27F1E2F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conditions (e.g., diabetes, heart failure, COPD), ADL limitations, cognitive impairment</w:t>
            </w:r>
          </w:p>
        </w:tc>
        <w:tc>
          <w:tcPr>
            <w:tcW w:w="1087" w:type="dxa"/>
            <w:noWrap/>
            <w:vAlign w:val="center"/>
            <w:hideMark/>
          </w:tcPr>
          <w:p w14:paraId="059DC0E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 – through discharge patterns and assistance availability</w:t>
            </w:r>
          </w:p>
        </w:tc>
        <w:tc>
          <w:tcPr>
            <w:tcW w:w="1023" w:type="dxa"/>
            <w:noWrap/>
            <w:vAlign w:val="center"/>
            <w:hideMark/>
          </w:tcPr>
          <w:p w14:paraId="0FFE493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measured; discussed in context of rural-urban discharge disparities</w:t>
            </w:r>
          </w:p>
        </w:tc>
        <w:tc>
          <w:tcPr>
            <w:tcW w:w="1132" w:type="dxa"/>
            <w:noWrap/>
            <w:vAlign w:val="center"/>
            <w:hideMark/>
          </w:tcPr>
          <w:p w14:paraId="294BA10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Home health care, discharge disposition, hospitalization risk</w:t>
            </w:r>
          </w:p>
        </w:tc>
        <w:tc>
          <w:tcPr>
            <w:tcW w:w="1350" w:type="dxa"/>
            <w:noWrap/>
            <w:vAlign w:val="center"/>
            <w:hideMark/>
          </w:tcPr>
          <w:p w14:paraId="556CEEB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tested intervention; policy implications discussed for rural care and home safety</w:t>
            </w:r>
          </w:p>
        </w:tc>
        <w:tc>
          <w:tcPr>
            <w:tcW w:w="1040" w:type="dxa"/>
            <w:noWrap/>
            <w:vAlign w:val="center"/>
            <w:hideMark/>
          </w:tcPr>
          <w:p w14:paraId="4F0EE1A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probability regression; sensitivity analyses using alternative CBSA definitions</w:t>
            </w:r>
          </w:p>
        </w:tc>
        <w:tc>
          <w:tcPr>
            <w:tcW w:w="1314" w:type="dxa"/>
            <w:noWrap/>
            <w:vAlign w:val="center"/>
            <w:hideMark/>
          </w:tcPr>
          <w:p w14:paraId="08F2E70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ADRD severity data; living arrangements static at baseline; excludes Medicare Advantage; cross-sectional limits causal inference</w:t>
            </w:r>
          </w:p>
        </w:tc>
      </w:tr>
      <w:tr w:rsidR="00510957" w:rsidRPr="00510957" w14:paraId="79975A2D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5EA0FE2E" w14:textId="46C5EFF9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1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25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6144016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Differences in setting of initial dementia diagnosis among fee‐for‐service Medicare beneficiaries</w:t>
            </w:r>
          </w:p>
        </w:tc>
        <w:tc>
          <w:tcPr>
            <w:tcW w:w="638" w:type="dxa"/>
            <w:noWrap/>
            <w:vAlign w:val="center"/>
            <w:hideMark/>
          </w:tcPr>
          <w:p w14:paraId="08F6AC5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Elizabeth M. White</w:t>
            </w:r>
          </w:p>
        </w:tc>
        <w:tc>
          <w:tcPr>
            <w:tcW w:w="692" w:type="dxa"/>
            <w:noWrap/>
            <w:vAlign w:val="center"/>
            <w:hideMark/>
          </w:tcPr>
          <w:p w14:paraId="7A3DD9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2025</w:t>
            </w:r>
          </w:p>
        </w:tc>
        <w:tc>
          <w:tcPr>
            <w:tcW w:w="962" w:type="dxa"/>
            <w:noWrap/>
            <w:vAlign w:val="center"/>
            <w:hideMark/>
          </w:tcPr>
          <w:p w14:paraId="31C151D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2012–2020 (Diagnosis year: 2016; 4 years pre + 4 years post)</w:t>
            </w:r>
          </w:p>
        </w:tc>
        <w:tc>
          <w:tcPr>
            <w:tcW w:w="1010" w:type="dxa"/>
            <w:noWrap/>
            <w:vAlign w:val="center"/>
            <w:hideMark/>
          </w:tcPr>
          <w:p w14:paraId="606D6B7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Beneficiary Summary File (MBSF), Medicare Provider Analysis and Review file, MDS, OASIS</w:t>
            </w:r>
          </w:p>
        </w:tc>
        <w:tc>
          <w:tcPr>
            <w:tcW w:w="777" w:type="dxa"/>
            <w:noWrap/>
            <w:vAlign w:val="center"/>
            <w:hideMark/>
          </w:tcPr>
          <w:p w14:paraId="60C07D3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390574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6372519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33B1945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Incidence</w:t>
            </w:r>
          </w:p>
        </w:tc>
        <w:tc>
          <w:tcPr>
            <w:tcW w:w="832" w:type="dxa"/>
            <w:noWrap/>
            <w:vAlign w:val="center"/>
            <w:hideMark/>
          </w:tcPr>
          <w:p w14:paraId="3E943F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584FE5B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754,204 Medicare beneficiaries with incident dementia diagnosis in 2016</w:t>
            </w:r>
          </w:p>
        </w:tc>
        <w:tc>
          <w:tcPr>
            <w:tcW w:w="804" w:type="dxa"/>
            <w:noWrap/>
            <w:vAlign w:val="center"/>
            <w:hideMark/>
          </w:tcPr>
          <w:p w14:paraId="0C2CA54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27CC673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Female: 61.2% (community), 57.0% (hospital), 62.6% (nursing home)</w:t>
            </w:r>
          </w:p>
        </w:tc>
        <w:tc>
          <w:tcPr>
            <w:tcW w:w="1085" w:type="dxa"/>
            <w:noWrap/>
            <w:vAlign w:val="center"/>
            <w:hideMark/>
          </w:tcPr>
          <w:p w14:paraId="679F553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White 87%, Black 8.3–9.9%, Hispanic 1.4–2.0%, Asian/PI 1.3–2.0%, AI/AN 0.4–0.5%</w:t>
            </w:r>
          </w:p>
        </w:tc>
        <w:tc>
          <w:tcPr>
            <w:tcW w:w="990" w:type="dxa"/>
            <w:noWrap/>
            <w:vAlign w:val="center"/>
            <w:hideMark/>
          </w:tcPr>
          <w:p w14:paraId="6695AC7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based on Rural-Urban Continuum Codes (RUCC)</w:t>
            </w:r>
          </w:p>
        </w:tc>
        <w:tc>
          <w:tcPr>
            <w:tcW w:w="975" w:type="dxa"/>
            <w:noWrap/>
            <w:vAlign w:val="center"/>
            <w:hideMark/>
          </w:tcPr>
          <w:p w14:paraId="17076BD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12C0D99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eligibility (Medicaid), Social Deprivation Index (SDI) by ZIP code</w:t>
            </w:r>
          </w:p>
        </w:tc>
        <w:tc>
          <w:tcPr>
            <w:tcW w:w="1009" w:type="dxa"/>
            <w:noWrap/>
            <w:vAlign w:val="center"/>
            <w:hideMark/>
          </w:tcPr>
          <w:p w14:paraId="0B676DF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Rurality, ZIP-level SDI</w:t>
            </w:r>
          </w:p>
        </w:tc>
        <w:tc>
          <w:tcPr>
            <w:tcW w:w="1313" w:type="dxa"/>
            <w:noWrap/>
            <w:vAlign w:val="center"/>
            <w:hideMark/>
          </w:tcPr>
          <w:p w14:paraId="19F156F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5AA3411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 Warehouse (CCW) flags – number of chronic and disabling conditions</w:t>
            </w:r>
          </w:p>
        </w:tc>
        <w:tc>
          <w:tcPr>
            <w:tcW w:w="1087" w:type="dxa"/>
            <w:noWrap/>
            <w:vAlign w:val="center"/>
            <w:hideMark/>
          </w:tcPr>
          <w:p w14:paraId="4403E7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discussed via disparities in setting and timing of diagnosis</w:t>
            </w:r>
          </w:p>
        </w:tc>
        <w:tc>
          <w:tcPr>
            <w:tcW w:w="1023" w:type="dxa"/>
            <w:noWrap/>
            <w:vAlign w:val="center"/>
            <w:hideMark/>
          </w:tcPr>
          <w:p w14:paraId="64C7323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Indirectly – quality implications inferred from diagnosis setting and survival</w:t>
            </w:r>
          </w:p>
        </w:tc>
        <w:tc>
          <w:tcPr>
            <w:tcW w:w="1132" w:type="dxa"/>
            <w:noWrap/>
            <w:vAlign w:val="center"/>
            <w:hideMark/>
          </w:tcPr>
          <w:p w14:paraId="48DEFFB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Hospitalization, nursing home use, home health, ER visits (48 months pre-diagnosis)</w:t>
            </w:r>
          </w:p>
        </w:tc>
        <w:tc>
          <w:tcPr>
            <w:tcW w:w="1350" w:type="dxa"/>
            <w:noWrap/>
            <w:vAlign w:val="center"/>
            <w:hideMark/>
          </w:tcPr>
          <w:p w14:paraId="2E03DF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specific intervention tested; findings support policy recommendations for earlier diagnosis and access in rural/deprived areas</w:t>
            </w:r>
          </w:p>
        </w:tc>
        <w:tc>
          <w:tcPr>
            <w:tcW w:w="1040" w:type="dxa"/>
            <w:noWrap/>
            <w:vAlign w:val="center"/>
            <w:hideMark/>
          </w:tcPr>
          <w:p w14:paraId="65986B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Multinomial logistic regression, Cox proportional hazards, Kaplan-Meier, predictive margins</w:t>
            </w:r>
          </w:p>
        </w:tc>
        <w:tc>
          <w:tcPr>
            <w:tcW w:w="1314" w:type="dxa"/>
            <w:noWrap/>
            <w:vAlign w:val="center"/>
            <w:hideMark/>
          </w:tcPr>
          <w:p w14:paraId="2368768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Claims-based diagnosis may not reflect clinical diagnosis; excludes undiagnosed cases; limited to FFS Medicare</w:t>
            </w:r>
          </w:p>
        </w:tc>
      </w:tr>
      <w:tr w:rsidR="00510957" w:rsidRPr="00510957" w14:paraId="17BFA729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3E6B6157" w14:textId="04A7856E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2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26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38821D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Differences in Medicare Utilization and Expenditures in the Last Six Months of Life among Patients with and without Alzheimer’s Disease and Related Disorders</w:t>
            </w:r>
          </w:p>
        </w:tc>
        <w:tc>
          <w:tcPr>
            <w:tcW w:w="638" w:type="dxa"/>
            <w:noWrap/>
            <w:vAlign w:val="center"/>
            <w:hideMark/>
          </w:tcPr>
          <w:p w14:paraId="72A50CC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Elizabeth Crouch</w:t>
            </w:r>
          </w:p>
        </w:tc>
        <w:tc>
          <w:tcPr>
            <w:tcW w:w="692" w:type="dxa"/>
            <w:noWrap/>
            <w:vAlign w:val="center"/>
            <w:hideMark/>
          </w:tcPr>
          <w:p w14:paraId="40E7FD3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2018</w:t>
            </w:r>
          </w:p>
        </w:tc>
        <w:tc>
          <w:tcPr>
            <w:tcW w:w="962" w:type="dxa"/>
            <w:noWrap/>
            <w:vAlign w:val="center"/>
            <w:hideMark/>
          </w:tcPr>
          <w:p w14:paraId="1EE924F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2013</w:t>
            </w:r>
          </w:p>
        </w:tc>
        <w:tc>
          <w:tcPr>
            <w:tcW w:w="1010" w:type="dxa"/>
            <w:noWrap/>
            <w:vAlign w:val="center"/>
            <w:hideMark/>
          </w:tcPr>
          <w:p w14:paraId="713C85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5% Medicare Research Identifiable Files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, Carrier, Hospice, Home Health, Outpatient, MBSF)</w:t>
            </w:r>
          </w:p>
        </w:tc>
        <w:tc>
          <w:tcPr>
            <w:tcW w:w="777" w:type="dxa"/>
            <w:noWrap/>
            <w:vAlign w:val="center"/>
            <w:hideMark/>
          </w:tcPr>
          <w:p w14:paraId="39D6A08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79DA1CD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3F92036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5F9889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Mortality</w:t>
            </w:r>
          </w:p>
        </w:tc>
        <w:tc>
          <w:tcPr>
            <w:tcW w:w="832" w:type="dxa"/>
            <w:noWrap/>
            <w:vAlign w:val="center"/>
            <w:hideMark/>
          </w:tcPr>
          <w:p w14:paraId="79F1878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41E8DB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38,534 Medicare beneficiaries (7,895 with ADRD; 30,639 without ADRD)</w:t>
            </w:r>
          </w:p>
        </w:tc>
        <w:tc>
          <w:tcPr>
            <w:tcW w:w="804" w:type="dxa"/>
            <w:noWrap/>
            <w:vAlign w:val="center"/>
            <w:hideMark/>
          </w:tcPr>
          <w:p w14:paraId="1D35A90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2EA33F2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ADRD: 69.0% female, 31.0% male</w:t>
            </w:r>
          </w:p>
        </w:tc>
        <w:tc>
          <w:tcPr>
            <w:tcW w:w="1085" w:type="dxa"/>
            <w:noWrap/>
            <w:vAlign w:val="center"/>
            <w:hideMark/>
          </w:tcPr>
          <w:p w14:paraId="47B97B9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ADRD: 85.2% non-Hispanic White, 8.3% Black, 4.3% Hispanic, 2.2% Other</w:t>
            </w:r>
          </w:p>
        </w:tc>
        <w:tc>
          <w:tcPr>
            <w:tcW w:w="990" w:type="dxa"/>
            <w:noWrap/>
            <w:vAlign w:val="center"/>
            <w:hideMark/>
          </w:tcPr>
          <w:p w14:paraId="31C6A52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Urban Influence Codes (UICs) based on county</w:t>
            </w:r>
          </w:p>
        </w:tc>
        <w:tc>
          <w:tcPr>
            <w:tcW w:w="975" w:type="dxa"/>
            <w:noWrap/>
            <w:vAlign w:val="center"/>
            <w:hideMark/>
          </w:tcPr>
          <w:p w14:paraId="2CBA68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0638FB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 (Medicaid), residence (rural/urban), region</w:t>
            </w:r>
          </w:p>
        </w:tc>
        <w:tc>
          <w:tcPr>
            <w:tcW w:w="1009" w:type="dxa"/>
            <w:noWrap/>
            <w:vAlign w:val="center"/>
            <w:hideMark/>
          </w:tcPr>
          <w:p w14:paraId="5303E56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County-level provider availability, but dropped in final model</w:t>
            </w:r>
          </w:p>
        </w:tc>
        <w:tc>
          <w:tcPr>
            <w:tcW w:w="1313" w:type="dxa"/>
            <w:noWrap/>
            <w:vAlign w:val="center"/>
            <w:hideMark/>
          </w:tcPr>
          <w:p w14:paraId="5783BB4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73B3F14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conditions (grouped: 0, 1–2, 3–4, ≥5), inpatient/SNF/home health/hospice/physician service usage</w:t>
            </w:r>
          </w:p>
        </w:tc>
        <w:tc>
          <w:tcPr>
            <w:tcW w:w="1087" w:type="dxa"/>
            <w:noWrap/>
            <w:vAlign w:val="center"/>
            <w:hideMark/>
          </w:tcPr>
          <w:p w14:paraId="593CE96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via service use comparisons (e.g., hospice, physician visits)</w:t>
            </w:r>
          </w:p>
        </w:tc>
        <w:tc>
          <w:tcPr>
            <w:tcW w:w="1023" w:type="dxa"/>
            <w:noWrap/>
            <w:vAlign w:val="center"/>
            <w:hideMark/>
          </w:tcPr>
          <w:p w14:paraId="10D29A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measured, but cost and service disparities discussed</w:t>
            </w:r>
          </w:p>
        </w:tc>
        <w:tc>
          <w:tcPr>
            <w:tcW w:w="1132" w:type="dxa"/>
            <w:noWrap/>
            <w:vAlign w:val="center"/>
            <w:hideMark/>
          </w:tcPr>
          <w:p w14:paraId="7A6C3D0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Inpatient, outpatient, physician, hospice, home health, SNF; number and % of use; costs</w:t>
            </w:r>
          </w:p>
        </w:tc>
        <w:tc>
          <w:tcPr>
            <w:tcW w:w="1350" w:type="dxa"/>
            <w:noWrap/>
            <w:vAlign w:val="center"/>
            <w:hideMark/>
          </w:tcPr>
          <w:p w14:paraId="256D6B9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 tested; policy recommendations discussed</w:t>
            </w:r>
          </w:p>
        </w:tc>
        <w:tc>
          <w:tcPr>
            <w:tcW w:w="1040" w:type="dxa"/>
            <w:noWrap/>
            <w:vAlign w:val="center"/>
            <w:hideMark/>
          </w:tcPr>
          <w:p w14:paraId="71C54F0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Generalized linear model (gamma distribution), Wilcoxon rank-sum tests, log-transformed expenditures</w:t>
            </w:r>
          </w:p>
        </w:tc>
        <w:tc>
          <w:tcPr>
            <w:tcW w:w="1314" w:type="dxa"/>
            <w:noWrap/>
            <w:vAlign w:val="center"/>
            <w:hideMark/>
          </w:tcPr>
          <w:p w14:paraId="3976A5B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Claims-based; excludes MA, no stage/severity data, costs like Rx or informal care not captured; only last 6 months analyzed</w:t>
            </w:r>
          </w:p>
        </w:tc>
      </w:tr>
      <w:tr w:rsidR="00510957" w:rsidRPr="00510957" w14:paraId="29FA60FE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2E7C8F49" w14:textId="0830C68F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3" w:history="1">
              <w:r w:rsidRPr="00094359">
                <w:rPr>
                  <w:rStyle w:val="Hyperlink"/>
                  <w:rFonts w:ascii="Calibri" w:hAnsi="Calibri" w:cs="Calibri"/>
                  <w:sz w:val="18"/>
                  <w:szCs w:val="18"/>
                </w:rPr>
                <w:t>27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7B91B09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Dementia Care in Diverse Older Adults in the U.S. Deep South and the Rest of the US</w:t>
            </w:r>
          </w:p>
        </w:tc>
        <w:tc>
          <w:tcPr>
            <w:tcW w:w="638" w:type="dxa"/>
            <w:noWrap/>
            <w:vAlign w:val="center"/>
            <w:hideMark/>
          </w:tcPr>
          <w:p w14:paraId="1F319A1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Maria Pisu</w:t>
            </w:r>
          </w:p>
        </w:tc>
        <w:tc>
          <w:tcPr>
            <w:tcW w:w="692" w:type="dxa"/>
            <w:noWrap/>
            <w:vAlign w:val="center"/>
            <w:hideMark/>
          </w:tcPr>
          <w:p w14:paraId="4CF0D4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2021</w:t>
            </w:r>
          </w:p>
        </w:tc>
        <w:tc>
          <w:tcPr>
            <w:tcW w:w="962" w:type="dxa"/>
            <w:noWrap/>
            <w:vAlign w:val="center"/>
            <w:hideMark/>
          </w:tcPr>
          <w:p w14:paraId="4E1C8BE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2013–2015</w:t>
            </w:r>
          </w:p>
        </w:tc>
        <w:tc>
          <w:tcPr>
            <w:tcW w:w="1010" w:type="dxa"/>
            <w:noWrap/>
            <w:vAlign w:val="center"/>
            <w:hideMark/>
          </w:tcPr>
          <w:p w14:paraId="3830E6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Part A, B, and D (5% sample)</w:t>
            </w:r>
          </w:p>
        </w:tc>
        <w:tc>
          <w:tcPr>
            <w:tcW w:w="777" w:type="dxa"/>
            <w:noWrap/>
            <w:vAlign w:val="center"/>
            <w:hideMark/>
          </w:tcPr>
          <w:p w14:paraId="46F7651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A, B, D</w:t>
            </w:r>
          </w:p>
        </w:tc>
        <w:tc>
          <w:tcPr>
            <w:tcW w:w="837" w:type="dxa"/>
            <w:noWrap/>
            <w:vAlign w:val="center"/>
            <w:hideMark/>
          </w:tcPr>
          <w:p w14:paraId="1BEDABF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U.S. Deep South (AL, GA, LA, MS, SC) vs. non-Deep South</w:t>
            </w:r>
          </w:p>
        </w:tc>
        <w:tc>
          <w:tcPr>
            <w:tcW w:w="872" w:type="dxa"/>
            <w:noWrap/>
            <w:vAlign w:val="center"/>
            <w:hideMark/>
          </w:tcPr>
          <w:p w14:paraId="07EB450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67C3E1A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60B4A1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0CAF2E8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127,512 Medicare beneficiaries with ADRD</w:t>
            </w:r>
          </w:p>
        </w:tc>
        <w:tc>
          <w:tcPr>
            <w:tcW w:w="804" w:type="dxa"/>
            <w:noWrap/>
            <w:vAlign w:val="center"/>
            <w:hideMark/>
          </w:tcPr>
          <w:p w14:paraId="3798C5B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66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7AE5BAB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explicitly reported</w:t>
            </w:r>
          </w:p>
        </w:tc>
        <w:tc>
          <w:tcPr>
            <w:tcW w:w="1085" w:type="dxa"/>
            <w:noWrap/>
            <w:vAlign w:val="center"/>
            <w:hideMark/>
          </w:tcPr>
          <w:p w14:paraId="5A3827D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Included: White, Black, Hispanic, Other (used in disparities analysis)</w:t>
            </w:r>
          </w:p>
        </w:tc>
        <w:tc>
          <w:tcPr>
            <w:tcW w:w="990" w:type="dxa"/>
            <w:noWrap/>
            <w:vAlign w:val="center"/>
            <w:hideMark/>
          </w:tcPr>
          <w:p w14:paraId="375E240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explicitly defined; region (Deep South vs. non-South) used as proxy</w:t>
            </w:r>
          </w:p>
        </w:tc>
        <w:tc>
          <w:tcPr>
            <w:tcW w:w="975" w:type="dxa"/>
            <w:noWrap/>
            <w:vAlign w:val="center"/>
            <w:hideMark/>
          </w:tcPr>
          <w:p w14:paraId="3198D2B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race/ethnicity, sex</w:t>
            </w:r>
          </w:p>
        </w:tc>
        <w:tc>
          <w:tcPr>
            <w:tcW w:w="975" w:type="dxa"/>
            <w:noWrap/>
            <w:vAlign w:val="center"/>
            <w:hideMark/>
          </w:tcPr>
          <w:p w14:paraId="4ED9B7B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Education, income, dual eligibility</w:t>
            </w:r>
          </w:p>
        </w:tc>
        <w:tc>
          <w:tcPr>
            <w:tcW w:w="1009" w:type="dxa"/>
            <w:noWrap/>
            <w:vAlign w:val="center"/>
            <w:hideMark/>
          </w:tcPr>
          <w:p w14:paraId="1168ADA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Region (Deep South vs. rest of U.S.)</w:t>
            </w:r>
          </w:p>
        </w:tc>
        <w:tc>
          <w:tcPr>
            <w:tcW w:w="1313" w:type="dxa"/>
            <w:noWrap/>
            <w:vAlign w:val="center"/>
            <w:hideMark/>
          </w:tcPr>
          <w:p w14:paraId="77DAF43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</w:t>
            </w:r>
          </w:p>
        </w:tc>
        <w:tc>
          <w:tcPr>
            <w:tcW w:w="1551" w:type="dxa"/>
            <w:noWrap/>
            <w:vAlign w:val="center"/>
            <w:hideMark/>
          </w:tcPr>
          <w:p w14:paraId="25D91C8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Chronic conditions (used as covariates)</w:t>
            </w:r>
          </w:p>
        </w:tc>
        <w:tc>
          <w:tcPr>
            <w:tcW w:w="1087" w:type="dxa"/>
            <w:noWrap/>
            <w:vAlign w:val="center"/>
            <w:hideMark/>
          </w:tcPr>
          <w:p w14:paraId="1527786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Specialist visits and ADRD medication use analyzed as access indicators</w:t>
            </w:r>
          </w:p>
        </w:tc>
        <w:tc>
          <w:tcPr>
            <w:tcW w:w="1023" w:type="dxa"/>
            <w:noWrap/>
            <w:vAlign w:val="center"/>
            <w:hideMark/>
          </w:tcPr>
          <w:p w14:paraId="2641C9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measured; implications for regional disparities in care access</w:t>
            </w:r>
          </w:p>
        </w:tc>
        <w:tc>
          <w:tcPr>
            <w:tcW w:w="1132" w:type="dxa"/>
            <w:noWrap/>
            <w:vAlign w:val="center"/>
            <w:hideMark/>
          </w:tcPr>
          <w:p w14:paraId="44E974E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Specialist visits, drug prescriptions</w:t>
            </w:r>
          </w:p>
        </w:tc>
        <w:tc>
          <w:tcPr>
            <w:tcW w:w="1350" w:type="dxa"/>
            <w:noWrap/>
            <w:vAlign w:val="center"/>
            <w:hideMark/>
          </w:tcPr>
          <w:p w14:paraId="4B36B1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intervention; implications for equitable ADRD care</w:t>
            </w:r>
          </w:p>
        </w:tc>
        <w:tc>
          <w:tcPr>
            <w:tcW w:w="1040" w:type="dxa"/>
            <w:noWrap/>
            <w:vAlign w:val="center"/>
            <w:hideMark/>
          </w:tcPr>
          <w:p w14:paraId="0C40ED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regression, descriptive statistics</w:t>
            </w:r>
          </w:p>
        </w:tc>
        <w:tc>
          <w:tcPr>
            <w:tcW w:w="1314" w:type="dxa"/>
            <w:noWrap/>
            <w:vAlign w:val="center"/>
            <w:hideMark/>
          </w:tcPr>
          <w:p w14:paraId="31EE9C9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Claims-based diagnosis; no ADRD severity info; geographic proxy (Deep South) may oversimplify local differences</w:t>
            </w:r>
          </w:p>
        </w:tc>
      </w:tr>
      <w:tr w:rsidR="00510957" w:rsidRPr="00510957" w14:paraId="75A2063F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0567A7B9" w14:textId="123C0174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4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28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749A279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Caregivers’ Utilization of Health Services: Results from the Medicare Alzheimer’s Disease Demonstration, Illinois Site</w:t>
            </w:r>
          </w:p>
        </w:tc>
        <w:tc>
          <w:tcPr>
            <w:tcW w:w="638" w:type="dxa"/>
            <w:noWrap/>
            <w:vAlign w:val="center"/>
            <w:hideMark/>
          </w:tcPr>
          <w:p w14:paraId="58ECCAD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Paul Shelton</w:t>
            </w:r>
          </w:p>
        </w:tc>
        <w:tc>
          <w:tcPr>
            <w:tcW w:w="692" w:type="dxa"/>
            <w:noWrap/>
            <w:vAlign w:val="center"/>
            <w:hideMark/>
          </w:tcPr>
          <w:p w14:paraId="0F2E09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2001</w:t>
            </w:r>
          </w:p>
        </w:tc>
        <w:tc>
          <w:tcPr>
            <w:tcW w:w="962" w:type="dxa"/>
            <w:noWrap/>
            <w:vAlign w:val="center"/>
            <w:hideMark/>
          </w:tcPr>
          <w:p w14:paraId="742594B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1989–1994</w:t>
            </w:r>
          </w:p>
        </w:tc>
        <w:tc>
          <w:tcPr>
            <w:tcW w:w="1010" w:type="dxa"/>
            <w:noWrap/>
            <w:vAlign w:val="center"/>
            <w:hideMark/>
          </w:tcPr>
          <w:p w14:paraId="60C83B9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Part A claims from MADDE (Medicare Alzheimer’s Disease Demonstration and Evaluation)</w:t>
            </w:r>
          </w:p>
        </w:tc>
        <w:tc>
          <w:tcPr>
            <w:tcW w:w="777" w:type="dxa"/>
            <w:noWrap/>
            <w:vAlign w:val="center"/>
            <w:hideMark/>
          </w:tcPr>
          <w:p w14:paraId="7CA26EA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Part A</w:t>
            </w:r>
          </w:p>
        </w:tc>
        <w:tc>
          <w:tcPr>
            <w:tcW w:w="837" w:type="dxa"/>
            <w:noWrap/>
            <w:vAlign w:val="center"/>
            <w:hideMark/>
          </w:tcPr>
          <w:p w14:paraId="7E7C37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Illinois</w:t>
            </w:r>
          </w:p>
        </w:tc>
        <w:tc>
          <w:tcPr>
            <w:tcW w:w="872" w:type="dxa"/>
            <w:noWrap/>
            <w:vAlign w:val="center"/>
            <w:hideMark/>
          </w:tcPr>
          <w:p w14:paraId="7E71432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Randomized clinical trial</w:t>
            </w:r>
          </w:p>
        </w:tc>
        <w:tc>
          <w:tcPr>
            <w:tcW w:w="1000" w:type="dxa"/>
            <w:noWrap/>
            <w:vAlign w:val="center"/>
            <w:hideMark/>
          </w:tcPr>
          <w:p w14:paraId="5A2A6F3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28F9331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7B292C2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412 caregivers (210 intervention, 202 control)</w:t>
            </w:r>
          </w:p>
        </w:tc>
        <w:tc>
          <w:tcPr>
            <w:tcW w:w="804" w:type="dxa"/>
            <w:noWrap/>
            <w:vAlign w:val="center"/>
            <w:hideMark/>
          </w:tcPr>
          <w:p w14:paraId="7590B71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Aged 65 and older (caregiver mean ~75 years)</w:t>
            </w:r>
          </w:p>
        </w:tc>
        <w:tc>
          <w:tcPr>
            <w:tcW w:w="986" w:type="dxa"/>
            <w:noWrap/>
            <w:vAlign w:val="center"/>
            <w:hideMark/>
          </w:tcPr>
          <w:p w14:paraId="4BCD4AE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~34–37% male caregivers; rest female</w:t>
            </w:r>
          </w:p>
        </w:tc>
        <w:tc>
          <w:tcPr>
            <w:tcW w:w="1085" w:type="dxa"/>
            <w:noWrap/>
            <w:vAlign w:val="center"/>
            <w:hideMark/>
          </w:tcPr>
          <w:p w14:paraId="1DBFF7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Minority caregivers: 3–5% of sample</w:t>
            </w:r>
          </w:p>
        </w:tc>
        <w:tc>
          <w:tcPr>
            <w:tcW w:w="990" w:type="dxa"/>
            <w:noWrap/>
            <w:vAlign w:val="center"/>
            <w:hideMark/>
          </w:tcPr>
          <w:p w14:paraId="6888E8C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formal rurality scale; conducted in primarily rural east-central Illinois</w:t>
            </w:r>
          </w:p>
        </w:tc>
        <w:tc>
          <w:tcPr>
            <w:tcW w:w="975" w:type="dxa"/>
            <w:noWrap/>
            <w:vAlign w:val="center"/>
            <w:hideMark/>
          </w:tcPr>
          <w:p w14:paraId="67575DE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gender, race, caregiver relationship</w:t>
            </w:r>
          </w:p>
        </w:tc>
        <w:tc>
          <w:tcPr>
            <w:tcW w:w="975" w:type="dxa"/>
            <w:noWrap/>
            <w:vAlign w:val="center"/>
            <w:hideMark/>
          </w:tcPr>
          <w:p w14:paraId="1DBB576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Education, Medicaid eligibility, income, insurance coverage</w:t>
            </w:r>
          </w:p>
        </w:tc>
        <w:tc>
          <w:tcPr>
            <w:tcW w:w="1009" w:type="dxa"/>
            <w:noWrap/>
            <w:vAlign w:val="center"/>
            <w:hideMark/>
          </w:tcPr>
          <w:p w14:paraId="3715633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Region: rural practice; intervention via vertically integrated system</w:t>
            </w:r>
          </w:p>
        </w:tc>
        <w:tc>
          <w:tcPr>
            <w:tcW w:w="1313" w:type="dxa"/>
            <w:noWrap/>
            <w:vAlign w:val="center"/>
            <w:hideMark/>
          </w:tcPr>
          <w:p w14:paraId="4A8AEE9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Indirectly touches on caregiver stress, burden, depression</w:t>
            </w:r>
          </w:p>
        </w:tc>
        <w:tc>
          <w:tcPr>
            <w:tcW w:w="1551" w:type="dxa"/>
            <w:noWrap/>
            <w:vAlign w:val="center"/>
            <w:hideMark/>
          </w:tcPr>
          <w:p w14:paraId="4EEF31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Caregiver comorbidities (e.g., CHF, MI, CAD, diabetes); ADL/IADL limitations</w:t>
            </w:r>
          </w:p>
        </w:tc>
        <w:tc>
          <w:tcPr>
            <w:tcW w:w="1087" w:type="dxa"/>
            <w:noWrap/>
            <w:vAlign w:val="center"/>
            <w:hideMark/>
          </w:tcPr>
          <w:p w14:paraId="4949F86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to case management and services; intervention provided nurse-led home-based case management</w:t>
            </w:r>
          </w:p>
        </w:tc>
        <w:tc>
          <w:tcPr>
            <w:tcW w:w="1023" w:type="dxa"/>
            <w:noWrap/>
            <w:vAlign w:val="center"/>
            <w:hideMark/>
          </w:tcPr>
          <w:p w14:paraId="35CA59A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 – inferred through reduced hospitalization rates among intervention group</w:t>
            </w:r>
          </w:p>
        </w:tc>
        <w:tc>
          <w:tcPr>
            <w:tcW w:w="1132" w:type="dxa"/>
            <w:noWrap/>
            <w:vAlign w:val="center"/>
            <w:hideMark/>
          </w:tcPr>
          <w:p w14:paraId="2EDE799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Hospitalizations, ED visits, Medicare Part A expenditures (caregivers)</w:t>
            </w:r>
          </w:p>
        </w:tc>
        <w:tc>
          <w:tcPr>
            <w:tcW w:w="1350" w:type="dxa"/>
            <w:noWrap/>
            <w:vAlign w:val="center"/>
            <w:hideMark/>
          </w:tcPr>
          <w:p w14:paraId="27EC78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nurse-led case management model for dementia care and caregiver support</w:t>
            </w:r>
          </w:p>
        </w:tc>
        <w:tc>
          <w:tcPr>
            <w:tcW w:w="1040" w:type="dxa"/>
            <w:noWrap/>
            <w:vAlign w:val="center"/>
            <w:hideMark/>
          </w:tcPr>
          <w:p w14:paraId="35D1888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Logistic regression, linear regression; multivariable modeling with caregiver/client covariates; two-part expenditure models</w:t>
            </w:r>
          </w:p>
        </w:tc>
        <w:tc>
          <w:tcPr>
            <w:tcW w:w="1314" w:type="dxa"/>
            <w:noWrap/>
            <w:vAlign w:val="center"/>
            <w:hideMark/>
          </w:tcPr>
          <w:p w14:paraId="42709F7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Only Medicare Part A data; generalizability limited to rural Illinois; lacks detailed clinical diagnostic info; analysis limited by original study data</w:t>
            </w:r>
          </w:p>
        </w:tc>
      </w:tr>
      <w:tr w:rsidR="00510957" w:rsidRPr="00510957" w14:paraId="6B820AA5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63D6884F" w14:textId="14FE66FC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5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29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38382E6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Non-Cancer Chronic Pain Conditions and Risk for Incident Alzheimer’s Disease and Related Dementias in Community-Dwelling Older Adults: A Population-Based Retrospective Cohort Study of United States Medicare Beneficiaries, 2001–2013</w:t>
            </w:r>
          </w:p>
        </w:tc>
        <w:tc>
          <w:tcPr>
            <w:tcW w:w="638" w:type="dxa"/>
            <w:noWrap/>
            <w:vAlign w:val="center"/>
            <w:hideMark/>
          </w:tcPr>
          <w:p w14:paraId="5E5992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Sumaira Khalid</w:t>
            </w:r>
          </w:p>
        </w:tc>
        <w:tc>
          <w:tcPr>
            <w:tcW w:w="692" w:type="dxa"/>
            <w:noWrap/>
            <w:vAlign w:val="center"/>
            <w:hideMark/>
          </w:tcPr>
          <w:p w14:paraId="2D447B4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2020</w:t>
            </w:r>
          </w:p>
        </w:tc>
        <w:tc>
          <w:tcPr>
            <w:tcW w:w="962" w:type="dxa"/>
            <w:noWrap/>
            <w:vAlign w:val="center"/>
            <w:hideMark/>
          </w:tcPr>
          <w:p w14:paraId="373B018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2001–2013</w:t>
            </w:r>
          </w:p>
        </w:tc>
        <w:tc>
          <w:tcPr>
            <w:tcW w:w="1010" w:type="dxa"/>
            <w:noWrap/>
            <w:vAlign w:val="center"/>
            <w:hideMark/>
          </w:tcPr>
          <w:p w14:paraId="6DB5851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claims data (from 11 pooled cohorts in NHATS and MCBS, baseline + 2-year follow-up)</w:t>
            </w:r>
          </w:p>
        </w:tc>
        <w:tc>
          <w:tcPr>
            <w:tcW w:w="777" w:type="dxa"/>
            <w:noWrap/>
            <w:vAlign w:val="center"/>
            <w:hideMark/>
          </w:tcPr>
          <w:p w14:paraId="67C0557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89ABA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4303C40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028393F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Incidence</w:t>
            </w:r>
          </w:p>
        </w:tc>
        <w:tc>
          <w:tcPr>
            <w:tcW w:w="832" w:type="dxa"/>
            <w:noWrap/>
            <w:vAlign w:val="center"/>
            <w:hideMark/>
          </w:tcPr>
          <w:p w14:paraId="0CD01B4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26B38DF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16,934 Medicare beneficiaries</w:t>
            </w:r>
          </w:p>
        </w:tc>
        <w:tc>
          <w:tcPr>
            <w:tcW w:w="804" w:type="dxa"/>
            <w:noWrap/>
            <w:vAlign w:val="center"/>
            <w:hideMark/>
          </w:tcPr>
          <w:p w14:paraId="515A5AB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12581F0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Sex controlled in models; proportions not clearly reported</w:t>
            </w:r>
          </w:p>
        </w:tc>
        <w:tc>
          <w:tcPr>
            <w:tcW w:w="1085" w:type="dxa"/>
            <w:noWrap/>
            <w:vAlign w:val="center"/>
            <w:hideMark/>
          </w:tcPr>
          <w:p w14:paraId="59AC06C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Race/ethnicity included in models; no full stratified breakdown</w:t>
            </w:r>
          </w:p>
        </w:tc>
        <w:tc>
          <w:tcPr>
            <w:tcW w:w="990" w:type="dxa"/>
            <w:noWrap/>
            <w:vAlign w:val="center"/>
            <w:hideMark/>
          </w:tcPr>
          <w:p w14:paraId="378D881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975" w:type="dxa"/>
            <w:noWrap/>
            <w:vAlign w:val="center"/>
            <w:hideMark/>
          </w:tcPr>
          <w:p w14:paraId="4BABAFB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148161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Income levels, Medicaid dual eligibility</w:t>
            </w:r>
          </w:p>
        </w:tc>
        <w:tc>
          <w:tcPr>
            <w:tcW w:w="1009" w:type="dxa"/>
            <w:noWrap/>
            <w:vAlign w:val="center"/>
            <w:hideMark/>
          </w:tcPr>
          <w:p w14:paraId="428D851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</w:t>
            </w:r>
          </w:p>
        </w:tc>
        <w:tc>
          <w:tcPr>
            <w:tcW w:w="1313" w:type="dxa"/>
            <w:noWrap/>
            <w:vAlign w:val="center"/>
            <w:hideMark/>
          </w:tcPr>
          <w:p w14:paraId="4A37894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Smoking status (current, past, never), BMI/obesity (underweight, overweight, obese), Sleep disorders, Depression and anxiety (mood disorders)</w:t>
            </w:r>
          </w:p>
        </w:tc>
        <w:tc>
          <w:tcPr>
            <w:tcW w:w="1551" w:type="dxa"/>
            <w:noWrap/>
            <w:vAlign w:val="center"/>
            <w:hideMark/>
          </w:tcPr>
          <w:p w14:paraId="4F99BB3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Non-cancer chronic pain conditions: arthritis, back/neck pain, headache, neuropathic pain;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plus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sleep/mood disorders</w:t>
            </w:r>
          </w:p>
        </w:tc>
        <w:tc>
          <w:tcPr>
            <w:tcW w:w="1087" w:type="dxa"/>
            <w:noWrap/>
            <w:vAlign w:val="center"/>
            <w:hideMark/>
          </w:tcPr>
          <w:p w14:paraId="57B0DC3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</w:t>
            </w:r>
          </w:p>
        </w:tc>
        <w:tc>
          <w:tcPr>
            <w:tcW w:w="1023" w:type="dxa"/>
            <w:noWrap/>
            <w:vAlign w:val="center"/>
            <w:hideMark/>
          </w:tcPr>
          <w:p w14:paraId="36FD07A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241AFA5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350" w:type="dxa"/>
            <w:noWrap/>
            <w:vAlign w:val="center"/>
            <w:hideMark/>
          </w:tcPr>
          <w:p w14:paraId="3A03AF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 tested</w:t>
            </w:r>
          </w:p>
        </w:tc>
        <w:tc>
          <w:tcPr>
            <w:tcW w:w="1040" w:type="dxa"/>
            <w:noWrap/>
            <w:vAlign w:val="center"/>
            <w:hideMark/>
          </w:tcPr>
          <w:p w14:paraId="3A64590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multivariate logistic regression</w:t>
            </w:r>
          </w:p>
        </w:tc>
        <w:tc>
          <w:tcPr>
            <w:tcW w:w="1314" w:type="dxa"/>
            <w:noWrap/>
            <w:vAlign w:val="center"/>
            <w:hideMark/>
          </w:tcPr>
          <w:p w14:paraId="36B8D2F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Self-reported pain conditions; no clinical ADRD validation; unmeasured confounding; short follow-up; generalizability limited to community-dwelling adults</w:t>
            </w:r>
          </w:p>
        </w:tc>
      </w:tr>
      <w:tr w:rsidR="00510957" w:rsidRPr="00510957" w14:paraId="3BF57C09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76DF4FA1" w14:textId="05E366BD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6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30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6FFEBEB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Assessment of Rural-Urban Differences in Health Care Use and Survival Among Medicare Beneficiaries </w:t>
            </w:r>
            <w:proofErr w:type="gramStart"/>
            <w:r w:rsidRPr="00510957">
              <w:rPr>
                <w:rFonts w:ascii="Calibri" w:hAnsi="Calibri" w:cs="Calibri"/>
                <w:sz w:val="18"/>
                <w:szCs w:val="18"/>
              </w:rPr>
              <w:t>With</w:t>
            </w:r>
            <w:proofErr w:type="gram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Alzheimer Disease and Related Dementia</w:t>
            </w:r>
          </w:p>
        </w:tc>
        <w:tc>
          <w:tcPr>
            <w:tcW w:w="638" w:type="dxa"/>
            <w:noWrap/>
            <w:vAlign w:val="center"/>
            <w:hideMark/>
          </w:tcPr>
          <w:p w14:paraId="1AE7234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Momotazur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Rahman</w:t>
            </w:r>
          </w:p>
        </w:tc>
        <w:tc>
          <w:tcPr>
            <w:tcW w:w="692" w:type="dxa"/>
            <w:noWrap/>
            <w:vAlign w:val="center"/>
            <w:hideMark/>
          </w:tcPr>
          <w:p w14:paraId="30407E6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2020</w:t>
            </w:r>
          </w:p>
        </w:tc>
        <w:tc>
          <w:tcPr>
            <w:tcW w:w="962" w:type="dxa"/>
            <w:noWrap/>
            <w:vAlign w:val="center"/>
            <w:hideMark/>
          </w:tcPr>
          <w:p w14:paraId="353E370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2009–2016 (diagnoses in 2010, follow-up through 2016)</w:t>
            </w:r>
          </w:p>
        </w:tc>
        <w:tc>
          <w:tcPr>
            <w:tcW w:w="1010" w:type="dxa"/>
            <w:noWrap/>
            <w:vAlign w:val="center"/>
            <w:hideMark/>
          </w:tcPr>
          <w:p w14:paraId="2ED283F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claims data, MBSF, Residential History File, OASIS, MDS, Area Health Resource File, Social Deprivation Index</w:t>
            </w:r>
          </w:p>
        </w:tc>
        <w:tc>
          <w:tcPr>
            <w:tcW w:w="777" w:type="dxa"/>
            <w:noWrap/>
            <w:vAlign w:val="center"/>
            <w:hideMark/>
          </w:tcPr>
          <w:p w14:paraId="5D1DE5A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5EFF738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(U.S.)</w:t>
            </w:r>
          </w:p>
        </w:tc>
        <w:tc>
          <w:tcPr>
            <w:tcW w:w="872" w:type="dxa"/>
            <w:noWrap/>
            <w:vAlign w:val="center"/>
            <w:hideMark/>
          </w:tcPr>
          <w:p w14:paraId="09010A8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07FD546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Mortality</w:t>
            </w:r>
          </w:p>
        </w:tc>
        <w:tc>
          <w:tcPr>
            <w:tcW w:w="832" w:type="dxa"/>
            <w:noWrap/>
            <w:vAlign w:val="center"/>
            <w:hideMark/>
          </w:tcPr>
          <w:p w14:paraId="1C9CB7B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434079F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555,333 Medicare beneficiaries with incident ADRD diagnosis in 2010</w:t>
            </w:r>
          </w:p>
        </w:tc>
        <w:tc>
          <w:tcPr>
            <w:tcW w:w="804" w:type="dxa"/>
            <w:noWrap/>
            <w:vAlign w:val="center"/>
            <w:hideMark/>
          </w:tcPr>
          <w:p w14:paraId="1B94B39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32BA18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stratified; full population includes men and women</w:t>
            </w:r>
          </w:p>
        </w:tc>
        <w:tc>
          <w:tcPr>
            <w:tcW w:w="1085" w:type="dxa"/>
            <w:noWrap/>
            <w:vAlign w:val="center"/>
            <w:hideMark/>
          </w:tcPr>
          <w:p w14:paraId="2844D12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detailed in tables; adjusted in models</w:t>
            </w:r>
          </w:p>
        </w:tc>
        <w:tc>
          <w:tcPr>
            <w:tcW w:w="990" w:type="dxa"/>
            <w:noWrap/>
            <w:vAlign w:val="center"/>
            <w:hideMark/>
          </w:tcPr>
          <w:p w14:paraId="7319395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Rural-Urban Continuum Codes (RUCC): metro (1–3), micro (4–7), rural (8–9)</w:t>
            </w:r>
          </w:p>
        </w:tc>
        <w:tc>
          <w:tcPr>
            <w:tcW w:w="975" w:type="dxa"/>
            <w:noWrap/>
            <w:vAlign w:val="center"/>
            <w:hideMark/>
          </w:tcPr>
          <w:p w14:paraId="29BA56F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</w:t>
            </w:r>
          </w:p>
        </w:tc>
        <w:tc>
          <w:tcPr>
            <w:tcW w:w="975" w:type="dxa"/>
            <w:noWrap/>
            <w:vAlign w:val="center"/>
            <w:hideMark/>
          </w:tcPr>
          <w:p w14:paraId="6CA7F65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Social Deprivation Index, county-level resource differences</w:t>
            </w:r>
          </w:p>
        </w:tc>
        <w:tc>
          <w:tcPr>
            <w:tcW w:w="1009" w:type="dxa"/>
            <w:noWrap/>
            <w:vAlign w:val="center"/>
            <w:hideMark/>
          </w:tcPr>
          <w:p w14:paraId="02A3081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Rurality classification, regional health care availability</w:t>
            </w:r>
          </w:p>
        </w:tc>
        <w:tc>
          <w:tcPr>
            <w:tcW w:w="1313" w:type="dxa"/>
            <w:noWrap/>
            <w:vAlign w:val="center"/>
            <w:hideMark/>
          </w:tcPr>
          <w:p w14:paraId="4379CD6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analyzed</w:t>
            </w:r>
          </w:p>
        </w:tc>
        <w:tc>
          <w:tcPr>
            <w:tcW w:w="1551" w:type="dxa"/>
            <w:noWrap/>
            <w:vAlign w:val="center"/>
            <w:hideMark/>
          </w:tcPr>
          <w:p w14:paraId="32C9654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detailed; focused on dementia population</w:t>
            </w:r>
          </w:p>
        </w:tc>
        <w:tc>
          <w:tcPr>
            <w:tcW w:w="1087" w:type="dxa"/>
            <w:noWrap/>
            <w:vAlign w:val="center"/>
            <w:hideMark/>
          </w:tcPr>
          <w:p w14:paraId="733F072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via differences in service use (e.g., fewer hospital and home health days in rural areas)</w:t>
            </w:r>
          </w:p>
        </w:tc>
        <w:tc>
          <w:tcPr>
            <w:tcW w:w="1023" w:type="dxa"/>
            <w:noWrap/>
            <w:vAlign w:val="center"/>
            <w:hideMark/>
          </w:tcPr>
          <w:p w14:paraId="5401F2A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assessed; implications inferred from care disparities</w:t>
            </w:r>
          </w:p>
        </w:tc>
        <w:tc>
          <w:tcPr>
            <w:tcW w:w="1132" w:type="dxa"/>
            <w:noWrap/>
            <w:vAlign w:val="center"/>
            <w:hideMark/>
          </w:tcPr>
          <w:p w14:paraId="69C7C7C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monthly time spent in hospital, hospice, nursing home, home health, community</w:t>
            </w:r>
          </w:p>
        </w:tc>
        <w:tc>
          <w:tcPr>
            <w:tcW w:w="1350" w:type="dxa"/>
            <w:noWrap/>
            <w:vAlign w:val="center"/>
            <w:hideMark/>
          </w:tcPr>
          <w:p w14:paraId="304779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 tested; findings suggest need for rural policy attention</w:t>
            </w:r>
          </w:p>
        </w:tc>
        <w:tc>
          <w:tcPr>
            <w:tcW w:w="1040" w:type="dxa"/>
            <w:noWrap/>
            <w:vAlign w:val="center"/>
            <w:hideMark/>
          </w:tcPr>
          <w:p w14:paraId="41179D6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Linear regression, trajectory analysis, stratified robustness checks using propensity scores</w:t>
            </w:r>
          </w:p>
        </w:tc>
        <w:tc>
          <w:tcPr>
            <w:tcW w:w="1314" w:type="dxa"/>
            <w:noWrap/>
            <w:vAlign w:val="center"/>
            <w:hideMark/>
          </w:tcPr>
          <w:p w14:paraId="41FDAD7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Lack of dementia severity, functional status, and care preferences; unmeasured confounding; Medicare Advantage beneficiaries excluded</w:t>
            </w:r>
          </w:p>
        </w:tc>
      </w:tr>
      <w:tr w:rsidR="00510957" w:rsidRPr="00510957" w14:paraId="76BF20A9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53A44720" w14:textId="09727150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7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31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6049790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Alzheimer’s Disease and Related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Disorders Prevalence Differs by Appalachian Residence in Ohio</w:t>
            </w:r>
          </w:p>
        </w:tc>
        <w:tc>
          <w:tcPr>
            <w:tcW w:w="638" w:type="dxa"/>
            <w:noWrap/>
            <w:vAlign w:val="center"/>
            <w:hideMark/>
          </w:tcPr>
          <w:p w14:paraId="7DB4082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Jeffrey J. Wing</w:t>
            </w:r>
          </w:p>
        </w:tc>
        <w:tc>
          <w:tcPr>
            <w:tcW w:w="692" w:type="dxa"/>
            <w:noWrap/>
            <w:vAlign w:val="center"/>
            <w:hideMark/>
          </w:tcPr>
          <w:p w14:paraId="7EA9DCD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2020</w:t>
            </w:r>
          </w:p>
        </w:tc>
        <w:tc>
          <w:tcPr>
            <w:tcW w:w="962" w:type="dxa"/>
            <w:noWrap/>
            <w:vAlign w:val="center"/>
            <w:hideMark/>
          </w:tcPr>
          <w:p w14:paraId="558A1D1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2007–2017</w:t>
            </w:r>
          </w:p>
        </w:tc>
        <w:tc>
          <w:tcPr>
            <w:tcW w:w="1010" w:type="dxa"/>
            <w:noWrap/>
            <w:vAlign w:val="center"/>
            <w:hideMark/>
          </w:tcPr>
          <w:p w14:paraId="2E8BC8D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CMS Geographic Variation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Public Use Files (GV PUF), includes 100% Medicare FFS and Advantage claims</w:t>
            </w:r>
          </w:p>
        </w:tc>
        <w:tc>
          <w:tcPr>
            <w:tcW w:w="777" w:type="dxa"/>
            <w:noWrap/>
            <w:vAlign w:val="center"/>
            <w:hideMark/>
          </w:tcPr>
          <w:p w14:paraId="43A58C4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Fee-for-Service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and Medicare Advantage</w:t>
            </w:r>
          </w:p>
        </w:tc>
        <w:tc>
          <w:tcPr>
            <w:tcW w:w="837" w:type="dxa"/>
            <w:noWrap/>
            <w:vAlign w:val="center"/>
            <w:hideMark/>
          </w:tcPr>
          <w:p w14:paraId="4102FF9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Ohio (statewide,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county-level)</w:t>
            </w:r>
          </w:p>
        </w:tc>
        <w:tc>
          <w:tcPr>
            <w:tcW w:w="872" w:type="dxa"/>
            <w:noWrap/>
            <w:vAlign w:val="center"/>
            <w:hideMark/>
          </w:tcPr>
          <w:p w14:paraId="2B1348F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Cross-sectional</w:t>
            </w:r>
          </w:p>
        </w:tc>
        <w:tc>
          <w:tcPr>
            <w:tcW w:w="1000" w:type="dxa"/>
            <w:noWrap/>
            <w:vAlign w:val="center"/>
            <w:hideMark/>
          </w:tcPr>
          <w:p w14:paraId="1DE3567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Prevalence</w:t>
            </w:r>
          </w:p>
        </w:tc>
        <w:tc>
          <w:tcPr>
            <w:tcW w:w="832" w:type="dxa"/>
            <w:noWrap/>
            <w:vAlign w:val="center"/>
            <w:hideMark/>
          </w:tcPr>
          <w:p w14:paraId="3579F8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 xml:space="preserve">Alzheimer’s disease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232D706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13,438,743 Medicare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beneficiaries</w:t>
            </w:r>
          </w:p>
        </w:tc>
        <w:tc>
          <w:tcPr>
            <w:tcW w:w="804" w:type="dxa"/>
            <w:noWrap/>
            <w:vAlign w:val="center"/>
            <w:hideMark/>
          </w:tcPr>
          <w:p w14:paraId="213EC27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65 years and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older (aggregate data; age mean ~71.1)</w:t>
            </w:r>
          </w:p>
        </w:tc>
        <w:tc>
          <w:tcPr>
            <w:tcW w:w="986" w:type="dxa"/>
            <w:noWrap/>
            <w:vAlign w:val="center"/>
            <w:hideMark/>
          </w:tcPr>
          <w:p w14:paraId="7FB62F6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55.1% female overall;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varies slightly by subgroup</w:t>
            </w:r>
          </w:p>
        </w:tc>
        <w:tc>
          <w:tcPr>
            <w:tcW w:w="1085" w:type="dxa"/>
            <w:noWrap/>
            <w:vAlign w:val="center"/>
            <w:hideMark/>
          </w:tcPr>
          <w:p w14:paraId="0B45982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Non-Hispanic White: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87.1%, Black: 9.7%, Hispanic: 1.2% (missing in suppressed counties)</w:t>
            </w:r>
          </w:p>
        </w:tc>
        <w:tc>
          <w:tcPr>
            <w:tcW w:w="990" w:type="dxa"/>
            <w:noWrap/>
            <w:vAlign w:val="center"/>
            <w:hideMark/>
          </w:tcPr>
          <w:p w14:paraId="07E9DA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Yes – Rural-Urban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Continuum Codes (RUCC): Rural = codes 6–9; Urban = codes 1–5</w:t>
            </w:r>
          </w:p>
        </w:tc>
        <w:tc>
          <w:tcPr>
            <w:tcW w:w="975" w:type="dxa"/>
            <w:noWrap/>
            <w:vAlign w:val="center"/>
            <w:hideMark/>
          </w:tcPr>
          <w:p w14:paraId="316EF51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Age, sex, race/ethnicity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(county-level), percent female, average age</w:t>
            </w:r>
          </w:p>
        </w:tc>
        <w:tc>
          <w:tcPr>
            <w:tcW w:w="975" w:type="dxa"/>
            <w:noWrap/>
            <w:vAlign w:val="center"/>
            <w:hideMark/>
          </w:tcPr>
          <w:p w14:paraId="08BCBEA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Medicaid eligibility (proxy for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poverty), Appalachian designation</w:t>
            </w:r>
          </w:p>
        </w:tc>
        <w:tc>
          <w:tcPr>
            <w:tcW w:w="1009" w:type="dxa"/>
            <w:noWrap/>
            <w:vAlign w:val="center"/>
            <w:hideMark/>
          </w:tcPr>
          <w:p w14:paraId="4BEBFED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provider shortages and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regional disparities, Appalachian designation, rurality, healthcare access variation by geography</w:t>
            </w:r>
          </w:p>
        </w:tc>
        <w:tc>
          <w:tcPr>
            <w:tcW w:w="1313" w:type="dxa"/>
            <w:noWrap/>
            <w:vAlign w:val="center"/>
            <w:hideMark/>
          </w:tcPr>
          <w:p w14:paraId="379B571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rural residents may have more “risky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health behaviors"</w:t>
            </w:r>
          </w:p>
        </w:tc>
        <w:tc>
          <w:tcPr>
            <w:tcW w:w="1551" w:type="dxa"/>
            <w:noWrap/>
            <w:vAlign w:val="center"/>
            <w:hideMark/>
          </w:tcPr>
          <w:p w14:paraId="5D68EBE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Included: atrial fibrillation, CKD, depression,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diabetes, heart failure, hyperlipidemia, hypertension, ischemic heart disease, schizophrenia, stroke</w:t>
            </w:r>
          </w:p>
        </w:tc>
        <w:tc>
          <w:tcPr>
            <w:tcW w:w="1087" w:type="dxa"/>
            <w:noWrap/>
            <w:vAlign w:val="center"/>
            <w:hideMark/>
          </w:tcPr>
          <w:p w14:paraId="1D2F52B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Indirect – disparities in diagnosis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rates linked to regional healthcare capacity</w:t>
            </w:r>
          </w:p>
        </w:tc>
        <w:tc>
          <w:tcPr>
            <w:tcW w:w="1023" w:type="dxa"/>
            <w:noWrap/>
            <w:vAlign w:val="center"/>
            <w:hideMark/>
          </w:tcPr>
          <w:p w14:paraId="3B840C3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Not directly assessed;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disparities in diagnostic prevalence suggest differences in care availability</w:t>
            </w:r>
          </w:p>
        </w:tc>
        <w:tc>
          <w:tcPr>
            <w:tcW w:w="1132" w:type="dxa"/>
            <w:noWrap/>
            <w:vAlign w:val="center"/>
            <w:hideMark/>
          </w:tcPr>
          <w:p w14:paraId="53D68C5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Not directly assessed; prevalence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derived from service-linked diagnosis data</w:t>
            </w:r>
          </w:p>
        </w:tc>
        <w:tc>
          <w:tcPr>
            <w:tcW w:w="1350" w:type="dxa"/>
            <w:noWrap/>
            <w:vAlign w:val="center"/>
            <w:hideMark/>
          </w:tcPr>
          <w:p w14:paraId="68D32CC3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No intervention tested;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implications discussed for Appalachian-focused services</w:t>
            </w:r>
          </w:p>
        </w:tc>
        <w:tc>
          <w:tcPr>
            <w:tcW w:w="1040" w:type="dxa"/>
            <w:noWrap/>
            <w:vAlign w:val="center"/>
            <w:hideMark/>
          </w:tcPr>
          <w:p w14:paraId="08692D6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Negative binomial regression,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stratified models, interaction terms, adjusted for county-level covariates</w:t>
            </w:r>
          </w:p>
        </w:tc>
        <w:tc>
          <w:tcPr>
            <w:tcW w:w="1314" w:type="dxa"/>
            <w:noWrap/>
            <w:vAlign w:val="center"/>
            <w:hideMark/>
          </w:tcPr>
          <w:p w14:paraId="45FF85D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County-level (ecological) data; potential </w:t>
            </w:r>
            <w:r w:rsidRPr="00510957">
              <w:rPr>
                <w:rFonts w:ascii="Calibri" w:hAnsi="Calibri" w:cs="Calibri"/>
                <w:sz w:val="18"/>
                <w:szCs w:val="18"/>
              </w:rPr>
              <w:lastRenderedPageBreak/>
              <w:t>underdiagnosis; missing race/ethnicity data; no individual-level measures or ADRD severity</w:t>
            </w:r>
          </w:p>
        </w:tc>
      </w:tr>
      <w:tr w:rsidR="00510957" w:rsidRPr="00510957" w14:paraId="260E77E2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1D54E823" w14:textId="7942D375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8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32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5D5A3A3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Access to Preferred Skilled Nursing Facilities: Transitional Care Pathways for Patients with Alzheimer’s Disease and Related Dementias</w:t>
            </w:r>
          </w:p>
        </w:tc>
        <w:tc>
          <w:tcPr>
            <w:tcW w:w="638" w:type="dxa"/>
            <w:noWrap/>
            <w:vAlign w:val="center"/>
            <w:hideMark/>
          </w:tcPr>
          <w:p w14:paraId="69773B7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Dori A. Cross</w:t>
            </w:r>
          </w:p>
        </w:tc>
        <w:tc>
          <w:tcPr>
            <w:tcW w:w="692" w:type="dxa"/>
            <w:noWrap/>
            <w:vAlign w:val="center"/>
            <w:hideMark/>
          </w:tcPr>
          <w:p w14:paraId="1E316A5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2024</w:t>
            </w:r>
          </w:p>
        </w:tc>
        <w:tc>
          <w:tcPr>
            <w:tcW w:w="962" w:type="dxa"/>
            <w:noWrap/>
            <w:vAlign w:val="center"/>
            <w:hideMark/>
          </w:tcPr>
          <w:p w14:paraId="68C9A68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2017–2019</w:t>
            </w:r>
          </w:p>
        </w:tc>
        <w:tc>
          <w:tcPr>
            <w:tcW w:w="1010" w:type="dxa"/>
            <w:noWrap/>
            <w:vAlign w:val="center"/>
            <w:hideMark/>
          </w:tcPr>
          <w:p w14:paraId="1B0787B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100% Medicare Provider Analysis and Review (</w:t>
            </w: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MedPAR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>); Chronic Condition Warehouse (CCW)</w:t>
            </w:r>
          </w:p>
        </w:tc>
        <w:tc>
          <w:tcPr>
            <w:tcW w:w="777" w:type="dxa"/>
            <w:noWrap/>
            <w:vAlign w:val="center"/>
            <w:hideMark/>
          </w:tcPr>
          <w:p w14:paraId="0AEDD05F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605F870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(48 contiguous U.S. states)</w:t>
            </w:r>
          </w:p>
        </w:tc>
        <w:tc>
          <w:tcPr>
            <w:tcW w:w="872" w:type="dxa"/>
            <w:noWrap/>
            <w:vAlign w:val="center"/>
            <w:hideMark/>
          </w:tcPr>
          <w:p w14:paraId="4BCC126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6EEBB53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Caregiving</w:t>
            </w:r>
          </w:p>
        </w:tc>
        <w:tc>
          <w:tcPr>
            <w:tcW w:w="832" w:type="dxa"/>
            <w:noWrap/>
            <w:vAlign w:val="center"/>
            <w:hideMark/>
          </w:tcPr>
          <w:p w14:paraId="6394D69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5FF9AC1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3,024,995 hospital-to-SNF transitions (matched sample N=58,190)</w:t>
            </w:r>
          </w:p>
        </w:tc>
        <w:tc>
          <w:tcPr>
            <w:tcW w:w="804" w:type="dxa"/>
            <w:noWrap/>
            <w:vAlign w:val="center"/>
            <w:hideMark/>
          </w:tcPr>
          <w:p w14:paraId="084B8F2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65+ years (matched sample: mean ~84 years)</w:t>
            </w:r>
          </w:p>
        </w:tc>
        <w:tc>
          <w:tcPr>
            <w:tcW w:w="986" w:type="dxa"/>
            <w:noWrap/>
            <w:vAlign w:val="center"/>
            <w:hideMark/>
          </w:tcPr>
          <w:p w14:paraId="55C07A40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~80% female in matched sample</w:t>
            </w:r>
          </w:p>
        </w:tc>
        <w:tc>
          <w:tcPr>
            <w:tcW w:w="1085" w:type="dxa"/>
            <w:noWrap/>
            <w:vAlign w:val="center"/>
            <w:hideMark/>
          </w:tcPr>
          <w:p w14:paraId="541EDF5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Matched cohort: ~98% Non-Hispanic White, 1.2% Black, 0.5% Hispanic, others &lt;0.2%</w:t>
            </w:r>
          </w:p>
        </w:tc>
        <w:tc>
          <w:tcPr>
            <w:tcW w:w="990" w:type="dxa"/>
            <w:noWrap/>
            <w:vAlign w:val="center"/>
            <w:hideMark/>
          </w:tcPr>
          <w:p w14:paraId="3F6ACA4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RUCA codes (reported ZIP-level metro, micro, small town, rural classifications)</w:t>
            </w:r>
          </w:p>
        </w:tc>
        <w:tc>
          <w:tcPr>
            <w:tcW w:w="975" w:type="dxa"/>
            <w:noWrap/>
            <w:vAlign w:val="center"/>
            <w:hideMark/>
          </w:tcPr>
          <w:p w14:paraId="7EDEA5B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Age, sex, race/ethnicity</w:t>
            </w:r>
          </w:p>
        </w:tc>
        <w:tc>
          <w:tcPr>
            <w:tcW w:w="975" w:type="dxa"/>
            <w:noWrap/>
            <w:vAlign w:val="center"/>
            <w:hideMark/>
          </w:tcPr>
          <w:p w14:paraId="3E881F7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Dual eligibility, Medicaid share of SNF, for-profit status</w:t>
            </w:r>
          </w:p>
        </w:tc>
        <w:tc>
          <w:tcPr>
            <w:tcW w:w="1009" w:type="dxa"/>
            <w:noWrap/>
            <w:vAlign w:val="center"/>
            <w:hideMark/>
          </w:tcPr>
          <w:p w14:paraId="072CFFA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Facility location, hospital-SNF referral strength (hospital-to-SNF referral networks, distance, facility preferred status)</w:t>
            </w:r>
          </w:p>
        </w:tc>
        <w:tc>
          <w:tcPr>
            <w:tcW w:w="1313" w:type="dxa"/>
            <w:noWrap/>
            <w:vAlign w:val="center"/>
            <w:hideMark/>
          </w:tcPr>
          <w:p w14:paraId="6458DCE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401F299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10957">
              <w:rPr>
                <w:rFonts w:ascii="Calibri" w:hAnsi="Calibri" w:cs="Calibri"/>
                <w:sz w:val="18"/>
                <w:szCs w:val="18"/>
              </w:rPr>
              <w:t>Elixhauser</w:t>
            </w:r>
            <w:proofErr w:type="spellEnd"/>
            <w:r w:rsidRPr="00510957">
              <w:rPr>
                <w:rFonts w:ascii="Calibri" w:hAnsi="Calibri" w:cs="Calibri"/>
                <w:sz w:val="18"/>
                <w:szCs w:val="18"/>
              </w:rPr>
              <w:t xml:space="preserve"> Index, medical vs surgical stay</w:t>
            </w:r>
          </w:p>
        </w:tc>
        <w:tc>
          <w:tcPr>
            <w:tcW w:w="1087" w:type="dxa"/>
            <w:noWrap/>
            <w:vAlign w:val="center"/>
            <w:hideMark/>
          </w:tcPr>
          <w:p w14:paraId="068C3F82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disparities in access to preferred SNFs between ADRD and non-ADRD patients</w:t>
            </w:r>
          </w:p>
        </w:tc>
        <w:tc>
          <w:tcPr>
            <w:tcW w:w="1023" w:type="dxa"/>
            <w:noWrap/>
            <w:vAlign w:val="center"/>
            <w:hideMark/>
          </w:tcPr>
          <w:p w14:paraId="4D6D1F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 – preferred SNFs assumed to have stronger transitional care</w:t>
            </w:r>
          </w:p>
        </w:tc>
        <w:tc>
          <w:tcPr>
            <w:tcW w:w="1132" w:type="dxa"/>
            <w:noWrap/>
            <w:vAlign w:val="center"/>
            <w:hideMark/>
          </w:tcPr>
          <w:p w14:paraId="6E4CA10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SNF use following hospital discharge; geographic proximity patterns</w:t>
            </w:r>
          </w:p>
        </w:tc>
        <w:tc>
          <w:tcPr>
            <w:tcW w:w="1350" w:type="dxa"/>
            <w:noWrap/>
            <w:vAlign w:val="center"/>
            <w:hideMark/>
          </w:tcPr>
          <w:p w14:paraId="0CCAF7B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formal intervention tested; policy implications discussed</w:t>
            </w:r>
          </w:p>
        </w:tc>
        <w:tc>
          <w:tcPr>
            <w:tcW w:w="1040" w:type="dxa"/>
            <w:noWrap/>
            <w:vAlign w:val="center"/>
            <w:hideMark/>
          </w:tcPr>
          <w:p w14:paraId="618EF84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ordinary least squares (OLS), conditional logit (McFadden's choice model), matched analysis, simulation</w:t>
            </w:r>
          </w:p>
        </w:tc>
        <w:tc>
          <w:tcPr>
            <w:tcW w:w="1314" w:type="dxa"/>
            <w:noWrap/>
            <w:vAlign w:val="center"/>
            <w:hideMark/>
          </w:tcPr>
          <w:p w14:paraId="44D7CE3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Preferred status inferred from volume (not formal label); no qualitative data on placement mechanisms; limited to ZIP-level geographic granularity</w:t>
            </w:r>
          </w:p>
        </w:tc>
      </w:tr>
      <w:tr w:rsidR="00510957" w:rsidRPr="00510957" w14:paraId="18B45904" w14:textId="77777777" w:rsidTr="00510957">
        <w:trPr>
          <w:trHeight w:val="288"/>
        </w:trPr>
        <w:tc>
          <w:tcPr>
            <w:tcW w:w="574" w:type="dxa"/>
            <w:noWrap/>
            <w:vAlign w:val="center"/>
            <w:hideMark/>
          </w:tcPr>
          <w:p w14:paraId="1419EE86" w14:textId="0D124FE3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hyperlink r:id="rId39" w:history="1">
              <w:r w:rsidRPr="005779D2">
                <w:rPr>
                  <w:rStyle w:val="Hyperlink"/>
                  <w:rFonts w:ascii="Calibri" w:hAnsi="Calibri" w:cs="Calibri"/>
                  <w:sz w:val="18"/>
                  <w:szCs w:val="18"/>
                </w:rPr>
                <w:t>33</w:t>
              </w:r>
            </w:hyperlink>
          </w:p>
        </w:tc>
        <w:tc>
          <w:tcPr>
            <w:tcW w:w="1308" w:type="dxa"/>
            <w:noWrap/>
            <w:vAlign w:val="center"/>
            <w:hideMark/>
          </w:tcPr>
          <w:p w14:paraId="41E040D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 National Study on the Impact of Wildfire Smoke on Cause-Specific Hospitalizations Among Medicare Enrollees with Alzheimer’s Disease and Related Dementias from 2006 to 2016</w:t>
            </w:r>
          </w:p>
        </w:tc>
        <w:tc>
          <w:tcPr>
            <w:tcW w:w="638" w:type="dxa"/>
            <w:noWrap/>
            <w:vAlign w:val="center"/>
            <w:hideMark/>
          </w:tcPr>
          <w:p w14:paraId="5324D18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Vivian Do</w:t>
            </w:r>
          </w:p>
        </w:tc>
        <w:tc>
          <w:tcPr>
            <w:tcW w:w="692" w:type="dxa"/>
            <w:noWrap/>
            <w:vAlign w:val="center"/>
            <w:hideMark/>
          </w:tcPr>
          <w:p w14:paraId="4687C65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2025</w:t>
            </w:r>
          </w:p>
        </w:tc>
        <w:tc>
          <w:tcPr>
            <w:tcW w:w="962" w:type="dxa"/>
            <w:noWrap/>
            <w:vAlign w:val="center"/>
            <w:hideMark/>
          </w:tcPr>
          <w:p w14:paraId="61D0F9AE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2006–2016</w:t>
            </w:r>
          </w:p>
        </w:tc>
        <w:tc>
          <w:tcPr>
            <w:tcW w:w="1010" w:type="dxa"/>
            <w:noWrap/>
            <w:vAlign w:val="center"/>
            <w:hideMark/>
          </w:tcPr>
          <w:p w14:paraId="29076EA4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Medicare Fee-for-Service inpatient claims</w:t>
            </w:r>
          </w:p>
        </w:tc>
        <w:tc>
          <w:tcPr>
            <w:tcW w:w="777" w:type="dxa"/>
            <w:noWrap/>
            <w:vAlign w:val="center"/>
            <w:hideMark/>
          </w:tcPr>
          <w:p w14:paraId="1D2C48A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Fee-for-Service</w:t>
            </w:r>
          </w:p>
        </w:tc>
        <w:tc>
          <w:tcPr>
            <w:tcW w:w="837" w:type="dxa"/>
            <w:noWrap/>
            <w:vAlign w:val="center"/>
            <w:hideMark/>
          </w:tcPr>
          <w:p w14:paraId="46EC9FB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Nationwide (contiguous U.S.)</w:t>
            </w:r>
          </w:p>
        </w:tc>
        <w:tc>
          <w:tcPr>
            <w:tcW w:w="872" w:type="dxa"/>
            <w:noWrap/>
            <w:vAlign w:val="center"/>
            <w:hideMark/>
          </w:tcPr>
          <w:p w14:paraId="7EB7EFE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1000" w:type="dxa"/>
            <w:noWrap/>
            <w:vAlign w:val="center"/>
            <w:hideMark/>
          </w:tcPr>
          <w:p w14:paraId="717BEC4D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Hospitalization</w:t>
            </w:r>
          </w:p>
        </w:tc>
        <w:tc>
          <w:tcPr>
            <w:tcW w:w="832" w:type="dxa"/>
            <w:noWrap/>
            <w:vAlign w:val="center"/>
            <w:hideMark/>
          </w:tcPr>
          <w:p w14:paraId="3A252F6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Alzheimer’s disease and related dementias (ADRD)</w:t>
            </w:r>
          </w:p>
        </w:tc>
        <w:tc>
          <w:tcPr>
            <w:tcW w:w="1039" w:type="dxa"/>
            <w:noWrap/>
            <w:vAlign w:val="center"/>
            <w:hideMark/>
          </w:tcPr>
          <w:p w14:paraId="3F9825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927,581 Medicare beneficiaries with prior ADRD hospitalization</w:t>
            </w:r>
          </w:p>
        </w:tc>
        <w:tc>
          <w:tcPr>
            <w:tcW w:w="804" w:type="dxa"/>
            <w:noWrap/>
            <w:vAlign w:val="center"/>
            <w:hideMark/>
          </w:tcPr>
          <w:p w14:paraId="4AE0005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65 years and older</w:t>
            </w:r>
          </w:p>
        </w:tc>
        <w:tc>
          <w:tcPr>
            <w:tcW w:w="986" w:type="dxa"/>
            <w:noWrap/>
            <w:vAlign w:val="center"/>
            <w:hideMark/>
          </w:tcPr>
          <w:p w14:paraId="0E78EEB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stratified in final results; gender included in base demographic description</w:t>
            </w:r>
          </w:p>
        </w:tc>
        <w:tc>
          <w:tcPr>
            <w:tcW w:w="1085" w:type="dxa"/>
            <w:noWrap/>
            <w:vAlign w:val="center"/>
            <w:hideMark/>
          </w:tcPr>
          <w:p w14:paraId="506B447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reported in stratified detail; entire ADRD Medicare FFS population</w:t>
            </w:r>
          </w:p>
        </w:tc>
        <w:tc>
          <w:tcPr>
            <w:tcW w:w="990" w:type="dxa"/>
            <w:noWrap/>
            <w:vAlign w:val="center"/>
            <w:hideMark/>
          </w:tcPr>
          <w:p w14:paraId="3E2E5C7A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Yes – stratified into rural vs. urban ZIP codes</w:t>
            </w:r>
          </w:p>
        </w:tc>
        <w:tc>
          <w:tcPr>
            <w:tcW w:w="975" w:type="dxa"/>
            <w:noWrap/>
            <w:vAlign w:val="center"/>
            <w:hideMark/>
          </w:tcPr>
          <w:p w14:paraId="139E869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Age (65+); no other demographics directly analyzed</w:t>
            </w:r>
          </w:p>
        </w:tc>
        <w:tc>
          <w:tcPr>
            <w:tcW w:w="975" w:type="dxa"/>
            <w:noWrap/>
            <w:vAlign w:val="center"/>
            <w:hideMark/>
          </w:tcPr>
          <w:p w14:paraId="439E39A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directly assessed; rurality used as geographic proxy</w:t>
            </w:r>
          </w:p>
        </w:tc>
        <w:tc>
          <w:tcPr>
            <w:tcW w:w="1009" w:type="dxa"/>
            <w:noWrap/>
            <w:vAlign w:val="center"/>
            <w:hideMark/>
          </w:tcPr>
          <w:p w14:paraId="2815A91C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Wildfire-specific PM2.5 exposure at ZIP-level (10 km × 10 km), temperature, humidity</w:t>
            </w:r>
          </w:p>
        </w:tc>
        <w:tc>
          <w:tcPr>
            <w:tcW w:w="1313" w:type="dxa"/>
            <w:noWrap/>
            <w:vAlign w:val="center"/>
            <w:hideMark/>
          </w:tcPr>
          <w:p w14:paraId="620565EB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included</w:t>
            </w:r>
          </w:p>
        </w:tc>
        <w:tc>
          <w:tcPr>
            <w:tcW w:w="1551" w:type="dxa"/>
            <w:noWrap/>
            <w:vAlign w:val="center"/>
            <w:hideMark/>
          </w:tcPr>
          <w:p w14:paraId="0423E4E8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specifically modeled; cause-specific diagnoses used as outcome</w:t>
            </w:r>
          </w:p>
        </w:tc>
        <w:tc>
          <w:tcPr>
            <w:tcW w:w="1087" w:type="dxa"/>
            <w:noWrap/>
            <w:vAlign w:val="center"/>
            <w:hideMark/>
          </w:tcPr>
          <w:p w14:paraId="7011476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Indirect – through emergency vs. non-emergency admission patterns</w:t>
            </w:r>
          </w:p>
        </w:tc>
        <w:tc>
          <w:tcPr>
            <w:tcW w:w="1023" w:type="dxa"/>
            <w:noWrap/>
            <w:vAlign w:val="center"/>
            <w:hideMark/>
          </w:tcPr>
          <w:p w14:paraId="61ED6AA6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Not assessed</w:t>
            </w:r>
          </w:p>
        </w:tc>
        <w:tc>
          <w:tcPr>
            <w:tcW w:w="1132" w:type="dxa"/>
            <w:noWrap/>
            <w:vAlign w:val="center"/>
            <w:hideMark/>
          </w:tcPr>
          <w:p w14:paraId="6C214489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Cause-specific acute hospitalization</w:t>
            </w:r>
          </w:p>
        </w:tc>
        <w:tc>
          <w:tcPr>
            <w:tcW w:w="1350" w:type="dxa"/>
            <w:noWrap/>
            <w:vAlign w:val="center"/>
            <w:hideMark/>
          </w:tcPr>
          <w:p w14:paraId="534F1AA1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No intervention tested; policy implications discussed</w:t>
            </w:r>
          </w:p>
        </w:tc>
        <w:tc>
          <w:tcPr>
            <w:tcW w:w="1040" w:type="dxa"/>
            <w:noWrap/>
            <w:vAlign w:val="center"/>
            <w:hideMark/>
          </w:tcPr>
          <w:p w14:paraId="1CBD6AD5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Time-stratified bidirectional case-crossover, DLNM, conditional logistic regression</w:t>
            </w:r>
          </w:p>
        </w:tc>
        <w:tc>
          <w:tcPr>
            <w:tcW w:w="1314" w:type="dxa"/>
            <w:noWrap/>
            <w:vAlign w:val="center"/>
            <w:hideMark/>
          </w:tcPr>
          <w:p w14:paraId="29B826C7" w14:textId="77777777" w:rsidR="00510957" w:rsidRPr="00510957" w:rsidRDefault="00510957" w:rsidP="0051095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10957">
              <w:rPr>
                <w:rFonts w:ascii="Calibri" w:hAnsi="Calibri" w:cs="Calibri"/>
                <w:sz w:val="18"/>
                <w:szCs w:val="18"/>
              </w:rPr>
              <w:t>Claims data may miss subclinical outcomes; exposure misclassification possible; no direct social or clinical severity measures</w:t>
            </w:r>
          </w:p>
        </w:tc>
      </w:tr>
    </w:tbl>
    <w:p w14:paraId="53F8C4A1" w14:textId="77777777" w:rsidR="00541036" w:rsidRPr="00510957" w:rsidRDefault="00541036" w:rsidP="00801042">
      <w:pPr>
        <w:rPr>
          <w:rFonts w:ascii="Calibri" w:hAnsi="Calibri" w:cs="Calibri"/>
          <w:sz w:val="18"/>
          <w:szCs w:val="18"/>
        </w:rPr>
      </w:pPr>
    </w:p>
    <w:sectPr w:rsidR="00541036" w:rsidRPr="00510957" w:rsidSect="00510957">
      <w:footerReference w:type="default" r:id="rId40"/>
      <w:pgSz w:w="28800" w:h="16834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852C3" w14:textId="77777777" w:rsidR="003C2E27" w:rsidRDefault="003C2E27" w:rsidP="00654A36">
      <w:pPr>
        <w:spacing w:after="0" w:line="240" w:lineRule="auto"/>
      </w:pPr>
      <w:r>
        <w:separator/>
      </w:r>
    </w:p>
  </w:endnote>
  <w:endnote w:type="continuationSeparator" w:id="0">
    <w:p w14:paraId="09CFEDE9" w14:textId="77777777" w:rsidR="003C2E27" w:rsidRDefault="003C2E27" w:rsidP="00654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8880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DA95EA" w14:textId="452C037D" w:rsidR="00654A36" w:rsidRDefault="00654A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A60E5B" w14:textId="77777777" w:rsidR="00654A36" w:rsidRDefault="00654A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7300B" w14:textId="77777777" w:rsidR="003C2E27" w:rsidRDefault="003C2E27" w:rsidP="00654A36">
      <w:pPr>
        <w:spacing w:after="0" w:line="240" w:lineRule="auto"/>
      </w:pPr>
      <w:r>
        <w:separator/>
      </w:r>
    </w:p>
  </w:footnote>
  <w:footnote w:type="continuationSeparator" w:id="0">
    <w:p w14:paraId="1A8C2882" w14:textId="77777777" w:rsidR="003C2E27" w:rsidRDefault="003C2E27" w:rsidP="00654A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042"/>
    <w:rsid w:val="000569AD"/>
    <w:rsid w:val="00066333"/>
    <w:rsid w:val="00094359"/>
    <w:rsid w:val="000A3F1E"/>
    <w:rsid w:val="000F7A73"/>
    <w:rsid w:val="001A57A2"/>
    <w:rsid w:val="003040F9"/>
    <w:rsid w:val="00392A87"/>
    <w:rsid w:val="003C2E27"/>
    <w:rsid w:val="00483029"/>
    <w:rsid w:val="00510957"/>
    <w:rsid w:val="00541036"/>
    <w:rsid w:val="005567E2"/>
    <w:rsid w:val="005779D2"/>
    <w:rsid w:val="00620F8C"/>
    <w:rsid w:val="00654A36"/>
    <w:rsid w:val="006C4E55"/>
    <w:rsid w:val="006C5DD3"/>
    <w:rsid w:val="00801042"/>
    <w:rsid w:val="0080644C"/>
    <w:rsid w:val="009971CF"/>
    <w:rsid w:val="00A71B7D"/>
    <w:rsid w:val="00AC493F"/>
    <w:rsid w:val="00B638CF"/>
    <w:rsid w:val="00B64A5B"/>
    <w:rsid w:val="00BB51B5"/>
    <w:rsid w:val="00C530C8"/>
    <w:rsid w:val="00DD3BD7"/>
    <w:rsid w:val="00EC7FA2"/>
    <w:rsid w:val="00F22F46"/>
    <w:rsid w:val="18EE0471"/>
    <w:rsid w:val="21F7EC18"/>
    <w:rsid w:val="220B0B76"/>
    <w:rsid w:val="27A453F1"/>
    <w:rsid w:val="2BB558C2"/>
    <w:rsid w:val="3C4CB30B"/>
    <w:rsid w:val="3F37968F"/>
    <w:rsid w:val="440F9173"/>
    <w:rsid w:val="555E9B40"/>
    <w:rsid w:val="5C2D4F1A"/>
    <w:rsid w:val="5D4C2EE2"/>
    <w:rsid w:val="5FAF426C"/>
    <w:rsid w:val="6ACC3863"/>
    <w:rsid w:val="6FE6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FC68E"/>
  <w15:chartTrackingRefBased/>
  <w15:docId w15:val="{68C294FF-E0E5-4FD2-8D42-0F36452C8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1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0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0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1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1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1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0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1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04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1042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1042"/>
    <w:rPr>
      <w:color w:val="96607D"/>
      <w:u w:val="single"/>
    </w:rPr>
  </w:style>
  <w:style w:type="paragraph" w:customStyle="1" w:styleId="msonormal0">
    <w:name w:val="msonormal"/>
    <w:basedOn w:val="Normal"/>
    <w:rsid w:val="00801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51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paragraph" w:customStyle="1" w:styleId="xl66">
    <w:name w:val="xl66"/>
    <w:basedOn w:val="Normal"/>
    <w:rsid w:val="0051095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51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table" w:styleId="TableGrid">
    <w:name w:val="Table Grid"/>
    <w:basedOn w:val="TableNormal"/>
    <w:uiPriority w:val="39"/>
    <w:rsid w:val="00510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92A8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54A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4A36"/>
  </w:style>
  <w:style w:type="paragraph" w:styleId="Footer">
    <w:name w:val="footer"/>
    <w:basedOn w:val="Normal"/>
    <w:link w:val="FooterChar"/>
    <w:uiPriority w:val="99"/>
    <w:unhideWhenUsed/>
    <w:rsid w:val="00654A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3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ypmed.2022.107223" TargetMode="External"/><Relationship Id="rId18" Type="http://schemas.openxmlformats.org/officeDocument/2006/relationships/hyperlink" Target="https://doi.org/10.1001/jamanetworkopen.2024.37247" TargetMode="External"/><Relationship Id="rId26" Type="http://schemas.openxmlformats.org/officeDocument/2006/relationships/hyperlink" Target="https://doi.org/10.1002/alz.13139" TargetMode="External"/><Relationship Id="rId39" Type="http://schemas.openxmlformats.org/officeDocument/2006/relationships/hyperlink" Target="https://doi.org/10.3390/fire8030097" TargetMode="External"/><Relationship Id="rId21" Type="http://schemas.openxmlformats.org/officeDocument/2006/relationships/hyperlink" Target="https://doi.org/10.1089/jpm.2023.0583" TargetMode="External"/><Relationship Id="rId34" Type="http://schemas.openxmlformats.org/officeDocument/2006/relationships/hyperlink" Target="https://doi.org/10.1111/j.1532-5415.2001.49267.x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doi.org/10.1016/j.jamda.2024.10515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16/j.jalz.2016.04.002" TargetMode="External"/><Relationship Id="rId20" Type="http://schemas.openxmlformats.org/officeDocument/2006/relationships/hyperlink" Target="https://doi.org/10.1080/01621424.2023.2206368" TargetMode="External"/><Relationship Id="rId29" Type="http://schemas.openxmlformats.org/officeDocument/2006/relationships/hyperlink" Target="https://doi.org/10.1111/jgs.18311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i.org/10.1111/j.1532-5415.2006.00824.x" TargetMode="External"/><Relationship Id="rId24" Type="http://schemas.openxmlformats.org/officeDocument/2006/relationships/hyperlink" Target="https://doi.org/10.1016/j.jpainsymman.2007.03.007" TargetMode="External"/><Relationship Id="rId32" Type="http://schemas.openxmlformats.org/officeDocument/2006/relationships/hyperlink" Target="https://doi.org/10.1089/jpm.2018.0147" TargetMode="External"/><Relationship Id="rId37" Type="http://schemas.openxmlformats.org/officeDocument/2006/relationships/hyperlink" Target="https://doi.org/10.3233/jad-200491" TargetMode="External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doi.org/10.1111/jgs.18166" TargetMode="External"/><Relationship Id="rId23" Type="http://schemas.openxmlformats.org/officeDocument/2006/relationships/hyperlink" Target="https://doi.org/10.1097/mlr.0000000000002016" TargetMode="External"/><Relationship Id="rId28" Type="http://schemas.openxmlformats.org/officeDocument/2006/relationships/hyperlink" Target="https://doi.org/10.6890/IJGE.202101_15(1).0010" TargetMode="External"/><Relationship Id="rId36" Type="http://schemas.openxmlformats.org/officeDocument/2006/relationships/hyperlink" Target="https://doi.org/10.1001/jamanetworkopen.2020.22111" TargetMode="External"/><Relationship Id="rId10" Type="http://schemas.openxmlformats.org/officeDocument/2006/relationships/hyperlink" Target="https://doi.org/10.1111/j.1748-0361.2010.00276.x" TargetMode="External"/><Relationship Id="rId19" Type="http://schemas.openxmlformats.org/officeDocument/2006/relationships/hyperlink" Target="https://doi.org/10.1016/j.jamda.2024.105438" TargetMode="External"/><Relationship Id="rId31" Type="http://schemas.openxmlformats.org/officeDocument/2006/relationships/hyperlink" Target="https://doi.org/10.1111/jgs.192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9/tmj.2024.0119" TargetMode="External"/><Relationship Id="rId14" Type="http://schemas.openxmlformats.org/officeDocument/2006/relationships/hyperlink" Target="https://doi.org/10.1002/alz.70064" TargetMode="External"/><Relationship Id="rId22" Type="http://schemas.openxmlformats.org/officeDocument/2006/relationships/hyperlink" Target="https://doi.org/10.3233/jad-240528" TargetMode="External"/><Relationship Id="rId27" Type="http://schemas.openxmlformats.org/officeDocument/2006/relationships/hyperlink" Target="https://doi.org/10.1111/jgs.15494" TargetMode="External"/><Relationship Id="rId30" Type="http://schemas.openxmlformats.org/officeDocument/2006/relationships/hyperlink" Target="https://doi.org/10.1111/jrh.12872" TargetMode="External"/><Relationship Id="rId35" Type="http://schemas.openxmlformats.org/officeDocument/2006/relationships/hyperlink" Target="https://doi.org/10.3390/ijerph17155454" TargetMode="External"/><Relationship Id="rId8" Type="http://schemas.openxmlformats.org/officeDocument/2006/relationships/hyperlink" Target="https://doi.org/10.1111/1475-6773.12867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002/alz.12285" TargetMode="External"/><Relationship Id="rId17" Type="http://schemas.openxmlformats.org/officeDocument/2006/relationships/hyperlink" Target="https://doi.org/10.3233/jad-221168" TargetMode="External"/><Relationship Id="rId25" Type="http://schemas.openxmlformats.org/officeDocument/2006/relationships/hyperlink" Target="https://doi.org/10.1111/jgs.15985" TargetMode="External"/><Relationship Id="rId33" Type="http://schemas.openxmlformats.org/officeDocument/2006/relationships/hyperlink" Target="https://doi.org/10.3233/jad-210240" TargetMode="External"/><Relationship Id="rId38" Type="http://schemas.openxmlformats.org/officeDocument/2006/relationships/hyperlink" Target="https://doi.org/10.1111/1475-6773.142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60D11-3D4D-4AA1-808C-94408369D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7127</Words>
  <Characters>40629</Characters>
  <Application>Microsoft Office Word</Application>
  <DocSecurity>0</DocSecurity>
  <Lines>338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Nima Kianfar</dc:creator>
  <cp:keywords/>
  <dc:description/>
  <cp:lastModifiedBy>Nima Kianfar</cp:lastModifiedBy>
  <cp:revision>8</cp:revision>
  <dcterms:created xsi:type="dcterms:W3CDTF">2025-09-05T15:26:00Z</dcterms:created>
  <dcterms:modified xsi:type="dcterms:W3CDTF">2025-09-08T16:27:00Z</dcterms:modified>
</cp:coreProperties>
</file>