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558414" w14:textId="36DAD114" w:rsidR="001F2CBA" w:rsidRDefault="001F2CBA" w:rsidP="001F2CBA">
      <w:pPr>
        <w:spacing w:line="240" w:lineRule="auto"/>
        <w:jc w:val="both"/>
        <w:rPr>
          <w:rFonts w:ascii="Times New Roman" w:hAnsi="Times New Roman" w:cs="Times New Roman"/>
          <w:color w:val="000000"/>
          <w:sz w:val="24"/>
          <w:szCs w:val="24"/>
          <w:shd w:val="clear" w:color="auto" w:fill="FFFFFF"/>
        </w:rPr>
      </w:pPr>
    </w:p>
    <w:tbl>
      <w:tblPr>
        <w:tblStyle w:val="TableGrid"/>
        <w:tblpPr w:leftFromText="180" w:rightFromText="180" w:vertAnchor="text" w:horzAnchor="page" w:tblpX="511" w:tblpY="746"/>
        <w:tblW w:w="11318" w:type="dxa"/>
        <w:tblLayout w:type="fixed"/>
        <w:tblLook w:val="04A0" w:firstRow="1" w:lastRow="0" w:firstColumn="1" w:lastColumn="0" w:noHBand="0" w:noVBand="1"/>
      </w:tblPr>
      <w:tblGrid>
        <w:gridCol w:w="360"/>
        <w:gridCol w:w="378"/>
        <w:gridCol w:w="363"/>
        <w:gridCol w:w="267"/>
        <w:gridCol w:w="319"/>
        <w:gridCol w:w="293"/>
        <w:gridCol w:w="288"/>
        <w:gridCol w:w="360"/>
        <w:gridCol w:w="360"/>
        <w:gridCol w:w="360"/>
        <w:gridCol w:w="360"/>
        <w:gridCol w:w="360"/>
        <w:gridCol w:w="360"/>
        <w:gridCol w:w="360"/>
        <w:gridCol w:w="360"/>
        <w:gridCol w:w="410"/>
        <w:gridCol w:w="310"/>
        <w:gridCol w:w="360"/>
        <w:gridCol w:w="320"/>
        <w:gridCol w:w="360"/>
        <w:gridCol w:w="360"/>
        <w:gridCol w:w="450"/>
        <w:gridCol w:w="360"/>
        <w:gridCol w:w="360"/>
        <w:gridCol w:w="360"/>
        <w:gridCol w:w="360"/>
        <w:gridCol w:w="360"/>
        <w:gridCol w:w="360"/>
        <w:gridCol w:w="360"/>
        <w:gridCol w:w="360"/>
        <w:gridCol w:w="360"/>
        <w:gridCol w:w="360"/>
      </w:tblGrid>
      <w:tr w:rsidR="001F2CBA" w:rsidRPr="00210C2D" w14:paraId="59CD431F" w14:textId="77777777" w:rsidTr="007E1F10">
        <w:trPr>
          <w:cantSplit/>
          <w:trHeight w:val="1008"/>
        </w:trPr>
        <w:tc>
          <w:tcPr>
            <w:tcW w:w="360" w:type="dxa"/>
            <w:textDirection w:val="btLr"/>
            <w:hideMark/>
          </w:tcPr>
          <w:p w14:paraId="55B8DCEA"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Pevalence of mortality among malnurished patients </w:t>
            </w:r>
          </w:p>
        </w:tc>
        <w:tc>
          <w:tcPr>
            <w:tcW w:w="378" w:type="dxa"/>
            <w:noWrap/>
            <w:textDirection w:val="btLr"/>
            <w:hideMark/>
          </w:tcPr>
          <w:p w14:paraId="2FFFDB58"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41.5</w:t>
            </w:r>
          </w:p>
        </w:tc>
        <w:tc>
          <w:tcPr>
            <w:tcW w:w="363" w:type="dxa"/>
            <w:noWrap/>
            <w:textDirection w:val="btLr"/>
            <w:hideMark/>
          </w:tcPr>
          <w:p w14:paraId="058E8CC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64</w:t>
            </w:r>
          </w:p>
        </w:tc>
        <w:tc>
          <w:tcPr>
            <w:tcW w:w="267" w:type="dxa"/>
            <w:noWrap/>
            <w:textDirection w:val="btLr"/>
            <w:hideMark/>
          </w:tcPr>
          <w:p w14:paraId="48BA43B1"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19</w:t>
            </w:r>
          </w:p>
        </w:tc>
        <w:tc>
          <w:tcPr>
            <w:tcW w:w="319" w:type="dxa"/>
            <w:noWrap/>
            <w:textDirection w:val="btLr"/>
            <w:hideMark/>
          </w:tcPr>
          <w:p w14:paraId="2CC3C202"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33</w:t>
            </w:r>
          </w:p>
        </w:tc>
        <w:tc>
          <w:tcPr>
            <w:tcW w:w="293" w:type="dxa"/>
            <w:noWrap/>
            <w:textDirection w:val="btLr"/>
            <w:hideMark/>
          </w:tcPr>
          <w:p w14:paraId="6CF67EFF" w14:textId="77777777" w:rsidR="001F2CBA" w:rsidRPr="00210C2D" w:rsidRDefault="001F2CBA" w:rsidP="007E1F10">
            <w:pPr>
              <w:jc w:val="both"/>
              <w:rPr>
                <w:rFonts w:ascii="Times New Roman" w:hAnsi="Times New Roman" w:cs="Times New Roman"/>
                <w:sz w:val="24"/>
                <w:szCs w:val="24"/>
              </w:rPr>
            </w:pPr>
            <w:r>
              <w:rPr>
                <w:rFonts w:ascii="Times New Roman" w:hAnsi="Times New Roman" w:cs="Times New Roman"/>
                <w:sz w:val="24"/>
                <w:szCs w:val="24"/>
              </w:rPr>
              <w:t>NA</w:t>
            </w:r>
          </w:p>
        </w:tc>
        <w:tc>
          <w:tcPr>
            <w:tcW w:w="288" w:type="dxa"/>
            <w:noWrap/>
            <w:textDirection w:val="btLr"/>
            <w:hideMark/>
          </w:tcPr>
          <w:p w14:paraId="4772E64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23</w:t>
            </w:r>
          </w:p>
        </w:tc>
        <w:tc>
          <w:tcPr>
            <w:tcW w:w="360" w:type="dxa"/>
            <w:noWrap/>
            <w:textDirection w:val="btLr"/>
            <w:hideMark/>
          </w:tcPr>
          <w:p w14:paraId="1DF95CDB"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23</w:t>
            </w:r>
          </w:p>
        </w:tc>
        <w:tc>
          <w:tcPr>
            <w:tcW w:w="360" w:type="dxa"/>
            <w:noWrap/>
            <w:textDirection w:val="btLr"/>
            <w:hideMark/>
          </w:tcPr>
          <w:p w14:paraId="026C0B57" w14:textId="77777777" w:rsidR="001F2CBA" w:rsidRPr="00210C2D" w:rsidRDefault="001F2CBA" w:rsidP="007E1F10">
            <w:pPr>
              <w:jc w:val="both"/>
              <w:rPr>
                <w:rFonts w:ascii="Times New Roman" w:hAnsi="Times New Roman" w:cs="Times New Roman"/>
                <w:sz w:val="24"/>
                <w:szCs w:val="24"/>
              </w:rPr>
            </w:pPr>
            <w:r>
              <w:rPr>
                <w:rFonts w:ascii="Times New Roman" w:hAnsi="Times New Roman" w:cs="Times New Roman"/>
                <w:sz w:val="24"/>
                <w:szCs w:val="24"/>
              </w:rPr>
              <w:t xml:space="preserve">NA </w:t>
            </w:r>
          </w:p>
        </w:tc>
        <w:tc>
          <w:tcPr>
            <w:tcW w:w="360" w:type="dxa"/>
            <w:noWrap/>
            <w:textDirection w:val="btLr"/>
            <w:hideMark/>
          </w:tcPr>
          <w:p w14:paraId="05FBAA8D"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20.3</w:t>
            </w:r>
          </w:p>
        </w:tc>
        <w:tc>
          <w:tcPr>
            <w:tcW w:w="360" w:type="dxa"/>
            <w:noWrap/>
            <w:textDirection w:val="btLr"/>
            <w:hideMark/>
          </w:tcPr>
          <w:p w14:paraId="22CAA191"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18.9</w:t>
            </w:r>
          </w:p>
        </w:tc>
        <w:tc>
          <w:tcPr>
            <w:tcW w:w="360" w:type="dxa"/>
            <w:noWrap/>
            <w:textDirection w:val="btLr"/>
            <w:hideMark/>
          </w:tcPr>
          <w:p w14:paraId="52A506F1"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12</w:t>
            </w:r>
          </w:p>
        </w:tc>
        <w:tc>
          <w:tcPr>
            <w:tcW w:w="360" w:type="dxa"/>
            <w:noWrap/>
            <w:textDirection w:val="btLr"/>
            <w:hideMark/>
          </w:tcPr>
          <w:p w14:paraId="20081CE3"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29.6</w:t>
            </w:r>
          </w:p>
        </w:tc>
        <w:tc>
          <w:tcPr>
            <w:tcW w:w="360" w:type="dxa"/>
            <w:noWrap/>
            <w:textDirection w:val="btLr"/>
            <w:hideMark/>
          </w:tcPr>
          <w:p w14:paraId="7248FDA3"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66</w:t>
            </w:r>
          </w:p>
        </w:tc>
        <w:tc>
          <w:tcPr>
            <w:tcW w:w="360" w:type="dxa"/>
            <w:noWrap/>
            <w:textDirection w:val="btLr"/>
            <w:hideMark/>
          </w:tcPr>
          <w:p w14:paraId="753759DC"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28.20</w:t>
            </w:r>
          </w:p>
        </w:tc>
        <w:tc>
          <w:tcPr>
            <w:tcW w:w="410" w:type="dxa"/>
            <w:noWrap/>
            <w:textDirection w:val="btLr"/>
            <w:hideMark/>
          </w:tcPr>
          <w:p w14:paraId="677F52AB"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7.4</w:t>
            </w:r>
          </w:p>
        </w:tc>
        <w:tc>
          <w:tcPr>
            <w:tcW w:w="310" w:type="dxa"/>
            <w:noWrap/>
            <w:textDirection w:val="btLr"/>
            <w:hideMark/>
          </w:tcPr>
          <w:p w14:paraId="1A934CCE"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13.33</w:t>
            </w:r>
          </w:p>
        </w:tc>
        <w:tc>
          <w:tcPr>
            <w:tcW w:w="360" w:type="dxa"/>
            <w:noWrap/>
            <w:textDirection w:val="btLr"/>
            <w:hideMark/>
          </w:tcPr>
          <w:p w14:paraId="1FF636C8"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59.1</w:t>
            </w:r>
          </w:p>
        </w:tc>
        <w:tc>
          <w:tcPr>
            <w:tcW w:w="320" w:type="dxa"/>
            <w:noWrap/>
            <w:textDirection w:val="btLr"/>
            <w:hideMark/>
          </w:tcPr>
          <w:p w14:paraId="43A0561F"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24.5</w:t>
            </w:r>
          </w:p>
        </w:tc>
        <w:tc>
          <w:tcPr>
            <w:tcW w:w="360" w:type="dxa"/>
            <w:noWrap/>
            <w:textDirection w:val="btLr"/>
            <w:hideMark/>
          </w:tcPr>
          <w:p w14:paraId="7914B75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9</w:t>
            </w:r>
          </w:p>
        </w:tc>
        <w:tc>
          <w:tcPr>
            <w:tcW w:w="360" w:type="dxa"/>
            <w:noWrap/>
            <w:textDirection w:val="btLr"/>
            <w:hideMark/>
          </w:tcPr>
          <w:p w14:paraId="2ACA0A1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NA </w:t>
            </w:r>
          </w:p>
        </w:tc>
        <w:tc>
          <w:tcPr>
            <w:tcW w:w="450" w:type="dxa"/>
            <w:noWrap/>
            <w:textDirection w:val="btLr"/>
            <w:hideMark/>
          </w:tcPr>
          <w:p w14:paraId="23F15EC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24.2</w:t>
            </w:r>
          </w:p>
        </w:tc>
        <w:tc>
          <w:tcPr>
            <w:tcW w:w="360" w:type="dxa"/>
            <w:noWrap/>
            <w:textDirection w:val="btLr"/>
            <w:hideMark/>
          </w:tcPr>
          <w:p w14:paraId="7DCDFD5D"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24.7</w:t>
            </w:r>
          </w:p>
        </w:tc>
        <w:tc>
          <w:tcPr>
            <w:tcW w:w="360" w:type="dxa"/>
            <w:noWrap/>
            <w:textDirection w:val="btLr"/>
            <w:hideMark/>
          </w:tcPr>
          <w:p w14:paraId="627DC96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35.3</w:t>
            </w:r>
          </w:p>
        </w:tc>
        <w:tc>
          <w:tcPr>
            <w:tcW w:w="360" w:type="dxa"/>
            <w:noWrap/>
            <w:textDirection w:val="btLr"/>
            <w:hideMark/>
          </w:tcPr>
          <w:p w14:paraId="0EA44E8F"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30</w:t>
            </w:r>
          </w:p>
        </w:tc>
        <w:tc>
          <w:tcPr>
            <w:tcW w:w="360" w:type="dxa"/>
            <w:noWrap/>
            <w:textDirection w:val="btLr"/>
            <w:hideMark/>
          </w:tcPr>
          <w:p w14:paraId="50668B21"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26.6</w:t>
            </w:r>
          </w:p>
        </w:tc>
        <w:tc>
          <w:tcPr>
            <w:tcW w:w="360" w:type="dxa"/>
            <w:noWrap/>
            <w:textDirection w:val="btLr"/>
            <w:hideMark/>
          </w:tcPr>
          <w:p w14:paraId="08F46043"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31.5</w:t>
            </w:r>
          </w:p>
        </w:tc>
        <w:tc>
          <w:tcPr>
            <w:tcW w:w="360" w:type="dxa"/>
            <w:noWrap/>
            <w:textDirection w:val="btLr"/>
            <w:hideMark/>
          </w:tcPr>
          <w:p w14:paraId="221D93B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38.8</w:t>
            </w:r>
          </w:p>
        </w:tc>
        <w:tc>
          <w:tcPr>
            <w:tcW w:w="360" w:type="dxa"/>
            <w:noWrap/>
            <w:textDirection w:val="btLr"/>
            <w:hideMark/>
          </w:tcPr>
          <w:p w14:paraId="63B81E0E"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37.9</w:t>
            </w:r>
          </w:p>
        </w:tc>
        <w:tc>
          <w:tcPr>
            <w:tcW w:w="360" w:type="dxa"/>
            <w:noWrap/>
            <w:textDirection w:val="btLr"/>
            <w:hideMark/>
          </w:tcPr>
          <w:p w14:paraId="2965EBBC"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33.2</w:t>
            </w:r>
          </w:p>
        </w:tc>
        <w:tc>
          <w:tcPr>
            <w:tcW w:w="360" w:type="dxa"/>
            <w:noWrap/>
            <w:textDirection w:val="btLr"/>
            <w:hideMark/>
          </w:tcPr>
          <w:p w14:paraId="46114D4F"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NA </w:t>
            </w:r>
          </w:p>
        </w:tc>
        <w:tc>
          <w:tcPr>
            <w:tcW w:w="360" w:type="dxa"/>
            <w:noWrap/>
            <w:textDirection w:val="btLr"/>
            <w:hideMark/>
          </w:tcPr>
          <w:p w14:paraId="20CFAA8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49.2</w:t>
            </w:r>
          </w:p>
        </w:tc>
      </w:tr>
      <w:tr w:rsidR="001F2CBA" w:rsidRPr="00210C2D" w14:paraId="5B38305D" w14:textId="77777777" w:rsidTr="007E1F10">
        <w:trPr>
          <w:trHeight w:val="1008"/>
        </w:trPr>
        <w:tc>
          <w:tcPr>
            <w:tcW w:w="360" w:type="dxa"/>
            <w:textDirection w:val="btLr"/>
            <w:hideMark/>
          </w:tcPr>
          <w:p w14:paraId="3294ECCE"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Length of stay in icu among malnurished patients (mean)</w:t>
            </w:r>
          </w:p>
        </w:tc>
        <w:tc>
          <w:tcPr>
            <w:tcW w:w="378" w:type="dxa"/>
            <w:noWrap/>
            <w:textDirection w:val="btLr"/>
            <w:hideMark/>
          </w:tcPr>
          <w:p w14:paraId="164D6DEF"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w:t>
            </w:r>
          </w:p>
        </w:tc>
        <w:tc>
          <w:tcPr>
            <w:tcW w:w="363" w:type="dxa"/>
            <w:noWrap/>
            <w:textDirection w:val="btLr"/>
            <w:hideMark/>
          </w:tcPr>
          <w:p w14:paraId="337F2E2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7</w:t>
            </w:r>
          </w:p>
        </w:tc>
        <w:tc>
          <w:tcPr>
            <w:tcW w:w="267" w:type="dxa"/>
            <w:noWrap/>
            <w:textDirection w:val="btLr"/>
            <w:hideMark/>
          </w:tcPr>
          <w:p w14:paraId="311AA78C"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9</w:t>
            </w:r>
          </w:p>
        </w:tc>
        <w:tc>
          <w:tcPr>
            <w:tcW w:w="319" w:type="dxa"/>
            <w:noWrap/>
            <w:textDirection w:val="btLr"/>
            <w:hideMark/>
          </w:tcPr>
          <w:p w14:paraId="669A78BA"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8</w:t>
            </w:r>
          </w:p>
        </w:tc>
        <w:tc>
          <w:tcPr>
            <w:tcW w:w="293" w:type="dxa"/>
            <w:noWrap/>
            <w:textDirection w:val="btLr"/>
            <w:hideMark/>
          </w:tcPr>
          <w:p w14:paraId="4F1673BA" w14:textId="77777777" w:rsidR="001F2CBA" w:rsidRPr="00210C2D" w:rsidRDefault="001F2CBA" w:rsidP="007E1F10">
            <w:pPr>
              <w:jc w:val="both"/>
              <w:rPr>
                <w:rFonts w:ascii="Times New Roman" w:hAnsi="Times New Roman" w:cs="Times New Roman"/>
                <w:sz w:val="24"/>
                <w:szCs w:val="24"/>
              </w:rPr>
            </w:pPr>
          </w:p>
        </w:tc>
        <w:tc>
          <w:tcPr>
            <w:tcW w:w="288" w:type="dxa"/>
            <w:noWrap/>
            <w:textDirection w:val="btLr"/>
            <w:hideMark/>
          </w:tcPr>
          <w:p w14:paraId="2B627F9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22.2</w:t>
            </w:r>
          </w:p>
        </w:tc>
        <w:tc>
          <w:tcPr>
            <w:tcW w:w="360" w:type="dxa"/>
            <w:noWrap/>
            <w:textDirection w:val="btLr"/>
            <w:hideMark/>
          </w:tcPr>
          <w:p w14:paraId="7CC56F3C"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4.1</w:t>
            </w:r>
          </w:p>
        </w:tc>
        <w:tc>
          <w:tcPr>
            <w:tcW w:w="360" w:type="dxa"/>
            <w:noWrap/>
            <w:textDirection w:val="btLr"/>
            <w:hideMark/>
          </w:tcPr>
          <w:p w14:paraId="3D495785"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NA </w:t>
            </w:r>
          </w:p>
        </w:tc>
        <w:tc>
          <w:tcPr>
            <w:tcW w:w="360" w:type="dxa"/>
            <w:noWrap/>
            <w:textDirection w:val="btLr"/>
            <w:hideMark/>
          </w:tcPr>
          <w:p w14:paraId="41AF5392"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9</w:t>
            </w:r>
          </w:p>
        </w:tc>
        <w:tc>
          <w:tcPr>
            <w:tcW w:w="360" w:type="dxa"/>
            <w:noWrap/>
            <w:textDirection w:val="btLr"/>
            <w:hideMark/>
          </w:tcPr>
          <w:p w14:paraId="7E25E21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NA </w:t>
            </w:r>
          </w:p>
        </w:tc>
        <w:tc>
          <w:tcPr>
            <w:tcW w:w="360" w:type="dxa"/>
            <w:noWrap/>
            <w:textDirection w:val="btLr"/>
            <w:hideMark/>
          </w:tcPr>
          <w:p w14:paraId="0E5FE60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5.4</w:t>
            </w:r>
          </w:p>
        </w:tc>
        <w:tc>
          <w:tcPr>
            <w:tcW w:w="360" w:type="dxa"/>
            <w:noWrap/>
            <w:textDirection w:val="btLr"/>
            <w:hideMark/>
          </w:tcPr>
          <w:p w14:paraId="1008414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13</w:t>
            </w:r>
          </w:p>
        </w:tc>
        <w:tc>
          <w:tcPr>
            <w:tcW w:w="360" w:type="dxa"/>
            <w:noWrap/>
            <w:textDirection w:val="btLr"/>
            <w:hideMark/>
          </w:tcPr>
          <w:p w14:paraId="27BD3D7A"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22.01</w:t>
            </w:r>
          </w:p>
        </w:tc>
        <w:tc>
          <w:tcPr>
            <w:tcW w:w="360" w:type="dxa"/>
            <w:noWrap/>
            <w:textDirection w:val="btLr"/>
            <w:hideMark/>
          </w:tcPr>
          <w:p w14:paraId="21EC2E6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7</w:t>
            </w:r>
          </w:p>
        </w:tc>
        <w:tc>
          <w:tcPr>
            <w:tcW w:w="410" w:type="dxa"/>
            <w:noWrap/>
            <w:textDirection w:val="btLr"/>
            <w:hideMark/>
          </w:tcPr>
          <w:p w14:paraId="7CBC673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10</w:t>
            </w:r>
          </w:p>
        </w:tc>
        <w:tc>
          <w:tcPr>
            <w:tcW w:w="310" w:type="dxa"/>
            <w:noWrap/>
            <w:textDirection w:val="btLr"/>
            <w:hideMark/>
          </w:tcPr>
          <w:p w14:paraId="62D0FF0C"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w:t>
            </w:r>
          </w:p>
        </w:tc>
        <w:tc>
          <w:tcPr>
            <w:tcW w:w="360" w:type="dxa"/>
            <w:noWrap/>
            <w:textDirection w:val="btLr"/>
            <w:hideMark/>
          </w:tcPr>
          <w:p w14:paraId="06D56D9E"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8.34</w:t>
            </w:r>
          </w:p>
        </w:tc>
        <w:tc>
          <w:tcPr>
            <w:tcW w:w="320" w:type="dxa"/>
            <w:noWrap/>
            <w:textDirection w:val="btLr"/>
            <w:hideMark/>
          </w:tcPr>
          <w:p w14:paraId="44DAFC5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17.04</w:t>
            </w:r>
          </w:p>
        </w:tc>
        <w:tc>
          <w:tcPr>
            <w:tcW w:w="360" w:type="dxa"/>
            <w:noWrap/>
            <w:textDirection w:val="btLr"/>
            <w:hideMark/>
          </w:tcPr>
          <w:p w14:paraId="200FB3C8"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4.8</w:t>
            </w:r>
          </w:p>
        </w:tc>
        <w:tc>
          <w:tcPr>
            <w:tcW w:w="360" w:type="dxa"/>
            <w:noWrap/>
            <w:textDirection w:val="btLr"/>
            <w:hideMark/>
          </w:tcPr>
          <w:p w14:paraId="1570C425"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15</w:t>
            </w:r>
          </w:p>
        </w:tc>
        <w:tc>
          <w:tcPr>
            <w:tcW w:w="450" w:type="dxa"/>
            <w:noWrap/>
            <w:textDirection w:val="btLr"/>
            <w:hideMark/>
          </w:tcPr>
          <w:p w14:paraId="222173AB"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18.8</w:t>
            </w:r>
          </w:p>
        </w:tc>
        <w:tc>
          <w:tcPr>
            <w:tcW w:w="360" w:type="dxa"/>
            <w:noWrap/>
            <w:textDirection w:val="btLr"/>
            <w:hideMark/>
          </w:tcPr>
          <w:p w14:paraId="785F31BF"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17.3</w:t>
            </w:r>
          </w:p>
        </w:tc>
        <w:tc>
          <w:tcPr>
            <w:tcW w:w="360" w:type="dxa"/>
            <w:noWrap/>
            <w:textDirection w:val="btLr"/>
            <w:hideMark/>
          </w:tcPr>
          <w:p w14:paraId="7704694A"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w:t>
            </w:r>
          </w:p>
        </w:tc>
        <w:tc>
          <w:tcPr>
            <w:tcW w:w="360" w:type="dxa"/>
            <w:noWrap/>
            <w:textDirection w:val="btLr"/>
            <w:hideMark/>
          </w:tcPr>
          <w:p w14:paraId="7F48344A"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15</w:t>
            </w:r>
          </w:p>
        </w:tc>
        <w:tc>
          <w:tcPr>
            <w:tcW w:w="360" w:type="dxa"/>
            <w:noWrap/>
            <w:textDirection w:val="btLr"/>
            <w:hideMark/>
          </w:tcPr>
          <w:p w14:paraId="100AF731"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NA </w:t>
            </w:r>
          </w:p>
        </w:tc>
        <w:tc>
          <w:tcPr>
            <w:tcW w:w="360" w:type="dxa"/>
            <w:noWrap/>
            <w:textDirection w:val="btLr"/>
            <w:hideMark/>
          </w:tcPr>
          <w:p w14:paraId="0FB9D378"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17.5</w:t>
            </w:r>
          </w:p>
        </w:tc>
        <w:tc>
          <w:tcPr>
            <w:tcW w:w="360" w:type="dxa"/>
            <w:noWrap/>
            <w:textDirection w:val="btLr"/>
            <w:hideMark/>
          </w:tcPr>
          <w:p w14:paraId="66F24CB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NA </w:t>
            </w:r>
          </w:p>
        </w:tc>
        <w:tc>
          <w:tcPr>
            <w:tcW w:w="360" w:type="dxa"/>
            <w:noWrap/>
            <w:textDirection w:val="btLr"/>
            <w:hideMark/>
          </w:tcPr>
          <w:p w14:paraId="7875726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9.9</w:t>
            </w:r>
          </w:p>
        </w:tc>
        <w:tc>
          <w:tcPr>
            <w:tcW w:w="360" w:type="dxa"/>
            <w:noWrap/>
            <w:textDirection w:val="btLr"/>
            <w:hideMark/>
          </w:tcPr>
          <w:p w14:paraId="4CB1B6AC"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NA </w:t>
            </w:r>
          </w:p>
        </w:tc>
        <w:tc>
          <w:tcPr>
            <w:tcW w:w="360" w:type="dxa"/>
            <w:noWrap/>
            <w:textDirection w:val="btLr"/>
            <w:hideMark/>
          </w:tcPr>
          <w:p w14:paraId="58B9D09B"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NA </w:t>
            </w:r>
          </w:p>
        </w:tc>
        <w:tc>
          <w:tcPr>
            <w:tcW w:w="360" w:type="dxa"/>
            <w:noWrap/>
            <w:textDirection w:val="btLr"/>
            <w:hideMark/>
          </w:tcPr>
          <w:p w14:paraId="6B84A84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18.2</w:t>
            </w:r>
          </w:p>
        </w:tc>
      </w:tr>
      <w:tr w:rsidR="001F2CBA" w:rsidRPr="00210C2D" w14:paraId="343B27FD" w14:textId="77777777" w:rsidTr="007E1F10">
        <w:trPr>
          <w:trHeight w:val="1008"/>
        </w:trPr>
        <w:tc>
          <w:tcPr>
            <w:tcW w:w="360" w:type="dxa"/>
            <w:textDirection w:val="btLr"/>
            <w:hideMark/>
          </w:tcPr>
          <w:p w14:paraId="15A43CC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severlymalnurished</w:t>
            </w:r>
          </w:p>
        </w:tc>
        <w:tc>
          <w:tcPr>
            <w:tcW w:w="378" w:type="dxa"/>
            <w:noWrap/>
            <w:textDirection w:val="btLr"/>
            <w:hideMark/>
          </w:tcPr>
          <w:p w14:paraId="58BC3B5D"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w:t>
            </w:r>
          </w:p>
        </w:tc>
        <w:tc>
          <w:tcPr>
            <w:tcW w:w="363" w:type="dxa"/>
            <w:noWrap/>
            <w:textDirection w:val="btLr"/>
            <w:hideMark/>
          </w:tcPr>
          <w:p w14:paraId="483E4AE8"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11</w:t>
            </w:r>
          </w:p>
        </w:tc>
        <w:tc>
          <w:tcPr>
            <w:tcW w:w="267" w:type="dxa"/>
            <w:noWrap/>
            <w:textDirection w:val="btLr"/>
            <w:hideMark/>
          </w:tcPr>
          <w:p w14:paraId="18CC843E"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11.4</w:t>
            </w:r>
          </w:p>
        </w:tc>
        <w:tc>
          <w:tcPr>
            <w:tcW w:w="319" w:type="dxa"/>
            <w:noWrap/>
            <w:textDirection w:val="btLr"/>
            <w:hideMark/>
          </w:tcPr>
          <w:p w14:paraId="78FA0FD1"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12.4</w:t>
            </w:r>
          </w:p>
        </w:tc>
        <w:tc>
          <w:tcPr>
            <w:tcW w:w="293" w:type="dxa"/>
            <w:noWrap/>
            <w:textDirection w:val="btLr"/>
            <w:hideMark/>
          </w:tcPr>
          <w:p w14:paraId="2C3DC83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15.4</w:t>
            </w:r>
          </w:p>
        </w:tc>
        <w:tc>
          <w:tcPr>
            <w:tcW w:w="288" w:type="dxa"/>
            <w:noWrap/>
            <w:textDirection w:val="btLr"/>
            <w:hideMark/>
          </w:tcPr>
          <w:p w14:paraId="59362F5B"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7.6</w:t>
            </w:r>
          </w:p>
        </w:tc>
        <w:tc>
          <w:tcPr>
            <w:tcW w:w="360" w:type="dxa"/>
            <w:noWrap/>
            <w:textDirection w:val="btLr"/>
            <w:hideMark/>
          </w:tcPr>
          <w:p w14:paraId="0EC3A64E"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w:t>
            </w:r>
          </w:p>
        </w:tc>
        <w:tc>
          <w:tcPr>
            <w:tcW w:w="360" w:type="dxa"/>
            <w:noWrap/>
            <w:textDirection w:val="btLr"/>
            <w:hideMark/>
          </w:tcPr>
          <w:p w14:paraId="02CFB59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24.1</w:t>
            </w:r>
          </w:p>
        </w:tc>
        <w:tc>
          <w:tcPr>
            <w:tcW w:w="360" w:type="dxa"/>
            <w:noWrap/>
            <w:textDirection w:val="btLr"/>
            <w:hideMark/>
          </w:tcPr>
          <w:p w14:paraId="757503C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24.4</w:t>
            </w:r>
          </w:p>
        </w:tc>
        <w:tc>
          <w:tcPr>
            <w:tcW w:w="360" w:type="dxa"/>
            <w:noWrap/>
            <w:textDirection w:val="btLr"/>
            <w:hideMark/>
          </w:tcPr>
          <w:p w14:paraId="251E67B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16</w:t>
            </w:r>
          </w:p>
        </w:tc>
        <w:tc>
          <w:tcPr>
            <w:tcW w:w="360" w:type="dxa"/>
            <w:noWrap/>
            <w:textDirection w:val="btLr"/>
            <w:hideMark/>
          </w:tcPr>
          <w:p w14:paraId="1A7DF5CE"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21</w:t>
            </w:r>
          </w:p>
        </w:tc>
        <w:tc>
          <w:tcPr>
            <w:tcW w:w="360" w:type="dxa"/>
            <w:noWrap/>
            <w:textDirection w:val="btLr"/>
            <w:hideMark/>
          </w:tcPr>
          <w:p w14:paraId="6D4BB241"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19.45</w:t>
            </w:r>
          </w:p>
        </w:tc>
        <w:tc>
          <w:tcPr>
            <w:tcW w:w="360" w:type="dxa"/>
            <w:noWrap/>
            <w:textDirection w:val="btLr"/>
            <w:hideMark/>
          </w:tcPr>
          <w:p w14:paraId="0C02605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20.4</w:t>
            </w:r>
          </w:p>
        </w:tc>
        <w:tc>
          <w:tcPr>
            <w:tcW w:w="360" w:type="dxa"/>
            <w:noWrap/>
            <w:textDirection w:val="btLr"/>
            <w:hideMark/>
          </w:tcPr>
          <w:p w14:paraId="52361B9B"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6.9</w:t>
            </w:r>
          </w:p>
        </w:tc>
        <w:tc>
          <w:tcPr>
            <w:tcW w:w="410" w:type="dxa"/>
            <w:noWrap/>
            <w:textDirection w:val="btLr"/>
            <w:hideMark/>
          </w:tcPr>
          <w:p w14:paraId="00CDDFC8"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15</w:t>
            </w:r>
          </w:p>
        </w:tc>
        <w:tc>
          <w:tcPr>
            <w:tcW w:w="310" w:type="dxa"/>
            <w:noWrap/>
            <w:textDirection w:val="btLr"/>
            <w:hideMark/>
          </w:tcPr>
          <w:p w14:paraId="750EA04B"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35.8</w:t>
            </w:r>
          </w:p>
        </w:tc>
        <w:tc>
          <w:tcPr>
            <w:tcW w:w="360" w:type="dxa"/>
            <w:noWrap/>
            <w:textDirection w:val="btLr"/>
            <w:hideMark/>
          </w:tcPr>
          <w:p w14:paraId="4D2856A1"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7.5</w:t>
            </w:r>
          </w:p>
        </w:tc>
        <w:tc>
          <w:tcPr>
            <w:tcW w:w="320" w:type="dxa"/>
            <w:noWrap/>
            <w:textDirection w:val="btLr"/>
            <w:hideMark/>
          </w:tcPr>
          <w:p w14:paraId="1F904DC2"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5.2</w:t>
            </w:r>
          </w:p>
        </w:tc>
        <w:tc>
          <w:tcPr>
            <w:tcW w:w="360" w:type="dxa"/>
            <w:noWrap/>
            <w:textDirection w:val="btLr"/>
            <w:hideMark/>
          </w:tcPr>
          <w:p w14:paraId="7E03DB32"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1.8</w:t>
            </w:r>
          </w:p>
        </w:tc>
        <w:tc>
          <w:tcPr>
            <w:tcW w:w="360" w:type="dxa"/>
            <w:noWrap/>
            <w:textDirection w:val="btLr"/>
            <w:hideMark/>
          </w:tcPr>
          <w:p w14:paraId="74FD178E"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NA </w:t>
            </w:r>
          </w:p>
        </w:tc>
        <w:tc>
          <w:tcPr>
            <w:tcW w:w="450" w:type="dxa"/>
            <w:noWrap/>
            <w:textDirection w:val="btLr"/>
            <w:hideMark/>
          </w:tcPr>
          <w:p w14:paraId="2C7D8F4F"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19.4</w:t>
            </w:r>
          </w:p>
        </w:tc>
        <w:tc>
          <w:tcPr>
            <w:tcW w:w="360" w:type="dxa"/>
            <w:noWrap/>
            <w:textDirection w:val="btLr"/>
            <w:hideMark/>
          </w:tcPr>
          <w:p w14:paraId="67EF92C1"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12.4</w:t>
            </w:r>
          </w:p>
        </w:tc>
        <w:tc>
          <w:tcPr>
            <w:tcW w:w="360" w:type="dxa"/>
            <w:noWrap/>
            <w:textDirection w:val="btLr"/>
            <w:hideMark/>
          </w:tcPr>
          <w:p w14:paraId="6CDDD3C5"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22.4</w:t>
            </w:r>
          </w:p>
        </w:tc>
        <w:tc>
          <w:tcPr>
            <w:tcW w:w="360" w:type="dxa"/>
            <w:noWrap/>
            <w:textDirection w:val="btLr"/>
            <w:hideMark/>
          </w:tcPr>
          <w:p w14:paraId="15122EB8"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20</w:t>
            </w:r>
          </w:p>
        </w:tc>
        <w:tc>
          <w:tcPr>
            <w:tcW w:w="360" w:type="dxa"/>
            <w:noWrap/>
            <w:textDirection w:val="btLr"/>
            <w:hideMark/>
          </w:tcPr>
          <w:p w14:paraId="75970FF3"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12</w:t>
            </w:r>
          </w:p>
        </w:tc>
        <w:tc>
          <w:tcPr>
            <w:tcW w:w="360" w:type="dxa"/>
            <w:noWrap/>
            <w:textDirection w:val="btLr"/>
            <w:hideMark/>
          </w:tcPr>
          <w:p w14:paraId="3F4BC59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12.3</w:t>
            </w:r>
          </w:p>
        </w:tc>
        <w:tc>
          <w:tcPr>
            <w:tcW w:w="360" w:type="dxa"/>
            <w:noWrap/>
            <w:textDirection w:val="btLr"/>
            <w:hideMark/>
          </w:tcPr>
          <w:p w14:paraId="58E7929C"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17.3</w:t>
            </w:r>
          </w:p>
        </w:tc>
        <w:tc>
          <w:tcPr>
            <w:tcW w:w="360" w:type="dxa"/>
            <w:noWrap/>
            <w:textDirection w:val="btLr"/>
            <w:hideMark/>
          </w:tcPr>
          <w:p w14:paraId="46F04E54" w14:textId="77777777" w:rsidR="001F2CBA" w:rsidRPr="00210C2D" w:rsidRDefault="001F2CBA" w:rsidP="007E1F10">
            <w:pPr>
              <w:jc w:val="both"/>
              <w:rPr>
                <w:rFonts w:ascii="Times New Roman" w:hAnsi="Times New Roman" w:cs="Times New Roman"/>
                <w:sz w:val="24"/>
                <w:szCs w:val="24"/>
              </w:rPr>
            </w:pPr>
            <w:r>
              <w:rPr>
                <w:rFonts w:ascii="Times New Roman" w:hAnsi="Times New Roman" w:cs="Times New Roman"/>
                <w:sz w:val="24"/>
                <w:szCs w:val="24"/>
              </w:rPr>
              <w:t>NA</w:t>
            </w:r>
          </w:p>
        </w:tc>
        <w:tc>
          <w:tcPr>
            <w:tcW w:w="360" w:type="dxa"/>
            <w:noWrap/>
            <w:textDirection w:val="btLr"/>
            <w:hideMark/>
          </w:tcPr>
          <w:p w14:paraId="0BF9B653"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19.3</w:t>
            </w:r>
          </w:p>
        </w:tc>
        <w:tc>
          <w:tcPr>
            <w:tcW w:w="360" w:type="dxa"/>
            <w:noWrap/>
            <w:textDirection w:val="btLr"/>
            <w:hideMark/>
          </w:tcPr>
          <w:p w14:paraId="05D43E6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NA </w:t>
            </w:r>
          </w:p>
        </w:tc>
        <w:tc>
          <w:tcPr>
            <w:tcW w:w="360" w:type="dxa"/>
            <w:noWrap/>
            <w:textDirection w:val="btLr"/>
            <w:hideMark/>
          </w:tcPr>
          <w:p w14:paraId="3A6AF4B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30</w:t>
            </w:r>
          </w:p>
        </w:tc>
      </w:tr>
      <w:tr w:rsidR="001F2CBA" w:rsidRPr="00210C2D" w14:paraId="172F6F56" w14:textId="77777777" w:rsidTr="007E1F10">
        <w:trPr>
          <w:trHeight w:val="1008"/>
        </w:trPr>
        <w:tc>
          <w:tcPr>
            <w:tcW w:w="360" w:type="dxa"/>
            <w:textDirection w:val="btLr"/>
            <w:hideMark/>
          </w:tcPr>
          <w:p w14:paraId="5C79D30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Moderate or suspected</w:t>
            </w:r>
            <w:r w:rsidRPr="00210C2D">
              <w:rPr>
                <w:rFonts w:ascii="Times New Roman" w:hAnsi="Times New Roman" w:cs="Times New Roman"/>
                <w:sz w:val="24"/>
                <w:szCs w:val="24"/>
              </w:rPr>
              <w:br/>
              <w:t>malnutrition</w:t>
            </w:r>
            <w:r w:rsidRPr="00210C2D">
              <w:rPr>
                <w:rFonts w:ascii="Times New Roman" w:hAnsi="Times New Roman" w:cs="Times New Roman"/>
                <w:sz w:val="24"/>
                <w:szCs w:val="24"/>
              </w:rPr>
              <w:br/>
              <w:t>malnutrition</w:t>
            </w:r>
          </w:p>
        </w:tc>
        <w:tc>
          <w:tcPr>
            <w:tcW w:w="378" w:type="dxa"/>
            <w:noWrap/>
            <w:textDirection w:val="btLr"/>
            <w:hideMark/>
          </w:tcPr>
          <w:p w14:paraId="48A17D4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28</w:t>
            </w:r>
          </w:p>
        </w:tc>
        <w:tc>
          <w:tcPr>
            <w:tcW w:w="363" w:type="dxa"/>
            <w:noWrap/>
            <w:textDirection w:val="btLr"/>
            <w:hideMark/>
          </w:tcPr>
          <w:p w14:paraId="764FB613"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26</w:t>
            </w:r>
          </w:p>
        </w:tc>
        <w:tc>
          <w:tcPr>
            <w:tcW w:w="267" w:type="dxa"/>
            <w:noWrap/>
            <w:textDirection w:val="btLr"/>
            <w:hideMark/>
          </w:tcPr>
          <w:p w14:paraId="6B08FA53"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33.6</w:t>
            </w:r>
          </w:p>
        </w:tc>
        <w:tc>
          <w:tcPr>
            <w:tcW w:w="319" w:type="dxa"/>
            <w:noWrap/>
            <w:textDirection w:val="btLr"/>
            <w:hideMark/>
          </w:tcPr>
          <w:p w14:paraId="52783312"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41.6</w:t>
            </w:r>
          </w:p>
        </w:tc>
        <w:tc>
          <w:tcPr>
            <w:tcW w:w="293" w:type="dxa"/>
            <w:noWrap/>
            <w:textDirection w:val="btLr"/>
            <w:hideMark/>
          </w:tcPr>
          <w:p w14:paraId="684C093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24.2</w:t>
            </w:r>
          </w:p>
        </w:tc>
        <w:tc>
          <w:tcPr>
            <w:tcW w:w="288" w:type="dxa"/>
            <w:noWrap/>
            <w:textDirection w:val="btLr"/>
            <w:hideMark/>
          </w:tcPr>
          <w:p w14:paraId="4809538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29.3</w:t>
            </w:r>
          </w:p>
        </w:tc>
        <w:tc>
          <w:tcPr>
            <w:tcW w:w="360" w:type="dxa"/>
            <w:noWrap/>
            <w:textDirection w:val="btLr"/>
            <w:hideMark/>
          </w:tcPr>
          <w:p w14:paraId="28D51FE8"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21</w:t>
            </w:r>
          </w:p>
        </w:tc>
        <w:tc>
          <w:tcPr>
            <w:tcW w:w="360" w:type="dxa"/>
            <w:noWrap/>
            <w:textDirection w:val="btLr"/>
            <w:hideMark/>
          </w:tcPr>
          <w:p w14:paraId="1335C8EC"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60.7</w:t>
            </w:r>
          </w:p>
        </w:tc>
        <w:tc>
          <w:tcPr>
            <w:tcW w:w="360" w:type="dxa"/>
            <w:noWrap/>
            <w:textDirection w:val="btLr"/>
            <w:hideMark/>
          </w:tcPr>
          <w:p w14:paraId="1169BDB5"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53.7</w:t>
            </w:r>
          </w:p>
        </w:tc>
        <w:tc>
          <w:tcPr>
            <w:tcW w:w="360" w:type="dxa"/>
            <w:noWrap/>
            <w:textDirection w:val="btLr"/>
            <w:hideMark/>
          </w:tcPr>
          <w:p w14:paraId="209F9688"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19</w:t>
            </w:r>
          </w:p>
        </w:tc>
        <w:tc>
          <w:tcPr>
            <w:tcW w:w="360" w:type="dxa"/>
            <w:noWrap/>
            <w:textDirection w:val="btLr"/>
            <w:hideMark/>
          </w:tcPr>
          <w:p w14:paraId="255EA7B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59</w:t>
            </w:r>
          </w:p>
        </w:tc>
        <w:tc>
          <w:tcPr>
            <w:tcW w:w="360" w:type="dxa"/>
            <w:noWrap/>
            <w:textDirection w:val="btLr"/>
            <w:hideMark/>
          </w:tcPr>
          <w:p w14:paraId="3B54D5D2"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39.08</w:t>
            </w:r>
          </w:p>
        </w:tc>
        <w:tc>
          <w:tcPr>
            <w:tcW w:w="360" w:type="dxa"/>
            <w:noWrap/>
            <w:textDirection w:val="btLr"/>
            <w:hideMark/>
          </w:tcPr>
          <w:p w14:paraId="409BB7EC"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42</w:t>
            </w:r>
          </w:p>
        </w:tc>
        <w:tc>
          <w:tcPr>
            <w:tcW w:w="360" w:type="dxa"/>
            <w:noWrap/>
            <w:textDirection w:val="btLr"/>
            <w:hideMark/>
          </w:tcPr>
          <w:p w14:paraId="30EBC262"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31.6</w:t>
            </w:r>
          </w:p>
        </w:tc>
        <w:tc>
          <w:tcPr>
            <w:tcW w:w="410" w:type="dxa"/>
            <w:noWrap/>
            <w:textDirection w:val="btLr"/>
            <w:hideMark/>
          </w:tcPr>
          <w:p w14:paraId="5F8D07C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40</w:t>
            </w:r>
          </w:p>
        </w:tc>
        <w:tc>
          <w:tcPr>
            <w:tcW w:w="310" w:type="dxa"/>
            <w:noWrap/>
            <w:textDirection w:val="btLr"/>
            <w:hideMark/>
          </w:tcPr>
          <w:p w14:paraId="4070903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14.2</w:t>
            </w:r>
          </w:p>
        </w:tc>
        <w:tc>
          <w:tcPr>
            <w:tcW w:w="360" w:type="dxa"/>
            <w:noWrap/>
            <w:textDirection w:val="btLr"/>
            <w:hideMark/>
          </w:tcPr>
          <w:p w14:paraId="3959AB41"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27</w:t>
            </w:r>
          </w:p>
        </w:tc>
        <w:tc>
          <w:tcPr>
            <w:tcW w:w="320" w:type="dxa"/>
            <w:noWrap/>
            <w:textDirection w:val="btLr"/>
            <w:hideMark/>
          </w:tcPr>
          <w:p w14:paraId="400BC091"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17</w:t>
            </w:r>
          </w:p>
        </w:tc>
        <w:tc>
          <w:tcPr>
            <w:tcW w:w="360" w:type="dxa"/>
            <w:noWrap/>
            <w:textDirection w:val="btLr"/>
            <w:hideMark/>
          </w:tcPr>
          <w:p w14:paraId="1DE7605B"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34.3</w:t>
            </w:r>
          </w:p>
        </w:tc>
        <w:tc>
          <w:tcPr>
            <w:tcW w:w="360" w:type="dxa"/>
            <w:noWrap/>
            <w:textDirection w:val="btLr"/>
            <w:hideMark/>
          </w:tcPr>
          <w:p w14:paraId="50684931"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NA </w:t>
            </w:r>
          </w:p>
        </w:tc>
        <w:tc>
          <w:tcPr>
            <w:tcW w:w="450" w:type="dxa"/>
            <w:noWrap/>
            <w:textDirection w:val="btLr"/>
            <w:hideMark/>
          </w:tcPr>
          <w:p w14:paraId="4BCCB73D"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29.5</w:t>
            </w:r>
          </w:p>
        </w:tc>
        <w:tc>
          <w:tcPr>
            <w:tcW w:w="360" w:type="dxa"/>
            <w:noWrap/>
            <w:textDirection w:val="btLr"/>
            <w:hideMark/>
          </w:tcPr>
          <w:p w14:paraId="079E8238"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34.3</w:t>
            </w:r>
          </w:p>
        </w:tc>
        <w:tc>
          <w:tcPr>
            <w:tcW w:w="360" w:type="dxa"/>
            <w:noWrap/>
            <w:textDirection w:val="btLr"/>
            <w:hideMark/>
          </w:tcPr>
          <w:p w14:paraId="66F656C3"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38.2</w:t>
            </w:r>
          </w:p>
        </w:tc>
        <w:tc>
          <w:tcPr>
            <w:tcW w:w="360" w:type="dxa"/>
            <w:noWrap/>
            <w:textDirection w:val="btLr"/>
            <w:hideMark/>
          </w:tcPr>
          <w:p w14:paraId="136B6E6E"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30</w:t>
            </w:r>
          </w:p>
        </w:tc>
        <w:tc>
          <w:tcPr>
            <w:tcW w:w="360" w:type="dxa"/>
            <w:noWrap/>
            <w:textDirection w:val="btLr"/>
            <w:hideMark/>
          </w:tcPr>
          <w:p w14:paraId="1B78218B" w14:textId="77777777" w:rsidR="001F2CBA" w:rsidRPr="00210C2D" w:rsidRDefault="001F2CBA" w:rsidP="007E1F10">
            <w:pPr>
              <w:jc w:val="both"/>
              <w:rPr>
                <w:rFonts w:ascii="Times New Roman" w:hAnsi="Times New Roman" w:cs="Times New Roman"/>
                <w:sz w:val="24"/>
                <w:szCs w:val="24"/>
              </w:rPr>
            </w:pPr>
            <w:r>
              <w:rPr>
                <w:rFonts w:ascii="Times New Roman" w:hAnsi="Times New Roman" w:cs="Times New Roman"/>
                <w:sz w:val="24"/>
                <w:szCs w:val="24"/>
              </w:rPr>
              <w:t>55.4</w:t>
            </w:r>
          </w:p>
        </w:tc>
        <w:tc>
          <w:tcPr>
            <w:tcW w:w="360" w:type="dxa"/>
            <w:noWrap/>
            <w:textDirection w:val="btLr"/>
            <w:hideMark/>
          </w:tcPr>
          <w:p w14:paraId="6AAB9215"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14.5</w:t>
            </w:r>
          </w:p>
        </w:tc>
        <w:tc>
          <w:tcPr>
            <w:tcW w:w="360" w:type="dxa"/>
            <w:noWrap/>
            <w:textDirection w:val="btLr"/>
            <w:hideMark/>
          </w:tcPr>
          <w:p w14:paraId="53101F7F"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33.2</w:t>
            </w:r>
          </w:p>
        </w:tc>
        <w:tc>
          <w:tcPr>
            <w:tcW w:w="360" w:type="dxa"/>
            <w:noWrap/>
            <w:textDirection w:val="btLr"/>
            <w:hideMark/>
          </w:tcPr>
          <w:p w14:paraId="2C952C3F" w14:textId="77777777" w:rsidR="001F2CBA" w:rsidRPr="00210C2D" w:rsidRDefault="001F2CBA" w:rsidP="007E1F10">
            <w:pPr>
              <w:jc w:val="both"/>
              <w:rPr>
                <w:rFonts w:ascii="Times New Roman" w:hAnsi="Times New Roman" w:cs="Times New Roman"/>
                <w:sz w:val="24"/>
                <w:szCs w:val="24"/>
              </w:rPr>
            </w:pPr>
            <w:r>
              <w:rPr>
                <w:rFonts w:ascii="Times New Roman" w:hAnsi="Times New Roman" w:cs="Times New Roman"/>
                <w:sz w:val="24"/>
                <w:szCs w:val="24"/>
              </w:rPr>
              <w:t>NA</w:t>
            </w:r>
          </w:p>
        </w:tc>
        <w:tc>
          <w:tcPr>
            <w:tcW w:w="360" w:type="dxa"/>
            <w:noWrap/>
            <w:textDirection w:val="btLr"/>
            <w:hideMark/>
          </w:tcPr>
          <w:p w14:paraId="71CF2FF2"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33.2</w:t>
            </w:r>
          </w:p>
        </w:tc>
        <w:tc>
          <w:tcPr>
            <w:tcW w:w="360" w:type="dxa"/>
            <w:noWrap/>
            <w:textDirection w:val="btLr"/>
            <w:hideMark/>
          </w:tcPr>
          <w:p w14:paraId="346F468F"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NA </w:t>
            </w:r>
          </w:p>
        </w:tc>
        <w:tc>
          <w:tcPr>
            <w:tcW w:w="360" w:type="dxa"/>
            <w:noWrap/>
            <w:textDirection w:val="btLr"/>
            <w:hideMark/>
          </w:tcPr>
          <w:p w14:paraId="2BF2A84D"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35</w:t>
            </w:r>
          </w:p>
        </w:tc>
      </w:tr>
      <w:tr w:rsidR="001F2CBA" w:rsidRPr="00210C2D" w14:paraId="05FEBF40" w14:textId="77777777" w:rsidTr="007E1F10">
        <w:trPr>
          <w:trHeight w:val="1008"/>
        </w:trPr>
        <w:tc>
          <w:tcPr>
            <w:tcW w:w="360" w:type="dxa"/>
            <w:textDirection w:val="btLr"/>
            <w:hideMark/>
          </w:tcPr>
          <w:p w14:paraId="11CEF629" w14:textId="77777777" w:rsidR="001F2CBA" w:rsidRPr="00210C2D" w:rsidRDefault="001F2CBA" w:rsidP="007E1F10">
            <w:pPr>
              <w:jc w:val="both"/>
              <w:rPr>
                <w:rFonts w:ascii="Times New Roman" w:hAnsi="Times New Roman" w:cs="Times New Roman"/>
                <w:b/>
                <w:bCs/>
                <w:sz w:val="24"/>
                <w:szCs w:val="24"/>
              </w:rPr>
            </w:pPr>
            <w:r w:rsidRPr="00210C2D">
              <w:rPr>
                <w:rFonts w:ascii="Times New Roman" w:hAnsi="Times New Roman" w:cs="Times New Roman"/>
                <w:b/>
                <w:bCs/>
                <w:sz w:val="24"/>
                <w:szCs w:val="24"/>
              </w:rPr>
              <w:t xml:space="preserve">prevalence of malnutrition on admission </w:t>
            </w:r>
          </w:p>
        </w:tc>
        <w:tc>
          <w:tcPr>
            <w:tcW w:w="378" w:type="dxa"/>
            <w:noWrap/>
            <w:textDirection w:val="btLr"/>
            <w:hideMark/>
          </w:tcPr>
          <w:p w14:paraId="4BC6340C"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31</w:t>
            </w:r>
          </w:p>
        </w:tc>
        <w:tc>
          <w:tcPr>
            <w:tcW w:w="363" w:type="dxa"/>
            <w:noWrap/>
            <w:textDirection w:val="btLr"/>
            <w:hideMark/>
          </w:tcPr>
          <w:p w14:paraId="0DC79032"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37</w:t>
            </w:r>
          </w:p>
        </w:tc>
        <w:tc>
          <w:tcPr>
            <w:tcW w:w="267" w:type="dxa"/>
            <w:noWrap/>
            <w:textDirection w:val="btLr"/>
            <w:hideMark/>
          </w:tcPr>
          <w:p w14:paraId="3BF38DDB"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45</w:t>
            </w:r>
          </w:p>
        </w:tc>
        <w:tc>
          <w:tcPr>
            <w:tcW w:w="319" w:type="dxa"/>
            <w:noWrap/>
            <w:textDirection w:val="btLr"/>
            <w:hideMark/>
          </w:tcPr>
          <w:p w14:paraId="0995CD2C"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54</w:t>
            </w:r>
          </w:p>
        </w:tc>
        <w:tc>
          <w:tcPr>
            <w:tcW w:w="293" w:type="dxa"/>
            <w:noWrap/>
            <w:textDirection w:val="btLr"/>
            <w:hideMark/>
          </w:tcPr>
          <w:p w14:paraId="52ECD6D1"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40</w:t>
            </w:r>
          </w:p>
        </w:tc>
        <w:tc>
          <w:tcPr>
            <w:tcW w:w="288" w:type="dxa"/>
            <w:noWrap/>
            <w:textDirection w:val="btLr"/>
            <w:hideMark/>
          </w:tcPr>
          <w:p w14:paraId="62F9F4DA"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37</w:t>
            </w:r>
          </w:p>
        </w:tc>
        <w:tc>
          <w:tcPr>
            <w:tcW w:w="360" w:type="dxa"/>
            <w:noWrap/>
            <w:textDirection w:val="btLr"/>
            <w:hideMark/>
          </w:tcPr>
          <w:p w14:paraId="2A3342BD"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23</w:t>
            </w:r>
          </w:p>
        </w:tc>
        <w:tc>
          <w:tcPr>
            <w:tcW w:w="360" w:type="dxa"/>
            <w:noWrap/>
            <w:textDirection w:val="btLr"/>
            <w:hideMark/>
          </w:tcPr>
          <w:p w14:paraId="0B94039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85</w:t>
            </w:r>
          </w:p>
        </w:tc>
        <w:tc>
          <w:tcPr>
            <w:tcW w:w="360" w:type="dxa"/>
            <w:noWrap/>
            <w:textDirection w:val="btLr"/>
            <w:hideMark/>
          </w:tcPr>
          <w:p w14:paraId="485A4A7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78</w:t>
            </w:r>
          </w:p>
        </w:tc>
        <w:tc>
          <w:tcPr>
            <w:tcW w:w="360" w:type="dxa"/>
            <w:noWrap/>
            <w:textDirection w:val="btLr"/>
            <w:hideMark/>
          </w:tcPr>
          <w:p w14:paraId="4AE68653"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35</w:t>
            </w:r>
          </w:p>
        </w:tc>
        <w:tc>
          <w:tcPr>
            <w:tcW w:w="360" w:type="dxa"/>
            <w:noWrap/>
            <w:textDirection w:val="btLr"/>
            <w:hideMark/>
          </w:tcPr>
          <w:p w14:paraId="08BBFD9D"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80</w:t>
            </w:r>
          </w:p>
        </w:tc>
        <w:tc>
          <w:tcPr>
            <w:tcW w:w="360" w:type="dxa"/>
            <w:noWrap/>
            <w:textDirection w:val="btLr"/>
            <w:hideMark/>
          </w:tcPr>
          <w:p w14:paraId="2EFD333F"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59</w:t>
            </w:r>
          </w:p>
        </w:tc>
        <w:tc>
          <w:tcPr>
            <w:tcW w:w="360" w:type="dxa"/>
            <w:noWrap/>
            <w:textDirection w:val="btLr"/>
            <w:hideMark/>
          </w:tcPr>
          <w:p w14:paraId="42A3CF1A"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62</w:t>
            </w:r>
          </w:p>
        </w:tc>
        <w:tc>
          <w:tcPr>
            <w:tcW w:w="360" w:type="dxa"/>
            <w:noWrap/>
            <w:textDirection w:val="btLr"/>
            <w:hideMark/>
          </w:tcPr>
          <w:p w14:paraId="214D02C5"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38</w:t>
            </w:r>
          </w:p>
        </w:tc>
        <w:tc>
          <w:tcPr>
            <w:tcW w:w="410" w:type="dxa"/>
            <w:noWrap/>
            <w:textDirection w:val="btLr"/>
            <w:hideMark/>
          </w:tcPr>
          <w:p w14:paraId="22700FBE"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65</w:t>
            </w:r>
          </w:p>
        </w:tc>
        <w:tc>
          <w:tcPr>
            <w:tcW w:w="310" w:type="dxa"/>
            <w:noWrap/>
            <w:textDirection w:val="btLr"/>
            <w:hideMark/>
          </w:tcPr>
          <w:p w14:paraId="4018AD23"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50</w:t>
            </w:r>
          </w:p>
        </w:tc>
        <w:tc>
          <w:tcPr>
            <w:tcW w:w="360" w:type="dxa"/>
            <w:noWrap/>
            <w:textDirection w:val="btLr"/>
            <w:hideMark/>
          </w:tcPr>
          <w:p w14:paraId="0DB6EBA3"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34</w:t>
            </w:r>
          </w:p>
        </w:tc>
        <w:tc>
          <w:tcPr>
            <w:tcW w:w="320" w:type="dxa"/>
            <w:noWrap/>
            <w:textDirection w:val="btLr"/>
            <w:hideMark/>
          </w:tcPr>
          <w:p w14:paraId="3D7A907A"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22</w:t>
            </w:r>
          </w:p>
        </w:tc>
        <w:tc>
          <w:tcPr>
            <w:tcW w:w="360" w:type="dxa"/>
            <w:noWrap/>
            <w:textDirection w:val="btLr"/>
            <w:hideMark/>
          </w:tcPr>
          <w:p w14:paraId="22055E01"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36</w:t>
            </w:r>
          </w:p>
        </w:tc>
        <w:tc>
          <w:tcPr>
            <w:tcW w:w="360" w:type="dxa"/>
            <w:noWrap/>
            <w:textDirection w:val="btLr"/>
            <w:hideMark/>
          </w:tcPr>
          <w:p w14:paraId="42F4235B"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30</w:t>
            </w:r>
          </w:p>
        </w:tc>
        <w:tc>
          <w:tcPr>
            <w:tcW w:w="450" w:type="dxa"/>
            <w:noWrap/>
            <w:textDirection w:val="btLr"/>
            <w:hideMark/>
          </w:tcPr>
          <w:p w14:paraId="2AFD2F7A"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48.9</w:t>
            </w:r>
          </w:p>
        </w:tc>
        <w:tc>
          <w:tcPr>
            <w:tcW w:w="360" w:type="dxa"/>
            <w:noWrap/>
            <w:textDirection w:val="btLr"/>
            <w:hideMark/>
          </w:tcPr>
          <w:p w14:paraId="4E1337DB"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46.7</w:t>
            </w:r>
          </w:p>
        </w:tc>
        <w:tc>
          <w:tcPr>
            <w:tcW w:w="360" w:type="dxa"/>
            <w:noWrap/>
            <w:textDirection w:val="btLr"/>
            <w:hideMark/>
          </w:tcPr>
          <w:p w14:paraId="5252B2E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60.5</w:t>
            </w:r>
          </w:p>
        </w:tc>
        <w:tc>
          <w:tcPr>
            <w:tcW w:w="360" w:type="dxa"/>
            <w:noWrap/>
            <w:textDirection w:val="btLr"/>
            <w:hideMark/>
          </w:tcPr>
          <w:p w14:paraId="49A67321"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50</w:t>
            </w:r>
          </w:p>
        </w:tc>
        <w:tc>
          <w:tcPr>
            <w:tcW w:w="360" w:type="dxa"/>
            <w:noWrap/>
            <w:textDirection w:val="btLr"/>
            <w:hideMark/>
          </w:tcPr>
          <w:p w14:paraId="119B94B4" w14:textId="77777777" w:rsidR="001F2CBA" w:rsidRPr="00210C2D" w:rsidRDefault="001F2CBA" w:rsidP="007E1F10">
            <w:pPr>
              <w:jc w:val="both"/>
              <w:rPr>
                <w:rFonts w:ascii="Times New Roman" w:hAnsi="Times New Roman" w:cs="Times New Roman"/>
                <w:sz w:val="24"/>
                <w:szCs w:val="24"/>
              </w:rPr>
            </w:pPr>
            <w:r>
              <w:rPr>
                <w:rFonts w:ascii="Times New Roman" w:hAnsi="Times New Roman" w:cs="Times New Roman"/>
                <w:sz w:val="24"/>
                <w:szCs w:val="24"/>
              </w:rPr>
              <w:t>67.4</w:t>
            </w:r>
          </w:p>
        </w:tc>
        <w:tc>
          <w:tcPr>
            <w:tcW w:w="360" w:type="dxa"/>
            <w:noWrap/>
            <w:textDirection w:val="btLr"/>
            <w:hideMark/>
          </w:tcPr>
          <w:p w14:paraId="18A47D75"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26.8</w:t>
            </w:r>
          </w:p>
        </w:tc>
        <w:tc>
          <w:tcPr>
            <w:tcW w:w="360" w:type="dxa"/>
            <w:noWrap/>
            <w:textDirection w:val="btLr"/>
            <w:hideMark/>
          </w:tcPr>
          <w:p w14:paraId="796DB09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50.5</w:t>
            </w:r>
          </w:p>
        </w:tc>
        <w:tc>
          <w:tcPr>
            <w:tcW w:w="360" w:type="dxa"/>
            <w:noWrap/>
            <w:textDirection w:val="btLr"/>
            <w:hideMark/>
          </w:tcPr>
          <w:p w14:paraId="001C8ED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13.9</w:t>
            </w:r>
          </w:p>
        </w:tc>
        <w:tc>
          <w:tcPr>
            <w:tcW w:w="360" w:type="dxa"/>
            <w:noWrap/>
            <w:textDirection w:val="btLr"/>
            <w:hideMark/>
          </w:tcPr>
          <w:p w14:paraId="629F8213"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52.5</w:t>
            </w:r>
          </w:p>
        </w:tc>
        <w:tc>
          <w:tcPr>
            <w:tcW w:w="360" w:type="dxa"/>
            <w:noWrap/>
            <w:textDirection w:val="btLr"/>
            <w:hideMark/>
          </w:tcPr>
          <w:p w14:paraId="1C4DFBCE"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48.5</w:t>
            </w:r>
          </w:p>
        </w:tc>
        <w:tc>
          <w:tcPr>
            <w:tcW w:w="360" w:type="dxa"/>
            <w:noWrap/>
            <w:textDirection w:val="btLr"/>
            <w:hideMark/>
          </w:tcPr>
          <w:p w14:paraId="76C1DB1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65</w:t>
            </w:r>
          </w:p>
        </w:tc>
      </w:tr>
      <w:tr w:rsidR="001F2CBA" w:rsidRPr="00210C2D" w14:paraId="7BF0A2B4" w14:textId="77777777" w:rsidTr="007E1F10">
        <w:trPr>
          <w:trHeight w:val="1340"/>
        </w:trPr>
        <w:tc>
          <w:tcPr>
            <w:tcW w:w="360" w:type="dxa"/>
            <w:textDirection w:val="btLr"/>
            <w:hideMark/>
          </w:tcPr>
          <w:p w14:paraId="18FBAF3A" w14:textId="77777777" w:rsidR="001F2CBA" w:rsidRPr="00210C2D" w:rsidRDefault="001F2CBA" w:rsidP="007E1F10">
            <w:pPr>
              <w:jc w:val="both"/>
              <w:rPr>
                <w:rFonts w:ascii="Times New Roman" w:hAnsi="Times New Roman" w:cs="Times New Roman"/>
                <w:b/>
                <w:bCs/>
                <w:sz w:val="24"/>
                <w:szCs w:val="24"/>
              </w:rPr>
            </w:pPr>
            <w:r w:rsidRPr="00210C2D">
              <w:rPr>
                <w:rFonts w:ascii="Times New Roman" w:hAnsi="Times New Roman" w:cs="Times New Roman"/>
                <w:b/>
                <w:bCs/>
                <w:sz w:val="24"/>
                <w:szCs w:val="24"/>
              </w:rPr>
              <w:t>prevalence of Well-nourished on ICU admission</w:t>
            </w:r>
          </w:p>
        </w:tc>
        <w:tc>
          <w:tcPr>
            <w:tcW w:w="378" w:type="dxa"/>
            <w:noWrap/>
            <w:textDirection w:val="btLr"/>
            <w:hideMark/>
          </w:tcPr>
          <w:p w14:paraId="0A7E07A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69</w:t>
            </w:r>
          </w:p>
        </w:tc>
        <w:tc>
          <w:tcPr>
            <w:tcW w:w="363" w:type="dxa"/>
            <w:noWrap/>
            <w:textDirection w:val="btLr"/>
            <w:hideMark/>
          </w:tcPr>
          <w:p w14:paraId="1FF88BBA"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63</w:t>
            </w:r>
          </w:p>
        </w:tc>
        <w:tc>
          <w:tcPr>
            <w:tcW w:w="267" w:type="dxa"/>
            <w:noWrap/>
            <w:textDirection w:val="btLr"/>
            <w:hideMark/>
          </w:tcPr>
          <w:p w14:paraId="1D15344A"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55</w:t>
            </w:r>
          </w:p>
        </w:tc>
        <w:tc>
          <w:tcPr>
            <w:tcW w:w="319" w:type="dxa"/>
            <w:noWrap/>
            <w:textDirection w:val="btLr"/>
            <w:hideMark/>
          </w:tcPr>
          <w:p w14:paraId="5183CCEE"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46</w:t>
            </w:r>
          </w:p>
        </w:tc>
        <w:tc>
          <w:tcPr>
            <w:tcW w:w="293" w:type="dxa"/>
            <w:noWrap/>
            <w:textDirection w:val="btLr"/>
            <w:hideMark/>
          </w:tcPr>
          <w:p w14:paraId="48599C5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60</w:t>
            </w:r>
          </w:p>
        </w:tc>
        <w:tc>
          <w:tcPr>
            <w:tcW w:w="288" w:type="dxa"/>
            <w:noWrap/>
            <w:textDirection w:val="btLr"/>
            <w:hideMark/>
          </w:tcPr>
          <w:p w14:paraId="30CF228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63</w:t>
            </w:r>
          </w:p>
        </w:tc>
        <w:tc>
          <w:tcPr>
            <w:tcW w:w="360" w:type="dxa"/>
            <w:noWrap/>
            <w:textDirection w:val="btLr"/>
            <w:hideMark/>
          </w:tcPr>
          <w:p w14:paraId="156B5621"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77</w:t>
            </w:r>
          </w:p>
        </w:tc>
        <w:tc>
          <w:tcPr>
            <w:tcW w:w="360" w:type="dxa"/>
            <w:noWrap/>
            <w:textDirection w:val="btLr"/>
            <w:hideMark/>
          </w:tcPr>
          <w:p w14:paraId="51D3EA5B"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15</w:t>
            </w:r>
          </w:p>
        </w:tc>
        <w:tc>
          <w:tcPr>
            <w:tcW w:w="360" w:type="dxa"/>
            <w:noWrap/>
            <w:textDirection w:val="btLr"/>
            <w:hideMark/>
          </w:tcPr>
          <w:p w14:paraId="49D29201"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22</w:t>
            </w:r>
          </w:p>
        </w:tc>
        <w:tc>
          <w:tcPr>
            <w:tcW w:w="360" w:type="dxa"/>
            <w:noWrap/>
            <w:textDirection w:val="btLr"/>
            <w:hideMark/>
          </w:tcPr>
          <w:p w14:paraId="2E380E4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65</w:t>
            </w:r>
          </w:p>
        </w:tc>
        <w:tc>
          <w:tcPr>
            <w:tcW w:w="360" w:type="dxa"/>
            <w:noWrap/>
            <w:textDirection w:val="btLr"/>
            <w:hideMark/>
          </w:tcPr>
          <w:p w14:paraId="3787779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20</w:t>
            </w:r>
          </w:p>
        </w:tc>
        <w:tc>
          <w:tcPr>
            <w:tcW w:w="360" w:type="dxa"/>
            <w:noWrap/>
            <w:textDirection w:val="btLr"/>
            <w:hideMark/>
          </w:tcPr>
          <w:p w14:paraId="630349CC"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41</w:t>
            </w:r>
          </w:p>
        </w:tc>
        <w:tc>
          <w:tcPr>
            <w:tcW w:w="360" w:type="dxa"/>
            <w:noWrap/>
            <w:textDirection w:val="btLr"/>
            <w:hideMark/>
          </w:tcPr>
          <w:p w14:paraId="1032F992"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38</w:t>
            </w:r>
          </w:p>
        </w:tc>
        <w:tc>
          <w:tcPr>
            <w:tcW w:w="360" w:type="dxa"/>
            <w:noWrap/>
            <w:textDirection w:val="btLr"/>
            <w:hideMark/>
          </w:tcPr>
          <w:p w14:paraId="0E9CFD1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62</w:t>
            </w:r>
          </w:p>
        </w:tc>
        <w:tc>
          <w:tcPr>
            <w:tcW w:w="410" w:type="dxa"/>
            <w:noWrap/>
            <w:textDirection w:val="btLr"/>
            <w:hideMark/>
          </w:tcPr>
          <w:p w14:paraId="37A5B418"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35</w:t>
            </w:r>
          </w:p>
        </w:tc>
        <w:tc>
          <w:tcPr>
            <w:tcW w:w="310" w:type="dxa"/>
            <w:noWrap/>
            <w:textDirection w:val="btLr"/>
            <w:hideMark/>
          </w:tcPr>
          <w:p w14:paraId="6AFACFA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50</w:t>
            </w:r>
          </w:p>
        </w:tc>
        <w:tc>
          <w:tcPr>
            <w:tcW w:w="360" w:type="dxa"/>
            <w:noWrap/>
            <w:textDirection w:val="btLr"/>
            <w:hideMark/>
          </w:tcPr>
          <w:p w14:paraId="32FD8985"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66</w:t>
            </w:r>
          </w:p>
        </w:tc>
        <w:tc>
          <w:tcPr>
            <w:tcW w:w="320" w:type="dxa"/>
            <w:noWrap/>
            <w:textDirection w:val="btLr"/>
            <w:hideMark/>
          </w:tcPr>
          <w:p w14:paraId="4391885C"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78</w:t>
            </w:r>
          </w:p>
        </w:tc>
        <w:tc>
          <w:tcPr>
            <w:tcW w:w="360" w:type="dxa"/>
            <w:noWrap/>
            <w:textDirection w:val="btLr"/>
            <w:hideMark/>
          </w:tcPr>
          <w:p w14:paraId="4129117B"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64</w:t>
            </w:r>
          </w:p>
        </w:tc>
        <w:tc>
          <w:tcPr>
            <w:tcW w:w="360" w:type="dxa"/>
            <w:noWrap/>
            <w:textDirection w:val="btLr"/>
            <w:hideMark/>
          </w:tcPr>
          <w:p w14:paraId="5F90704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70</w:t>
            </w:r>
          </w:p>
        </w:tc>
        <w:tc>
          <w:tcPr>
            <w:tcW w:w="450" w:type="dxa"/>
            <w:noWrap/>
            <w:textDirection w:val="btLr"/>
            <w:hideMark/>
          </w:tcPr>
          <w:p w14:paraId="43303068"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51.1</w:t>
            </w:r>
          </w:p>
        </w:tc>
        <w:tc>
          <w:tcPr>
            <w:tcW w:w="360" w:type="dxa"/>
            <w:noWrap/>
            <w:textDirection w:val="btLr"/>
            <w:hideMark/>
          </w:tcPr>
          <w:p w14:paraId="2ABDCCBD"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53.3</w:t>
            </w:r>
          </w:p>
        </w:tc>
        <w:tc>
          <w:tcPr>
            <w:tcW w:w="360" w:type="dxa"/>
            <w:noWrap/>
            <w:textDirection w:val="btLr"/>
            <w:hideMark/>
          </w:tcPr>
          <w:p w14:paraId="4E64490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39.4</w:t>
            </w:r>
          </w:p>
        </w:tc>
        <w:tc>
          <w:tcPr>
            <w:tcW w:w="360" w:type="dxa"/>
            <w:noWrap/>
            <w:textDirection w:val="btLr"/>
            <w:hideMark/>
          </w:tcPr>
          <w:p w14:paraId="78524743"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50</w:t>
            </w:r>
          </w:p>
        </w:tc>
        <w:tc>
          <w:tcPr>
            <w:tcW w:w="360" w:type="dxa"/>
            <w:noWrap/>
            <w:textDirection w:val="btLr"/>
            <w:hideMark/>
          </w:tcPr>
          <w:p w14:paraId="0784DE9D"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32.6</w:t>
            </w:r>
          </w:p>
        </w:tc>
        <w:tc>
          <w:tcPr>
            <w:tcW w:w="360" w:type="dxa"/>
            <w:noWrap/>
            <w:textDirection w:val="btLr"/>
            <w:hideMark/>
          </w:tcPr>
          <w:p w14:paraId="0F5CD78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73.2</w:t>
            </w:r>
          </w:p>
        </w:tc>
        <w:tc>
          <w:tcPr>
            <w:tcW w:w="360" w:type="dxa"/>
            <w:noWrap/>
            <w:textDirection w:val="btLr"/>
            <w:hideMark/>
          </w:tcPr>
          <w:p w14:paraId="77C4E2C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NA </w:t>
            </w:r>
          </w:p>
        </w:tc>
        <w:tc>
          <w:tcPr>
            <w:tcW w:w="360" w:type="dxa"/>
            <w:noWrap/>
            <w:textDirection w:val="btLr"/>
            <w:hideMark/>
          </w:tcPr>
          <w:p w14:paraId="573CE7D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86.1</w:t>
            </w:r>
          </w:p>
        </w:tc>
        <w:tc>
          <w:tcPr>
            <w:tcW w:w="360" w:type="dxa"/>
            <w:noWrap/>
            <w:textDirection w:val="btLr"/>
            <w:hideMark/>
          </w:tcPr>
          <w:p w14:paraId="56975DE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NA </w:t>
            </w:r>
          </w:p>
        </w:tc>
        <w:tc>
          <w:tcPr>
            <w:tcW w:w="360" w:type="dxa"/>
            <w:noWrap/>
            <w:textDirection w:val="btLr"/>
            <w:hideMark/>
          </w:tcPr>
          <w:p w14:paraId="07FA3A3E"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NA </w:t>
            </w:r>
          </w:p>
        </w:tc>
        <w:tc>
          <w:tcPr>
            <w:tcW w:w="360" w:type="dxa"/>
            <w:noWrap/>
            <w:textDirection w:val="btLr"/>
            <w:hideMark/>
          </w:tcPr>
          <w:p w14:paraId="25990F6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35</w:t>
            </w:r>
          </w:p>
        </w:tc>
      </w:tr>
      <w:tr w:rsidR="001F2CBA" w:rsidRPr="00210C2D" w14:paraId="37510D98" w14:textId="77777777" w:rsidTr="007E1F10">
        <w:trPr>
          <w:trHeight w:val="4940"/>
        </w:trPr>
        <w:tc>
          <w:tcPr>
            <w:tcW w:w="360" w:type="dxa"/>
            <w:textDirection w:val="btLr"/>
            <w:hideMark/>
          </w:tcPr>
          <w:p w14:paraId="599ECDBF" w14:textId="77777777" w:rsidR="001F2CBA" w:rsidRPr="00210C2D" w:rsidRDefault="001F2CBA" w:rsidP="007E1F10">
            <w:pPr>
              <w:jc w:val="both"/>
              <w:rPr>
                <w:rFonts w:ascii="Times New Roman" w:hAnsi="Times New Roman" w:cs="Times New Roman"/>
                <w:b/>
                <w:bCs/>
                <w:sz w:val="24"/>
                <w:szCs w:val="24"/>
              </w:rPr>
            </w:pPr>
            <w:r w:rsidRPr="00210C2D">
              <w:rPr>
                <w:rFonts w:ascii="Times New Roman" w:hAnsi="Times New Roman" w:cs="Times New Roman"/>
                <w:b/>
                <w:bCs/>
                <w:sz w:val="24"/>
                <w:szCs w:val="24"/>
              </w:rPr>
              <w:t>Out come measures</w:t>
            </w:r>
          </w:p>
        </w:tc>
        <w:tc>
          <w:tcPr>
            <w:tcW w:w="378" w:type="dxa"/>
            <w:noWrap/>
            <w:textDirection w:val="btLr"/>
            <w:hideMark/>
          </w:tcPr>
          <w:p w14:paraId="3C480A0E"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28 day mortality in ICU, LOSin ICU  </w:t>
            </w:r>
          </w:p>
        </w:tc>
        <w:tc>
          <w:tcPr>
            <w:tcW w:w="363" w:type="dxa"/>
            <w:noWrap/>
            <w:textDirection w:val="btLr"/>
            <w:hideMark/>
          </w:tcPr>
          <w:p w14:paraId="32B6839E"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Mortality and LOSin ICU </w:t>
            </w:r>
          </w:p>
        </w:tc>
        <w:tc>
          <w:tcPr>
            <w:tcW w:w="267" w:type="dxa"/>
            <w:noWrap/>
            <w:textDirection w:val="btLr"/>
            <w:hideMark/>
          </w:tcPr>
          <w:p w14:paraId="1EE417A5"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Length of stay in ICU </w:t>
            </w:r>
          </w:p>
        </w:tc>
        <w:tc>
          <w:tcPr>
            <w:tcW w:w="319" w:type="dxa"/>
            <w:noWrap/>
            <w:textDirection w:val="btLr"/>
            <w:hideMark/>
          </w:tcPr>
          <w:p w14:paraId="2F6BE73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Readmission and mortality in ICU  </w:t>
            </w:r>
          </w:p>
        </w:tc>
        <w:tc>
          <w:tcPr>
            <w:tcW w:w="293" w:type="dxa"/>
            <w:noWrap/>
            <w:textDirection w:val="btLr"/>
            <w:hideMark/>
          </w:tcPr>
          <w:p w14:paraId="5991ED6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overall mortality, mechanical ventilation (MV) days, and ICU and hospital length of stay (LOS</w:t>
            </w:r>
          </w:p>
        </w:tc>
        <w:tc>
          <w:tcPr>
            <w:tcW w:w="288" w:type="dxa"/>
            <w:noWrap/>
            <w:textDirection w:val="btLr"/>
            <w:hideMark/>
          </w:tcPr>
          <w:p w14:paraId="4E4CE8F3"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Length of stay and mortality in the ICU</w:t>
            </w:r>
          </w:p>
        </w:tc>
        <w:tc>
          <w:tcPr>
            <w:tcW w:w="360" w:type="dxa"/>
            <w:noWrap/>
            <w:textDirection w:val="btLr"/>
            <w:hideMark/>
          </w:tcPr>
          <w:p w14:paraId="7791810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LOS in ICU </w:t>
            </w:r>
          </w:p>
        </w:tc>
        <w:tc>
          <w:tcPr>
            <w:tcW w:w="360" w:type="dxa"/>
            <w:noWrap/>
            <w:textDirection w:val="btLr"/>
            <w:hideMark/>
          </w:tcPr>
          <w:p w14:paraId="240FBFB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Not measured </w:t>
            </w:r>
          </w:p>
        </w:tc>
        <w:tc>
          <w:tcPr>
            <w:tcW w:w="360" w:type="dxa"/>
            <w:noWrap/>
            <w:textDirection w:val="btLr"/>
            <w:hideMark/>
          </w:tcPr>
          <w:p w14:paraId="0B3A7EC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Length of MV,LOS in ICU,Hospital LOS</w:t>
            </w:r>
          </w:p>
        </w:tc>
        <w:tc>
          <w:tcPr>
            <w:tcW w:w="360" w:type="dxa"/>
            <w:noWrap/>
            <w:textDirection w:val="btLr"/>
            <w:hideMark/>
          </w:tcPr>
          <w:p w14:paraId="5E1DC9EB"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mortality, days of mechanical ventilation, and LOS.</w:t>
            </w:r>
          </w:p>
        </w:tc>
        <w:tc>
          <w:tcPr>
            <w:tcW w:w="360" w:type="dxa"/>
            <w:noWrap/>
            <w:textDirection w:val="btLr"/>
            <w:hideMark/>
          </w:tcPr>
          <w:p w14:paraId="37D8165C"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Length of mechanical ventilation, length of ICU stay, and mortality</w:t>
            </w:r>
          </w:p>
        </w:tc>
        <w:tc>
          <w:tcPr>
            <w:tcW w:w="360" w:type="dxa"/>
            <w:noWrap/>
            <w:textDirection w:val="btLr"/>
            <w:hideMark/>
          </w:tcPr>
          <w:p w14:paraId="77DEA70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Hospilal length of stay ,ICU LOS</w:t>
            </w:r>
          </w:p>
        </w:tc>
        <w:tc>
          <w:tcPr>
            <w:tcW w:w="360" w:type="dxa"/>
            <w:noWrap/>
            <w:textDirection w:val="btLr"/>
            <w:hideMark/>
          </w:tcPr>
          <w:p w14:paraId="33BAAF0E"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length of stay ICU</w:t>
            </w:r>
          </w:p>
        </w:tc>
        <w:tc>
          <w:tcPr>
            <w:tcW w:w="360" w:type="dxa"/>
            <w:noWrap/>
            <w:textDirection w:val="btLr"/>
            <w:hideMark/>
          </w:tcPr>
          <w:p w14:paraId="1BDA7B23"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mortality and LOSin ICU </w:t>
            </w:r>
          </w:p>
        </w:tc>
        <w:tc>
          <w:tcPr>
            <w:tcW w:w="410" w:type="dxa"/>
            <w:noWrap/>
            <w:textDirection w:val="btLr"/>
            <w:hideMark/>
          </w:tcPr>
          <w:p w14:paraId="27B2B965"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ICU LOS,days </w:t>
            </w:r>
            <w:r>
              <w:rPr>
                <w:rFonts w:ascii="Times New Roman" w:hAnsi="Times New Roman" w:cs="Times New Roman"/>
                <w:sz w:val="24"/>
                <w:szCs w:val="24"/>
              </w:rPr>
              <w:t>,</w:t>
            </w:r>
            <w:r w:rsidRPr="00210C2D">
              <w:rPr>
                <w:rFonts w:ascii="Times New Roman" w:hAnsi="Times New Roman" w:cs="Times New Roman"/>
                <w:sz w:val="24"/>
                <w:szCs w:val="24"/>
              </w:rPr>
              <w:t>mechanical ventilation</w:t>
            </w:r>
          </w:p>
        </w:tc>
        <w:tc>
          <w:tcPr>
            <w:tcW w:w="310" w:type="dxa"/>
            <w:noWrap/>
            <w:textDirection w:val="btLr"/>
            <w:hideMark/>
          </w:tcPr>
          <w:p w14:paraId="0E7F1CB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Mortality in the ICU </w:t>
            </w:r>
          </w:p>
        </w:tc>
        <w:tc>
          <w:tcPr>
            <w:tcW w:w="360" w:type="dxa"/>
            <w:noWrap/>
            <w:textDirection w:val="btLr"/>
            <w:hideMark/>
          </w:tcPr>
          <w:p w14:paraId="3D7CE408"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Mortality in the ICU </w:t>
            </w:r>
          </w:p>
        </w:tc>
        <w:tc>
          <w:tcPr>
            <w:tcW w:w="320" w:type="dxa"/>
            <w:noWrap/>
            <w:textDirection w:val="btLr"/>
            <w:hideMark/>
          </w:tcPr>
          <w:p w14:paraId="7B44DB0C"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Mortality in the ICU </w:t>
            </w:r>
          </w:p>
        </w:tc>
        <w:tc>
          <w:tcPr>
            <w:tcW w:w="360" w:type="dxa"/>
            <w:noWrap/>
            <w:textDirection w:val="btLr"/>
            <w:hideMark/>
          </w:tcPr>
          <w:p w14:paraId="1B945AE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Length of stay and mortality in the ICU</w:t>
            </w:r>
          </w:p>
        </w:tc>
        <w:tc>
          <w:tcPr>
            <w:tcW w:w="360" w:type="dxa"/>
            <w:noWrap/>
            <w:textDirection w:val="btLr"/>
            <w:hideMark/>
          </w:tcPr>
          <w:p w14:paraId="256F964D"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Length of stay and mortality in the ICU</w:t>
            </w:r>
          </w:p>
        </w:tc>
        <w:tc>
          <w:tcPr>
            <w:tcW w:w="450" w:type="dxa"/>
            <w:noWrap/>
            <w:textDirection w:val="btLr"/>
            <w:hideMark/>
          </w:tcPr>
          <w:p w14:paraId="44E5C7A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Length of stay and mortality in the ICU</w:t>
            </w:r>
          </w:p>
        </w:tc>
        <w:tc>
          <w:tcPr>
            <w:tcW w:w="360" w:type="dxa"/>
            <w:noWrap/>
            <w:textDirection w:val="btLr"/>
            <w:hideMark/>
          </w:tcPr>
          <w:p w14:paraId="3E29875F"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Length of stay and mortality in the ICU</w:t>
            </w:r>
          </w:p>
        </w:tc>
        <w:tc>
          <w:tcPr>
            <w:tcW w:w="360" w:type="dxa"/>
            <w:noWrap/>
            <w:textDirection w:val="btLr"/>
            <w:hideMark/>
          </w:tcPr>
          <w:p w14:paraId="5A3B0D58"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Length of stay and mortality in the ICU</w:t>
            </w:r>
          </w:p>
        </w:tc>
        <w:tc>
          <w:tcPr>
            <w:tcW w:w="360" w:type="dxa"/>
            <w:noWrap/>
            <w:textDirection w:val="btLr"/>
            <w:hideMark/>
          </w:tcPr>
          <w:p w14:paraId="267BCDE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Length of stay and mortality in the ICU</w:t>
            </w:r>
          </w:p>
        </w:tc>
        <w:tc>
          <w:tcPr>
            <w:tcW w:w="360" w:type="dxa"/>
            <w:noWrap/>
            <w:textDirection w:val="btLr"/>
            <w:hideMark/>
          </w:tcPr>
          <w:p w14:paraId="7696BDBA"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Mortality in the ICU </w:t>
            </w:r>
          </w:p>
        </w:tc>
        <w:tc>
          <w:tcPr>
            <w:tcW w:w="360" w:type="dxa"/>
            <w:noWrap/>
            <w:textDirection w:val="btLr"/>
            <w:hideMark/>
          </w:tcPr>
          <w:p w14:paraId="0FF98C3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Length of stay and mortality in the ICU</w:t>
            </w:r>
          </w:p>
        </w:tc>
        <w:tc>
          <w:tcPr>
            <w:tcW w:w="360" w:type="dxa"/>
            <w:noWrap/>
            <w:textDirection w:val="btLr"/>
            <w:hideMark/>
          </w:tcPr>
          <w:p w14:paraId="73851FBA"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Mortality in the ICU </w:t>
            </w:r>
          </w:p>
        </w:tc>
        <w:tc>
          <w:tcPr>
            <w:tcW w:w="360" w:type="dxa"/>
            <w:noWrap/>
            <w:textDirection w:val="btLr"/>
            <w:hideMark/>
          </w:tcPr>
          <w:p w14:paraId="551F052D"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Length of stay and mortality in the ICU</w:t>
            </w:r>
          </w:p>
        </w:tc>
        <w:tc>
          <w:tcPr>
            <w:tcW w:w="360" w:type="dxa"/>
            <w:noWrap/>
            <w:textDirection w:val="btLr"/>
            <w:hideMark/>
          </w:tcPr>
          <w:p w14:paraId="22166AB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Mortality in the ICU </w:t>
            </w:r>
          </w:p>
        </w:tc>
        <w:tc>
          <w:tcPr>
            <w:tcW w:w="360" w:type="dxa"/>
            <w:noWrap/>
            <w:textDirection w:val="btLr"/>
            <w:hideMark/>
          </w:tcPr>
          <w:p w14:paraId="5107A58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Mortality in the ICU </w:t>
            </w:r>
          </w:p>
        </w:tc>
        <w:tc>
          <w:tcPr>
            <w:tcW w:w="360" w:type="dxa"/>
            <w:noWrap/>
            <w:textDirection w:val="btLr"/>
            <w:hideMark/>
          </w:tcPr>
          <w:p w14:paraId="2D65D96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Length of stay and mortality in the ICU</w:t>
            </w:r>
          </w:p>
        </w:tc>
      </w:tr>
      <w:tr w:rsidR="001F2CBA" w:rsidRPr="00210C2D" w14:paraId="2FEDEFAA" w14:textId="77777777" w:rsidTr="007E1F10">
        <w:trPr>
          <w:trHeight w:val="3572"/>
        </w:trPr>
        <w:tc>
          <w:tcPr>
            <w:tcW w:w="360" w:type="dxa"/>
            <w:textDirection w:val="btLr"/>
            <w:hideMark/>
          </w:tcPr>
          <w:p w14:paraId="3B835244" w14:textId="77777777" w:rsidR="001F2CBA" w:rsidRPr="00210C2D" w:rsidRDefault="001F2CBA" w:rsidP="007E1F10">
            <w:pPr>
              <w:jc w:val="both"/>
              <w:rPr>
                <w:rFonts w:ascii="Times New Roman" w:hAnsi="Times New Roman" w:cs="Times New Roman"/>
                <w:b/>
                <w:bCs/>
                <w:sz w:val="24"/>
                <w:szCs w:val="24"/>
              </w:rPr>
            </w:pPr>
            <w:r w:rsidRPr="00210C2D">
              <w:rPr>
                <w:rFonts w:ascii="Times New Roman" w:hAnsi="Times New Roman" w:cs="Times New Roman"/>
                <w:b/>
                <w:bCs/>
                <w:sz w:val="24"/>
                <w:szCs w:val="24"/>
              </w:rPr>
              <w:lastRenderedPageBreak/>
              <w:t xml:space="preserve">Ass't tools to measure nutritional status in ICU </w:t>
            </w:r>
          </w:p>
        </w:tc>
        <w:tc>
          <w:tcPr>
            <w:tcW w:w="378" w:type="dxa"/>
            <w:noWrap/>
            <w:textDirection w:val="btLr"/>
            <w:hideMark/>
          </w:tcPr>
          <w:p w14:paraId="37F7D092"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SGA</w:t>
            </w:r>
          </w:p>
        </w:tc>
        <w:tc>
          <w:tcPr>
            <w:tcW w:w="363" w:type="dxa"/>
            <w:noWrap/>
            <w:textDirection w:val="btLr"/>
            <w:hideMark/>
          </w:tcPr>
          <w:p w14:paraId="3909510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SGA</w:t>
            </w:r>
          </w:p>
        </w:tc>
        <w:tc>
          <w:tcPr>
            <w:tcW w:w="267" w:type="dxa"/>
            <w:noWrap/>
            <w:textDirection w:val="btLr"/>
            <w:hideMark/>
          </w:tcPr>
          <w:p w14:paraId="357620CE"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 SGA, BMI and handgrip strength (HGS)</w:t>
            </w:r>
          </w:p>
        </w:tc>
        <w:tc>
          <w:tcPr>
            <w:tcW w:w="319" w:type="dxa"/>
            <w:noWrap/>
            <w:textDirection w:val="btLr"/>
            <w:hideMark/>
          </w:tcPr>
          <w:p w14:paraId="0FD55F92"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SGA,anthropometric and laboratory methods. </w:t>
            </w:r>
          </w:p>
        </w:tc>
        <w:tc>
          <w:tcPr>
            <w:tcW w:w="293" w:type="dxa"/>
            <w:noWrap/>
            <w:textDirection w:val="btLr"/>
            <w:hideMark/>
          </w:tcPr>
          <w:p w14:paraId="07C02AA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SGA</w:t>
            </w:r>
          </w:p>
        </w:tc>
        <w:tc>
          <w:tcPr>
            <w:tcW w:w="288" w:type="dxa"/>
            <w:noWrap/>
            <w:textDirection w:val="btLr"/>
            <w:hideMark/>
          </w:tcPr>
          <w:p w14:paraId="722FF3A5"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SGA,(NRS) 2002, and the modified NUTRIC score (mNUTRIC SCORE)</w:t>
            </w:r>
          </w:p>
        </w:tc>
        <w:tc>
          <w:tcPr>
            <w:tcW w:w="360" w:type="dxa"/>
            <w:noWrap/>
            <w:textDirection w:val="btLr"/>
            <w:hideMark/>
          </w:tcPr>
          <w:p w14:paraId="34A2F1A2"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MiniNutrition Assessment (MNA), SGA,  (NRS 2002)and MNA-short form (MNA-SF)</w:t>
            </w:r>
          </w:p>
        </w:tc>
        <w:tc>
          <w:tcPr>
            <w:tcW w:w="360" w:type="dxa"/>
            <w:noWrap/>
            <w:textDirection w:val="btLr"/>
            <w:hideMark/>
          </w:tcPr>
          <w:p w14:paraId="6A1CB4E2"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SGA ,MUAC </w:t>
            </w:r>
          </w:p>
        </w:tc>
        <w:tc>
          <w:tcPr>
            <w:tcW w:w="360" w:type="dxa"/>
            <w:noWrap/>
            <w:textDirection w:val="btLr"/>
            <w:hideMark/>
          </w:tcPr>
          <w:p w14:paraId="6A54248E"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SGA  Mnutric</w:t>
            </w:r>
          </w:p>
        </w:tc>
        <w:tc>
          <w:tcPr>
            <w:tcW w:w="360" w:type="dxa"/>
            <w:noWrap/>
            <w:textDirection w:val="btLr"/>
            <w:hideMark/>
          </w:tcPr>
          <w:p w14:paraId="390B4F5A"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SGA, TAPM</w:t>
            </w:r>
          </w:p>
        </w:tc>
        <w:tc>
          <w:tcPr>
            <w:tcW w:w="360" w:type="dxa"/>
            <w:noWrap/>
            <w:textDirection w:val="btLr"/>
            <w:hideMark/>
          </w:tcPr>
          <w:p w14:paraId="01EFFB8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SGA </w:t>
            </w:r>
          </w:p>
        </w:tc>
        <w:tc>
          <w:tcPr>
            <w:tcW w:w="360" w:type="dxa"/>
            <w:noWrap/>
            <w:textDirection w:val="btLr"/>
            <w:hideMark/>
          </w:tcPr>
          <w:p w14:paraId="6E91169F"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SGA  Mnutric</w:t>
            </w:r>
          </w:p>
        </w:tc>
        <w:tc>
          <w:tcPr>
            <w:tcW w:w="360" w:type="dxa"/>
            <w:noWrap/>
            <w:textDirection w:val="btLr"/>
            <w:hideMark/>
          </w:tcPr>
          <w:p w14:paraId="4F1DD4E3"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SGA, GLIM</w:t>
            </w:r>
          </w:p>
        </w:tc>
        <w:tc>
          <w:tcPr>
            <w:tcW w:w="360" w:type="dxa"/>
            <w:noWrap/>
            <w:textDirection w:val="btLr"/>
            <w:hideMark/>
          </w:tcPr>
          <w:p w14:paraId="467CF47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SGA, GLIM</w:t>
            </w:r>
          </w:p>
        </w:tc>
        <w:tc>
          <w:tcPr>
            <w:tcW w:w="410" w:type="dxa"/>
            <w:noWrap/>
            <w:textDirection w:val="btLr"/>
            <w:hideMark/>
          </w:tcPr>
          <w:p w14:paraId="42BA3CB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SGA </w:t>
            </w:r>
          </w:p>
        </w:tc>
        <w:tc>
          <w:tcPr>
            <w:tcW w:w="310" w:type="dxa"/>
            <w:noWrap/>
            <w:textDirection w:val="btLr"/>
            <w:hideMark/>
          </w:tcPr>
          <w:p w14:paraId="7DB7EBA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SGA</w:t>
            </w:r>
          </w:p>
        </w:tc>
        <w:tc>
          <w:tcPr>
            <w:tcW w:w="360" w:type="dxa"/>
            <w:noWrap/>
            <w:textDirection w:val="btLr"/>
            <w:hideMark/>
          </w:tcPr>
          <w:p w14:paraId="13D86832"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NRS,NUTRIC,(SGA</w:t>
            </w:r>
          </w:p>
        </w:tc>
        <w:tc>
          <w:tcPr>
            <w:tcW w:w="320" w:type="dxa"/>
            <w:noWrap/>
            <w:textDirection w:val="btLr"/>
            <w:hideMark/>
          </w:tcPr>
          <w:p w14:paraId="702209D2"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SGA</w:t>
            </w:r>
          </w:p>
        </w:tc>
        <w:tc>
          <w:tcPr>
            <w:tcW w:w="360" w:type="dxa"/>
            <w:noWrap/>
            <w:textDirection w:val="btLr"/>
            <w:hideMark/>
          </w:tcPr>
          <w:p w14:paraId="64DFBE5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PG-SGA</w:t>
            </w:r>
          </w:p>
        </w:tc>
        <w:tc>
          <w:tcPr>
            <w:tcW w:w="360" w:type="dxa"/>
            <w:noWrap/>
            <w:textDirection w:val="btLr"/>
            <w:hideMark/>
          </w:tcPr>
          <w:p w14:paraId="7694FB2B"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protein-energy malnutrition</w:t>
            </w:r>
          </w:p>
        </w:tc>
        <w:tc>
          <w:tcPr>
            <w:tcW w:w="450" w:type="dxa"/>
            <w:noWrap/>
            <w:textDirection w:val="btLr"/>
            <w:hideMark/>
          </w:tcPr>
          <w:p w14:paraId="4C74A75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Malnutrition Universal Screening</w:t>
            </w:r>
            <w:r w:rsidRPr="00210C2D">
              <w:rPr>
                <w:rFonts w:ascii="Times New Roman" w:hAnsi="Times New Roman" w:cs="Times New Roman"/>
                <w:sz w:val="24"/>
                <w:szCs w:val="24"/>
              </w:rPr>
              <w:br/>
              <w:t>Tool—MUST</w:t>
            </w:r>
          </w:p>
        </w:tc>
        <w:tc>
          <w:tcPr>
            <w:tcW w:w="360" w:type="dxa"/>
            <w:noWrap/>
            <w:textDirection w:val="btLr"/>
            <w:hideMark/>
          </w:tcPr>
          <w:p w14:paraId="3244A53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SGA </w:t>
            </w:r>
          </w:p>
        </w:tc>
        <w:tc>
          <w:tcPr>
            <w:tcW w:w="360" w:type="dxa"/>
            <w:noWrap/>
            <w:textDirection w:val="btLr"/>
            <w:hideMark/>
          </w:tcPr>
          <w:p w14:paraId="0E8355C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SGA </w:t>
            </w:r>
          </w:p>
        </w:tc>
        <w:tc>
          <w:tcPr>
            <w:tcW w:w="360" w:type="dxa"/>
            <w:noWrap/>
            <w:textDirection w:val="btLr"/>
            <w:hideMark/>
          </w:tcPr>
          <w:p w14:paraId="5F7E4D2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SGA,(NRS) 2002, and the modified NUTRIC score (mNUTRIC SCORE)</w:t>
            </w:r>
          </w:p>
        </w:tc>
        <w:tc>
          <w:tcPr>
            <w:tcW w:w="360" w:type="dxa"/>
            <w:noWrap/>
            <w:textDirection w:val="btLr"/>
            <w:hideMark/>
          </w:tcPr>
          <w:p w14:paraId="0B62517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SGA,(NRS) 2002, and the modified NUTRIC score (mNUTRIC SCORE)</w:t>
            </w:r>
          </w:p>
        </w:tc>
        <w:tc>
          <w:tcPr>
            <w:tcW w:w="360" w:type="dxa"/>
            <w:noWrap/>
            <w:textDirection w:val="btLr"/>
            <w:hideMark/>
          </w:tcPr>
          <w:p w14:paraId="55DC37F1"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NRS-2002, points</w:t>
            </w:r>
          </w:p>
        </w:tc>
        <w:tc>
          <w:tcPr>
            <w:tcW w:w="360" w:type="dxa"/>
            <w:noWrap/>
            <w:textDirection w:val="btLr"/>
            <w:hideMark/>
          </w:tcPr>
          <w:p w14:paraId="7C5B001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NRS-2002, points</w:t>
            </w:r>
          </w:p>
        </w:tc>
        <w:tc>
          <w:tcPr>
            <w:tcW w:w="360" w:type="dxa"/>
            <w:noWrap/>
            <w:textDirection w:val="btLr"/>
            <w:hideMark/>
          </w:tcPr>
          <w:p w14:paraId="4A1FC055"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mNUTRIC score</w:t>
            </w:r>
          </w:p>
        </w:tc>
        <w:tc>
          <w:tcPr>
            <w:tcW w:w="360" w:type="dxa"/>
            <w:noWrap/>
            <w:textDirection w:val="btLr"/>
            <w:hideMark/>
          </w:tcPr>
          <w:p w14:paraId="3F226375"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mNUTRIC score</w:t>
            </w:r>
          </w:p>
        </w:tc>
        <w:tc>
          <w:tcPr>
            <w:tcW w:w="360" w:type="dxa"/>
            <w:noWrap/>
            <w:textDirection w:val="btLr"/>
            <w:hideMark/>
          </w:tcPr>
          <w:p w14:paraId="254E4C88"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SGA,(NRS) 2002, and the modified NUTRIC score (mNUTRIC SCORE)</w:t>
            </w:r>
          </w:p>
        </w:tc>
        <w:tc>
          <w:tcPr>
            <w:tcW w:w="360" w:type="dxa"/>
            <w:noWrap/>
            <w:textDirection w:val="btLr"/>
            <w:hideMark/>
          </w:tcPr>
          <w:p w14:paraId="47DACCC1"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NRS-2002</w:t>
            </w:r>
          </w:p>
        </w:tc>
      </w:tr>
      <w:tr w:rsidR="001F2CBA" w:rsidRPr="00210C2D" w14:paraId="075F2512" w14:textId="77777777" w:rsidTr="007E1F10">
        <w:trPr>
          <w:trHeight w:val="3770"/>
        </w:trPr>
        <w:tc>
          <w:tcPr>
            <w:tcW w:w="360" w:type="dxa"/>
            <w:textDirection w:val="btLr"/>
            <w:hideMark/>
          </w:tcPr>
          <w:p w14:paraId="561027A5" w14:textId="77777777" w:rsidR="001F2CBA" w:rsidRPr="00210C2D" w:rsidRDefault="001F2CBA" w:rsidP="007E1F10">
            <w:pPr>
              <w:jc w:val="both"/>
              <w:rPr>
                <w:rFonts w:ascii="Times New Roman" w:hAnsi="Times New Roman" w:cs="Times New Roman"/>
                <w:b/>
                <w:bCs/>
                <w:sz w:val="24"/>
                <w:szCs w:val="24"/>
              </w:rPr>
            </w:pPr>
            <w:r w:rsidRPr="00210C2D">
              <w:rPr>
                <w:rFonts w:ascii="Times New Roman" w:hAnsi="Times New Roman" w:cs="Times New Roman"/>
                <w:b/>
                <w:bCs/>
                <w:sz w:val="24"/>
                <w:szCs w:val="24"/>
              </w:rPr>
              <w:t>Measurment of deseasesevierity</w:t>
            </w:r>
          </w:p>
        </w:tc>
        <w:tc>
          <w:tcPr>
            <w:tcW w:w="378" w:type="dxa"/>
            <w:noWrap/>
            <w:textDirection w:val="btLr"/>
            <w:hideMark/>
          </w:tcPr>
          <w:p w14:paraId="44CDCB71"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APACHE II,SOFA</w:t>
            </w:r>
          </w:p>
        </w:tc>
        <w:tc>
          <w:tcPr>
            <w:tcW w:w="363" w:type="dxa"/>
            <w:noWrap/>
            <w:textDirection w:val="btLr"/>
            <w:hideMark/>
          </w:tcPr>
          <w:p w14:paraId="26029A7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APACHE II and SAPS</w:t>
            </w:r>
          </w:p>
        </w:tc>
        <w:tc>
          <w:tcPr>
            <w:tcW w:w="267" w:type="dxa"/>
            <w:noWrap/>
            <w:textDirection w:val="btLr"/>
            <w:hideMark/>
          </w:tcPr>
          <w:p w14:paraId="4CECE76D"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Charlson comorbidity index (CCI)</w:t>
            </w:r>
          </w:p>
        </w:tc>
        <w:tc>
          <w:tcPr>
            <w:tcW w:w="319" w:type="dxa"/>
            <w:noWrap/>
            <w:textDirection w:val="btLr"/>
            <w:hideMark/>
          </w:tcPr>
          <w:p w14:paraId="377727C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APACHE II</w:t>
            </w:r>
          </w:p>
        </w:tc>
        <w:tc>
          <w:tcPr>
            <w:tcW w:w="293" w:type="dxa"/>
            <w:noWrap/>
            <w:textDirection w:val="btLr"/>
            <w:hideMark/>
          </w:tcPr>
          <w:p w14:paraId="713DB55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APACHE-II</w:t>
            </w:r>
          </w:p>
        </w:tc>
        <w:tc>
          <w:tcPr>
            <w:tcW w:w="288" w:type="dxa"/>
            <w:noWrap/>
            <w:textDirection w:val="btLr"/>
            <w:hideMark/>
          </w:tcPr>
          <w:p w14:paraId="67629F5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 APACHE-II,Charlson Comorbidity Index (CCI)</w:t>
            </w:r>
          </w:p>
        </w:tc>
        <w:tc>
          <w:tcPr>
            <w:tcW w:w="360" w:type="dxa"/>
            <w:noWrap/>
            <w:textDirection w:val="btLr"/>
            <w:hideMark/>
          </w:tcPr>
          <w:p w14:paraId="4D8803F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APACHE II</w:t>
            </w:r>
          </w:p>
        </w:tc>
        <w:tc>
          <w:tcPr>
            <w:tcW w:w="360" w:type="dxa"/>
            <w:noWrap/>
            <w:textDirection w:val="btLr"/>
            <w:hideMark/>
          </w:tcPr>
          <w:p w14:paraId="760C93AF"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APACHE II and SOFA</w:t>
            </w:r>
          </w:p>
        </w:tc>
        <w:tc>
          <w:tcPr>
            <w:tcW w:w="360" w:type="dxa"/>
            <w:noWrap/>
            <w:textDirection w:val="btLr"/>
            <w:hideMark/>
          </w:tcPr>
          <w:p w14:paraId="5B8A9DEE"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APACHE II,pridicted mortality risk,SOFA</w:t>
            </w:r>
          </w:p>
        </w:tc>
        <w:tc>
          <w:tcPr>
            <w:tcW w:w="360" w:type="dxa"/>
            <w:noWrap/>
            <w:textDirection w:val="btLr"/>
            <w:hideMark/>
          </w:tcPr>
          <w:p w14:paraId="6FD988F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APACHE II scores</w:t>
            </w:r>
          </w:p>
        </w:tc>
        <w:tc>
          <w:tcPr>
            <w:tcW w:w="360" w:type="dxa"/>
            <w:noWrap/>
            <w:textDirection w:val="btLr"/>
            <w:hideMark/>
          </w:tcPr>
          <w:p w14:paraId="0767DC2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APACHEII</w:t>
            </w:r>
          </w:p>
        </w:tc>
        <w:tc>
          <w:tcPr>
            <w:tcW w:w="360" w:type="dxa"/>
            <w:noWrap/>
            <w:textDirection w:val="btLr"/>
            <w:hideMark/>
          </w:tcPr>
          <w:p w14:paraId="367559AC"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APACHE II and SOFA</w:t>
            </w:r>
          </w:p>
        </w:tc>
        <w:tc>
          <w:tcPr>
            <w:tcW w:w="360" w:type="dxa"/>
            <w:noWrap/>
            <w:textDirection w:val="btLr"/>
            <w:hideMark/>
          </w:tcPr>
          <w:p w14:paraId="4EFDFA58"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APACHEII and sofa</w:t>
            </w:r>
          </w:p>
        </w:tc>
        <w:tc>
          <w:tcPr>
            <w:tcW w:w="360" w:type="dxa"/>
            <w:noWrap/>
            <w:textDirection w:val="btLr"/>
            <w:hideMark/>
          </w:tcPr>
          <w:p w14:paraId="0079DA2A"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APACHE</w:t>
            </w:r>
          </w:p>
        </w:tc>
        <w:tc>
          <w:tcPr>
            <w:tcW w:w="410" w:type="dxa"/>
            <w:noWrap/>
            <w:textDirection w:val="btLr"/>
            <w:hideMark/>
          </w:tcPr>
          <w:p w14:paraId="5DB328B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APACHE II</w:t>
            </w:r>
          </w:p>
        </w:tc>
        <w:tc>
          <w:tcPr>
            <w:tcW w:w="310" w:type="dxa"/>
            <w:noWrap/>
            <w:textDirection w:val="btLr"/>
            <w:hideMark/>
          </w:tcPr>
          <w:p w14:paraId="3D2DDBCF"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APACHE IIand SOFA </w:t>
            </w:r>
          </w:p>
        </w:tc>
        <w:tc>
          <w:tcPr>
            <w:tcW w:w="360" w:type="dxa"/>
            <w:noWrap/>
            <w:textDirection w:val="btLr"/>
            <w:hideMark/>
          </w:tcPr>
          <w:p w14:paraId="235665A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APACHE Ii score, SOFA score</w:t>
            </w:r>
          </w:p>
        </w:tc>
        <w:tc>
          <w:tcPr>
            <w:tcW w:w="320" w:type="dxa"/>
            <w:noWrap/>
            <w:textDirection w:val="btLr"/>
            <w:hideMark/>
          </w:tcPr>
          <w:p w14:paraId="448655CA"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APACHE II</w:t>
            </w:r>
          </w:p>
        </w:tc>
        <w:tc>
          <w:tcPr>
            <w:tcW w:w="360" w:type="dxa"/>
            <w:noWrap/>
            <w:textDirection w:val="btLr"/>
            <w:hideMark/>
          </w:tcPr>
          <w:p w14:paraId="709600F8"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APACHE II scores</w:t>
            </w:r>
          </w:p>
        </w:tc>
        <w:tc>
          <w:tcPr>
            <w:tcW w:w="360" w:type="dxa"/>
            <w:noWrap/>
            <w:textDirection w:val="btLr"/>
            <w:hideMark/>
          </w:tcPr>
          <w:p w14:paraId="45B01B1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APACHE II scores</w:t>
            </w:r>
          </w:p>
        </w:tc>
        <w:tc>
          <w:tcPr>
            <w:tcW w:w="450" w:type="dxa"/>
            <w:noWrap/>
            <w:textDirection w:val="btLr"/>
            <w:hideMark/>
          </w:tcPr>
          <w:p w14:paraId="100BF18A"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APACHE II scores</w:t>
            </w:r>
          </w:p>
        </w:tc>
        <w:tc>
          <w:tcPr>
            <w:tcW w:w="360" w:type="dxa"/>
            <w:noWrap/>
            <w:textDirection w:val="btLr"/>
            <w:hideMark/>
          </w:tcPr>
          <w:p w14:paraId="353DE6BE"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APACHE II scores</w:t>
            </w:r>
          </w:p>
        </w:tc>
        <w:tc>
          <w:tcPr>
            <w:tcW w:w="360" w:type="dxa"/>
            <w:noWrap/>
            <w:textDirection w:val="btLr"/>
            <w:hideMark/>
          </w:tcPr>
          <w:p w14:paraId="22C9D5ED"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APACHE II and SOFA</w:t>
            </w:r>
          </w:p>
        </w:tc>
        <w:tc>
          <w:tcPr>
            <w:tcW w:w="360" w:type="dxa"/>
            <w:noWrap/>
            <w:textDirection w:val="btLr"/>
            <w:hideMark/>
          </w:tcPr>
          <w:p w14:paraId="3420A2D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APACHE II and SOFA</w:t>
            </w:r>
          </w:p>
        </w:tc>
        <w:tc>
          <w:tcPr>
            <w:tcW w:w="360" w:type="dxa"/>
            <w:noWrap/>
            <w:textDirection w:val="btLr"/>
            <w:hideMark/>
          </w:tcPr>
          <w:p w14:paraId="6313DF5B"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APACHE II and SOFA</w:t>
            </w:r>
          </w:p>
        </w:tc>
        <w:tc>
          <w:tcPr>
            <w:tcW w:w="360" w:type="dxa"/>
            <w:noWrap/>
            <w:textDirection w:val="btLr"/>
            <w:hideMark/>
          </w:tcPr>
          <w:p w14:paraId="0C6C8A51"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APACHE II, points</w:t>
            </w:r>
          </w:p>
        </w:tc>
        <w:tc>
          <w:tcPr>
            <w:tcW w:w="360" w:type="dxa"/>
            <w:noWrap/>
            <w:textDirection w:val="btLr"/>
            <w:hideMark/>
          </w:tcPr>
          <w:p w14:paraId="3B02FA4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APACHEII points </w:t>
            </w:r>
          </w:p>
        </w:tc>
        <w:tc>
          <w:tcPr>
            <w:tcW w:w="360" w:type="dxa"/>
            <w:noWrap/>
            <w:textDirection w:val="btLr"/>
            <w:hideMark/>
          </w:tcPr>
          <w:p w14:paraId="7C474542"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APACHE II,SOFA</w:t>
            </w:r>
          </w:p>
        </w:tc>
        <w:tc>
          <w:tcPr>
            <w:tcW w:w="360" w:type="dxa"/>
            <w:noWrap/>
            <w:textDirection w:val="btLr"/>
            <w:hideMark/>
          </w:tcPr>
          <w:p w14:paraId="5538F74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APACHE II and SOFA</w:t>
            </w:r>
          </w:p>
        </w:tc>
        <w:tc>
          <w:tcPr>
            <w:tcW w:w="360" w:type="dxa"/>
            <w:noWrap/>
            <w:textDirection w:val="btLr"/>
            <w:hideMark/>
          </w:tcPr>
          <w:p w14:paraId="057333D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APACHE II and SOFA scores</w:t>
            </w:r>
          </w:p>
        </w:tc>
        <w:tc>
          <w:tcPr>
            <w:tcW w:w="360" w:type="dxa"/>
            <w:noWrap/>
            <w:textDirection w:val="btLr"/>
            <w:hideMark/>
          </w:tcPr>
          <w:p w14:paraId="2F9878CD"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APACHE2</w:t>
            </w:r>
          </w:p>
        </w:tc>
      </w:tr>
      <w:tr w:rsidR="001F2CBA" w:rsidRPr="00210C2D" w14:paraId="295542EE" w14:textId="77777777" w:rsidTr="007E1F10">
        <w:trPr>
          <w:trHeight w:val="2600"/>
        </w:trPr>
        <w:tc>
          <w:tcPr>
            <w:tcW w:w="360" w:type="dxa"/>
            <w:noWrap/>
            <w:textDirection w:val="btLr"/>
            <w:hideMark/>
          </w:tcPr>
          <w:p w14:paraId="681DD9C9" w14:textId="77777777" w:rsidR="001F2CBA" w:rsidRPr="00210C2D" w:rsidRDefault="001F2CBA" w:rsidP="007E1F10">
            <w:pPr>
              <w:jc w:val="both"/>
              <w:rPr>
                <w:rFonts w:ascii="Times New Roman" w:hAnsi="Times New Roman" w:cs="Times New Roman"/>
                <w:b/>
                <w:bCs/>
                <w:sz w:val="24"/>
                <w:szCs w:val="24"/>
              </w:rPr>
            </w:pPr>
            <w:r w:rsidRPr="00210C2D">
              <w:rPr>
                <w:rFonts w:ascii="Times New Roman" w:hAnsi="Times New Roman" w:cs="Times New Roman"/>
                <w:b/>
                <w:bCs/>
                <w:sz w:val="24"/>
                <w:szCs w:val="24"/>
              </w:rPr>
              <w:t xml:space="preserve">Type of patient </w:t>
            </w:r>
          </w:p>
        </w:tc>
        <w:tc>
          <w:tcPr>
            <w:tcW w:w="378" w:type="dxa"/>
            <w:noWrap/>
            <w:textDirection w:val="btLr"/>
            <w:hideMark/>
          </w:tcPr>
          <w:p w14:paraId="5C38E15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medical and surgical </w:t>
            </w:r>
          </w:p>
        </w:tc>
        <w:tc>
          <w:tcPr>
            <w:tcW w:w="363" w:type="dxa"/>
            <w:noWrap/>
            <w:textDirection w:val="btLr"/>
            <w:hideMark/>
          </w:tcPr>
          <w:p w14:paraId="0D29A0F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medical and surgical </w:t>
            </w:r>
          </w:p>
        </w:tc>
        <w:tc>
          <w:tcPr>
            <w:tcW w:w="267" w:type="dxa"/>
            <w:noWrap/>
            <w:textDirection w:val="btLr"/>
            <w:hideMark/>
          </w:tcPr>
          <w:p w14:paraId="1111262F"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medical and surgical </w:t>
            </w:r>
          </w:p>
        </w:tc>
        <w:tc>
          <w:tcPr>
            <w:tcW w:w="319" w:type="dxa"/>
            <w:noWrap/>
            <w:textDirection w:val="btLr"/>
            <w:hideMark/>
          </w:tcPr>
          <w:p w14:paraId="59F2959D"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medical and surgical </w:t>
            </w:r>
          </w:p>
        </w:tc>
        <w:tc>
          <w:tcPr>
            <w:tcW w:w="293" w:type="dxa"/>
            <w:noWrap/>
            <w:textDirection w:val="btLr"/>
            <w:hideMark/>
          </w:tcPr>
          <w:p w14:paraId="4A629F3F"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medical and surgical </w:t>
            </w:r>
          </w:p>
        </w:tc>
        <w:tc>
          <w:tcPr>
            <w:tcW w:w="288" w:type="dxa"/>
            <w:noWrap/>
            <w:textDirection w:val="btLr"/>
            <w:hideMark/>
          </w:tcPr>
          <w:p w14:paraId="44840D5A"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COVID 19 patients </w:t>
            </w:r>
          </w:p>
        </w:tc>
        <w:tc>
          <w:tcPr>
            <w:tcW w:w="360" w:type="dxa"/>
            <w:noWrap/>
            <w:textDirection w:val="btLr"/>
            <w:hideMark/>
          </w:tcPr>
          <w:p w14:paraId="19010AE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medical and surgical </w:t>
            </w:r>
          </w:p>
        </w:tc>
        <w:tc>
          <w:tcPr>
            <w:tcW w:w="360" w:type="dxa"/>
            <w:noWrap/>
            <w:textDirection w:val="btLr"/>
            <w:hideMark/>
          </w:tcPr>
          <w:p w14:paraId="580B9475"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HDU and  intensive care units ICU</w:t>
            </w:r>
          </w:p>
        </w:tc>
        <w:tc>
          <w:tcPr>
            <w:tcW w:w="360" w:type="dxa"/>
            <w:noWrap/>
            <w:textDirection w:val="btLr"/>
            <w:hideMark/>
          </w:tcPr>
          <w:p w14:paraId="4F4B3F38"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medical or surgical intensive care</w:t>
            </w:r>
          </w:p>
        </w:tc>
        <w:tc>
          <w:tcPr>
            <w:tcW w:w="360" w:type="dxa"/>
            <w:noWrap/>
            <w:textDirection w:val="btLr"/>
            <w:hideMark/>
          </w:tcPr>
          <w:p w14:paraId="14C524B5"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medical </w:t>
            </w:r>
          </w:p>
        </w:tc>
        <w:tc>
          <w:tcPr>
            <w:tcW w:w="360" w:type="dxa"/>
            <w:noWrap/>
            <w:textDirection w:val="btLr"/>
            <w:hideMark/>
          </w:tcPr>
          <w:p w14:paraId="6A1DF3AA" w14:textId="77777777" w:rsidR="001F2CBA" w:rsidRPr="00210C2D" w:rsidRDefault="001F2CBA" w:rsidP="007E1F10">
            <w:pPr>
              <w:jc w:val="both"/>
              <w:rPr>
                <w:rFonts w:ascii="Times New Roman" w:hAnsi="Times New Roman" w:cs="Times New Roman"/>
                <w:sz w:val="24"/>
                <w:szCs w:val="24"/>
              </w:rPr>
            </w:pPr>
            <w:r>
              <w:rPr>
                <w:rFonts w:ascii="Times New Roman" w:hAnsi="Times New Roman" w:cs="Times New Roman"/>
                <w:sz w:val="24"/>
                <w:szCs w:val="24"/>
              </w:rPr>
              <w:t>medicalsurgicaland</w:t>
            </w:r>
            <w:r w:rsidRPr="00210C2D">
              <w:rPr>
                <w:rFonts w:ascii="Times New Roman" w:hAnsi="Times New Roman" w:cs="Times New Roman"/>
                <w:sz w:val="24"/>
                <w:szCs w:val="24"/>
              </w:rPr>
              <w:t>neuroscience ICU</w:t>
            </w:r>
          </w:p>
        </w:tc>
        <w:tc>
          <w:tcPr>
            <w:tcW w:w="360" w:type="dxa"/>
            <w:noWrap/>
            <w:textDirection w:val="btLr"/>
            <w:hideMark/>
          </w:tcPr>
          <w:p w14:paraId="1A19BEA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medical and surgical </w:t>
            </w:r>
          </w:p>
        </w:tc>
        <w:tc>
          <w:tcPr>
            <w:tcW w:w="360" w:type="dxa"/>
            <w:noWrap/>
            <w:textDirection w:val="btLr"/>
            <w:hideMark/>
          </w:tcPr>
          <w:p w14:paraId="68B3530C"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medical surgical</w:t>
            </w:r>
          </w:p>
        </w:tc>
        <w:tc>
          <w:tcPr>
            <w:tcW w:w="360" w:type="dxa"/>
            <w:noWrap/>
            <w:textDirection w:val="btLr"/>
            <w:hideMark/>
          </w:tcPr>
          <w:p w14:paraId="4285D96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surgical and medical</w:t>
            </w:r>
          </w:p>
        </w:tc>
        <w:tc>
          <w:tcPr>
            <w:tcW w:w="410" w:type="dxa"/>
            <w:noWrap/>
            <w:textDirection w:val="btLr"/>
            <w:hideMark/>
          </w:tcPr>
          <w:p w14:paraId="23F27A1F"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Neurosurgical ICU</w:t>
            </w:r>
          </w:p>
        </w:tc>
        <w:tc>
          <w:tcPr>
            <w:tcW w:w="310" w:type="dxa"/>
            <w:noWrap/>
            <w:textDirection w:val="btLr"/>
            <w:hideMark/>
          </w:tcPr>
          <w:p w14:paraId="2843BD1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surgical and medical</w:t>
            </w:r>
          </w:p>
        </w:tc>
        <w:tc>
          <w:tcPr>
            <w:tcW w:w="360" w:type="dxa"/>
            <w:noWrap/>
            <w:textDirection w:val="btLr"/>
            <w:hideMark/>
          </w:tcPr>
          <w:p w14:paraId="49BA26A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COVID 19 patients </w:t>
            </w:r>
          </w:p>
        </w:tc>
        <w:tc>
          <w:tcPr>
            <w:tcW w:w="320" w:type="dxa"/>
            <w:noWrap/>
            <w:textDirection w:val="btLr"/>
            <w:hideMark/>
          </w:tcPr>
          <w:p w14:paraId="05697B7C"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medical and surgical </w:t>
            </w:r>
          </w:p>
        </w:tc>
        <w:tc>
          <w:tcPr>
            <w:tcW w:w="360" w:type="dxa"/>
            <w:noWrap/>
            <w:textDirection w:val="btLr"/>
            <w:hideMark/>
          </w:tcPr>
          <w:p w14:paraId="3AB2FAF8"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medical surggical</w:t>
            </w:r>
          </w:p>
        </w:tc>
        <w:tc>
          <w:tcPr>
            <w:tcW w:w="360" w:type="dxa"/>
            <w:noWrap/>
            <w:textDirection w:val="btLr"/>
            <w:hideMark/>
          </w:tcPr>
          <w:p w14:paraId="7F52DB6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medical surgical and neuroscience ICU</w:t>
            </w:r>
          </w:p>
        </w:tc>
        <w:tc>
          <w:tcPr>
            <w:tcW w:w="450" w:type="dxa"/>
            <w:noWrap/>
            <w:textDirection w:val="btLr"/>
            <w:hideMark/>
          </w:tcPr>
          <w:p w14:paraId="28B7DA0F"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medical surgical and non operative trauma </w:t>
            </w:r>
          </w:p>
        </w:tc>
        <w:tc>
          <w:tcPr>
            <w:tcW w:w="360" w:type="dxa"/>
            <w:noWrap/>
            <w:textDirection w:val="btLr"/>
            <w:hideMark/>
          </w:tcPr>
          <w:p w14:paraId="30352A9F"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medical and surgical </w:t>
            </w:r>
          </w:p>
        </w:tc>
        <w:tc>
          <w:tcPr>
            <w:tcW w:w="360" w:type="dxa"/>
            <w:noWrap/>
            <w:textDirection w:val="btLr"/>
            <w:hideMark/>
          </w:tcPr>
          <w:p w14:paraId="02B0DFF2"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surgical ICU</w:t>
            </w:r>
          </w:p>
        </w:tc>
        <w:tc>
          <w:tcPr>
            <w:tcW w:w="360" w:type="dxa"/>
            <w:noWrap/>
            <w:textDirection w:val="btLr"/>
            <w:hideMark/>
          </w:tcPr>
          <w:p w14:paraId="568BF3A5"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medical and surgical </w:t>
            </w:r>
          </w:p>
        </w:tc>
        <w:tc>
          <w:tcPr>
            <w:tcW w:w="360" w:type="dxa"/>
            <w:noWrap/>
            <w:textDirection w:val="btLr"/>
            <w:hideMark/>
          </w:tcPr>
          <w:p w14:paraId="520EEBA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Medical,surgery ,trauma annd coronary artery bypass </w:t>
            </w:r>
          </w:p>
        </w:tc>
        <w:tc>
          <w:tcPr>
            <w:tcW w:w="360" w:type="dxa"/>
            <w:noWrap/>
            <w:textDirection w:val="btLr"/>
            <w:hideMark/>
          </w:tcPr>
          <w:p w14:paraId="2172D63C"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Trauma </w:t>
            </w:r>
          </w:p>
        </w:tc>
        <w:tc>
          <w:tcPr>
            <w:tcW w:w="360" w:type="dxa"/>
            <w:noWrap/>
            <w:textDirection w:val="btLr"/>
            <w:hideMark/>
          </w:tcPr>
          <w:p w14:paraId="4D91859A"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medical and surgical </w:t>
            </w:r>
          </w:p>
        </w:tc>
        <w:tc>
          <w:tcPr>
            <w:tcW w:w="360" w:type="dxa"/>
            <w:noWrap/>
            <w:textDirection w:val="btLr"/>
            <w:hideMark/>
          </w:tcPr>
          <w:p w14:paraId="62BF3B9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 Kidney Injury</w:t>
            </w:r>
          </w:p>
        </w:tc>
        <w:tc>
          <w:tcPr>
            <w:tcW w:w="360" w:type="dxa"/>
            <w:noWrap/>
            <w:textDirection w:val="btLr"/>
            <w:hideMark/>
          </w:tcPr>
          <w:p w14:paraId="5D5CDC4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medical  and surgical</w:t>
            </w:r>
          </w:p>
        </w:tc>
        <w:tc>
          <w:tcPr>
            <w:tcW w:w="360" w:type="dxa"/>
            <w:noWrap/>
            <w:textDirection w:val="btLr"/>
            <w:hideMark/>
          </w:tcPr>
          <w:p w14:paraId="4E7A746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medical and surgical </w:t>
            </w:r>
          </w:p>
        </w:tc>
        <w:tc>
          <w:tcPr>
            <w:tcW w:w="360" w:type="dxa"/>
            <w:noWrap/>
            <w:textDirection w:val="btLr"/>
            <w:hideMark/>
          </w:tcPr>
          <w:p w14:paraId="4AD004CE"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medical and surgical </w:t>
            </w:r>
          </w:p>
        </w:tc>
      </w:tr>
      <w:tr w:rsidR="001F2CBA" w:rsidRPr="00210C2D" w14:paraId="6741C2D3" w14:textId="77777777" w:rsidTr="007E1F10">
        <w:trPr>
          <w:trHeight w:val="2150"/>
        </w:trPr>
        <w:tc>
          <w:tcPr>
            <w:tcW w:w="360" w:type="dxa"/>
            <w:noWrap/>
            <w:textDirection w:val="btLr"/>
            <w:hideMark/>
          </w:tcPr>
          <w:p w14:paraId="46F5741C" w14:textId="77777777" w:rsidR="001F2CBA" w:rsidRPr="00210C2D" w:rsidRDefault="001F2CBA" w:rsidP="007E1F10">
            <w:pPr>
              <w:jc w:val="both"/>
              <w:rPr>
                <w:rFonts w:ascii="Times New Roman" w:hAnsi="Times New Roman" w:cs="Times New Roman"/>
                <w:b/>
                <w:bCs/>
                <w:sz w:val="24"/>
                <w:szCs w:val="24"/>
              </w:rPr>
            </w:pPr>
            <w:r w:rsidRPr="00210C2D">
              <w:rPr>
                <w:rFonts w:ascii="Times New Roman" w:hAnsi="Times New Roman" w:cs="Times New Roman"/>
                <w:b/>
                <w:bCs/>
                <w:sz w:val="24"/>
                <w:szCs w:val="24"/>
              </w:rPr>
              <w:t xml:space="preserve">mean Age </w:t>
            </w:r>
          </w:p>
        </w:tc>
        <w:tc>
          <w:tcPr>
            <w:tcW w:w="378" w:type="dxa"/>
            <w:noWrap/>
            <w:textDirection w:val="btLr"/>
            <w:hideMark/>
          </w:tcPr>
          <w:p w14:paraId="5174333B"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65.6 (15.3)</w:t>
            </w:r>
          </w:p>
        </w:tc>
        <w:tc>
          <w:tcPr>
            <w:tcW w:w="363" w:type="dxa"/>
            <w:noWrap/>
            <w:textDirection w:val="btLr"/>
            <w:hideMark/>
          </w:tcPr>
          <w:p w14:paraId="71DE4F33"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56.7 ± 19.6</w:t>
            </w:r>
          </w:p>
        </w:tc>
        <w:tc>
          <w:tcPr>
            <w:tcW w:w="267" w:type="dxa"/>
            <w:noWrap/>
            <w:textDirection w:val="btLr"/>
            <w:hideMark/>
          </w:tcPr>
          <w:p w14:paraId="78913F8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66 ±11.5 </w:t>
            </w:r>
          </w:p>
        </w:tc>
        <w:tc>
          <w:tcPr>
            <w:tcW w:w="319" w:type="dxa"/>
            <w:noWrap/>
            <w:textDirection w:val="btLr"/>
            <w:hideMark/>
          </w:tcPr>
          <w:p w14:paraId="773EFC6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61.9 (18-97)</w:t>
            </w:r>
          </w:p>
        </w:tc>
        <w:tc>
          <w:tcPr>
            <w:tcW w:w="293" w:type="dxa"/>
            <w:noWrap/>
            <w:textDirection w:val="btLr"/>
            <w:hideMark/>
          </w:tcPr>
          <w:p w14:paraId="4664E31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59.32± 14.13</w:t>
            </w:r>
          </w:p>
        </w:tc>
        <w:tc>
          <w:tcPr>
            <w:tcW w:w="288" w:type="dxa"/>
            <w:noWrap/>
            <w:textDirection w:val="btLr"/>
            <w:hideMark/>
          </w:tcPr>
          <w:p w14:paraId="2768B8B5"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&gt; 18</w:t>
            </w:r>
          </w:p>
        </w:tc>
        <w:tc>
          <w:tcPr>
            <w:tcW w:w="360" w:type="dxa"/>
            <w:noWrap/>
            <w:textDirection w:val="btLr"/>
            <w:hideMark/>
          </w:tcPr>
          <w:p w14:paraId="7782B8F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74.2 (6.8)</w:t>
            </w:r>
          </w:p>
        </w:tc>
        <w:tc>
          <w:tcPr>
            <w:tcW w:w="360" w:type="dxa"/>
            <w:noWrap/>
            <w:textDirection w:val="btLr"/>
            <w:hideMark/>
          </w:tcPr>
          <w:p w14:paraId="6CFDD07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39.28 ± 14.73</w:t>
            </w:r>
          </w:p>
        </w:tc>
        <w:tc>
          <w:tcPr>
            <w:tcW w:w="360" w:type="dxa"/>
            <w:noWrap/>
            <w:textDirection w:val="btLr"/>
            <w:hideMark/>
          </w:tcPr>
          <w:p w14:paraId="60323F43"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62 (17-96)</w:t>
            </w:r>
          </w:p>
        </w:tc>
        <w:tc>
          <w:tcPr>
            <w:tcW w:w="360" w:type="dxa"/>
            <w:noWrap/>
            <w:textDirection w:val="btLr"/>
            <w:hideMark/>
          </w:tcPr>
          <w:p w14:paraId="02B1E0CF"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60.2 + 16.9</w:t>
            </w:r>
          </w:p>
        </w:tc>
        <w:tc>
          <w:tcPr>
            <w:tcW w:w="360" w:type="dxa"/>
            <w:noWrap/>
            <w:textDirection w:val="btLr"/>
            <w:hideMark/>
          </w:tcPr>
          <w:p w14:paraId="7D0A152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61.8 ± 15.0</w:t>
            </w:r>
          </w:p>
        </w:tc>
        <w:tc>
          <w:tcPr>
            <w:tcW w:w="360" w:type="dxa"/>
            <w:noWrap/>
            <w:textDirection w:val="btLr"/>
            <w:hideMark/>
          </w:tcPr>
          <w:p w14:paraId="06DA5C9B"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49±21.2</w:t>
            </w:r>
          </w:p>
        </w:tc>
        <w:tc>
          <w:tcPr>
            <w:tcW w:w="360" w:type="dxa"/>
            <w:noWrap/>
            <w:textDirection w:val="btLr"/>
            <w:hideMark/>
          </w:tcPr>
          <w:p w14:paraId="021F4BDA"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60.90 ± 13.7</w:t>
            </w:r>
          </w:p>
        </w:tc>
        <w:tc>
          <w:tcPr>
            <w:tcW w:w="360" w:type="dxa"/>
            <w:noWrap/>
            <w:textDirection w:val="btLr"/>
            <w:hideMark/>
          </w:tcPr>
          <w:p w14:paraId="05AD9DC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59.26 (16.05)</w:t>
            </w:r>
          </w:p>
        </w:tc>
        <w:tc>
          <w:tcPr>
            <w:tcW w:w="410" w:type="dxa"/>
            <w:noWrap/>
            <w:textDirection w:val="btLr"/>
            <w:hideMark/>
          </w:tcPr>
          <w:p w14:paraId="7089810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40 ±21.2</w:t>
            </w:r>
          </w:p>
        </w:tc>
        <w:tc>
          <w:tcPr>
            <w:tcW w:w="310" w:type="dxa"/>
            <w:noWrap/>
            <w:textDirection w:val="btLr"/>
            <w:hideMark/>
          </w:tcPr>
          <w:p w14:paraId="6627D5CE"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&gt;18</w:t>
            </w:r>
          </w:p>
        </w:tc>
        <w:tc>
          <w:tcPr>
            <w:tcW w:w="360" w:type="dxa"/>
            <w:noWrap/>
            <w:textDirection w:val="btLr"/>
            <w:hideMark/>
          </w:tcPr>
          <w:p w14:paraId="21421C8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52 ± 15</w:t>
            </w:r>
          </w:p>
        </w:tc>
        <w:tc>
          <w:tcPr>
            <w:tcW w:w="320" w:type="dxa"/>
            <w:noWrap/>
            <w:textDirection w:val="btLr"/>
            <w:hideMark/>
          </w:tcPr>
          <w:p w14:paraId="004D0E9C"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54.95 ± 17.52</w:t>
            </w:r>
          </w:p>
        </w:tc>
        <w:tc>
          <w:tcPr>
            <w:tcW w:w="360" w:type="dxa"/>
            <w:noWrap/>
            <w:textDirection w:val="btLr"/>
            <w:hideMark/>
          </w:tcPr>
          <w:p w14:paraId="2736268E"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 58.8 ± 17.2</w:t>
            </w:r>
          </w:p>
        </w:tc>
        <w:tc>
          <w:tcPr>
            <w:tcW w:w="360" w:type="dxa"/>
            <w:noWrap/>
            <w:textDirection w:val="btLr"/>
            <w:hideMark/>
          </w:tcPr>
          <w:p w14:paraId="6371CBAF"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&gt; 18</w:t>
            </w:r>
          </w:p>
        </w:tc>
        <w:tc>
          <w:tcPr>
            <w:tcW w:w="450" w:type="dxa"/>
            <w:noWrap/>
            <w:textDirection w:val="btLr"/>
            <w:hideMark/>
          </w:tcPr>
          <w:p w14:paraId="1F9FE65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50.2±19.5</w:t>
            </w:r>
          </w:p>
        </w:tc>
        <w:tc>
          <w:tcPr>
            <w:tcW w:w="360" w:type="dxa"/>
            <w:noWrap/>
            <w:textDirection w:val="btLr"/>
            <w:hideMark/>
          </w:tcPr>
          <w:p w14:paraId="54549BC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64±15</w:t>
            </w:r>
          </w:p>
        </w:tc>
        <w:tc>
          <w:tcPr>
            <w:tcW w:w="360" w:type="dxa"/>
            <w:noWrap/>
            <w:textDirection w:val="btLr"/>
            <w:hideMark/>
          </w:tcPr>
          <w:p w14:paraId="4CE90B0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60.36 ± 16.24</w:t>
            </w:r>
          </w:p>
        </w:tc>
        <w:tc>
          <w:tcPr>
            <w:tcW w:w="360" w:type="dxa"/>
            <w:noWrap/>
            <w:textDirection w:val="btLr"/>
            <w:hideMark/>
          </w:tcPr>
          <w:p w14:paraId="23587D9C"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55</w:t>
            </w:r>
          </w:p>
        </w:tc>
        <w:tc>
          <w:tcPr>
            <w:tcW w:w="360" w:type="dxa"/>
            <w:noWrap/>
            <w:textDirection w:val="btLr"/>
            <w:hideMark/>
          </w:tcPr>
          <w:p w14:paraId="14D78565"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63.8 ±16.5</w:t>
            </w:r>
          </w:p>
        </w:tc>
        <w:tc>
          <w:tcPr>
            <w:tcW w:w="360" w:type="dxa"/>
            <w:noWrap/>
            <w:textDirection w:val="btLr"/>
            <w:hideMark/>
          </w:tcPr>
          <w:p w14:paraId="2B251E41"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36.0 (25.0–47.0)</w:t>
            </w:r>
          </w:p>
        </w:tc>
        <w:tc>
          <w:tcPr>
            <w:tcW w:w="360" w:type="dxa"/>
            <w:noWrap/>
            <w:textDirection w:val="btLr"/>
            <w:hideMark/>
          </w:tcPr>
          <w:p w14:paraId="4A065DAF"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62.1 ± 16.1</w:t>
            </w:r>
          </w:p>
        </w:tc>
        <w:tc>
          <w:tcPr>
            <w:tcW w:w="360" w:type="dxa"/>
            <w:noWrap/>
            <w:textDirection w:val="btLr"/>
            <w:hideMark/>
          </w:tcPr>
          <w:p w14:paraId="7144D3A5"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64(51 -77)</w:t>
            </w:r>
          </w:p>
        </w:tc>
        <w:tc>
          <w:tcPr>
            <w:tcW w:w="360" w:type="dxa"/>
            <w:noWrap/>
            <w:textDirection w:val="btLr"/>
            <w:hideMark/>
          </w:tcPr>
          <w:p w14:paraId="78784F4F"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64 ± 15</w:t>
            </w:r>
          </w:p>
        </w:tc>
        <w:tc>
          <w:tcPr>
            <w:tcW w:w="360" w:type="dxa"/>
            <w:noWrap/>
            <w:textDirection w:val="btLr"/>
            <w:hideMark/>
          </w:tcPr>
          <w:p w14:paraId="3A8778F8"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59.32±18.69</w:t>
            </w:r>
          </w:p>
        </w:tc>
        <w:tc>
          <w:tcPr>
            <w:tcW w:w="360" w:type="dxa"/>
            <w:noWrap/>
            <w:textDirection w:val="btLr"/>
            <w:hideMark/>
          </w:tcPr>
          <w:p w14:paraId="7A3891E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64.8 ± 17.1</w:t>
            </w:r>
          </w:p>
        </w:tc>
      </w:tr>
      <w:tr w:rsidR="001F2CBA" w:rsidRPr="00210C2D" w14:paraId="67EB3BBF" w14:textId="77777777" w:rsidTr="007E1F10">
        <w:trPr>
          <w:trHeight w:val="1610"/>
        </w:trPr>
        <w:tc>
          <w:tcPr>
            <w:tcW w:w="360" w:type="dxa"/>
            <w:noWrap/>
            <w:textDirection w:val="btLr"/>
            <w:hideMark/>
          </w:tcPr>
          <w:p w14:paraId="60DC012D" w14:textId="77777777" w:rsidR="001F2CBA" w:rsidRPr="00210C2D" w:rsidRDefault="001F2CBA" w:rsidP="007E1F10">
            <w:pPr>
              <w:jc w:val="both"/>
              <w:rPr>
                <w:rFonts w:ascii="Times New Roman" w:hAnsi="Times New Roman" w:cs="Times New Roman"/>
                <w:b/>
                <w:bCs/>
                <w:sz w:val="24"/>
                <w:szCs w:val="24"/>
              </w:rPr>
            </w:pPr>
            <w:r w:rsidRPr="00210C2D">
              <w:rPr>
                <w:rFonts w:ascii="Times New Roman" w:hAnsi="Times New Roman" w:cs="Times New Roman"/>
                <w:b/>
                <w:bCs/>
                <w:sz w:val="24"/>
                <w:szCs w:val="24"/>
              </w:rPr>
              <w:lastRenderedPageBreak/>
              <w:t xml:space="preserve">Study design </w:t>
            </w:r>
          </w:p>
        </w:tc>
        <w:tc>
          <w:tcPr>
            <w:tcW w:w="378" w:type="dxa"/>
            <w:noWrap/>
            <w:textDirection w:val="btLr"/>
            <w:hideMark/>
          </w:tcPr>
          <w:p w14:paraId="73260418"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prospective cohort </w:t>
            </w:r>
          </w:p>
        </w:tc>
        <w:tc>
          <w:tcPr>
            <w:tcW w:w="363" w:type="dxa"/>
            <w:noWrap/>
            <w:textDirection w:val="btLr"/>
            <w:hideMark/>
          </w:tcPr>
          <w:p w14:paraId="14780A6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prospective cohort </w:t>
            </w:r>
          </w:p>
        </w:tc>
        <w:tc>
          <w:tcPr>
            <w:tcW w:w="267" w:type="dxa"/>
            <w:noWrap/>
            <w:textDirection w:val="btLr"/>
            <w:hideMark/>
          </w:tcPr>
          <w:p w14:paraId="5C32CFE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prospective multicenter cohort </w:t>
            </w:r>
          </w:p>
        </w:tc>
        <w:tc>
          <w:tcPr>
            <w:tcW w:w="319" w:type="dxa"/>
            <w:noWrap/>
            <w:textDirection w:val="btLr"/>
            <w:hideMark/>
          </w:tcPr>
          <w:p w14:paraId="245DBDC3"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prospective cohort </w:t>
            </w:r>
          </w:p>
        </w:tc>
        <w:tc>
          <w:tcPr>
            <w:tcW w:w="293" w:type="dxa"/>
            <w:noWrap/>
            <w:textDirection w:val="btLr"/>
            <w:hideMark/>
          </w:tcPr>
          <w:p w14:paraId="3B459F35"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cross sectional</w:t>
            </w:r>
          </w:p>
        </w:tc>
        <w:tc>
          <w:tcPr>
            <w:tcW w:w="288" w:type="dxa"/>
            <w:noWrap/>
            <w:textDirection w:val="btLr"/>
            <w:hideMark/>
          </w:tcPr>
          <w:p w14:paraId="78F9850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 multicenter, prospective, observational </w:t>
            </w:r>
          </w:p>
        </w:tc>
        <w:tc>
          <w:tcPr>
            <w:tcW w:w="360" w:type="dxa"/>
            <w:noWrap/>
            <w:textDirection w:val="btLr"/>
            <w:hideMark/>
          </w:tcPr>
          <w:p w14:paraId="1771300B"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prospective cohort</w:t>
            </w:r>
          </w:p>
        </w:tc>
        <w:tc>
          <w:tcPr>
            <w:tcW w:w="360" w:type="dxa"/>
            <w:noWrap/>
            <w:textDirection w:val="btLr"/>
            <w:hideMark/>
          </w:tcPr>
          <w:p w14:paraId="6C4CC905"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cross-sectional  study</w:t>
            </w:r>
          </w:p>
        </w:tc>
        <w:tc>
          <w:tcPr>
            <w:tcW w:w="360" w:type="dxa"/>
            <w:noWrap/>
            <w:textDirection w:val="btLr"/>
            <w:hideMark/>
          </w:tcPr>
          <w:p w14:paraId="58C8B96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Open cohort</w:t>
            </w:r>
          </w:p>
        </w:tc>
        <w:tc>
          <w:tcPr>
            <w:tcW w:w="360" w:type="dxa"/>
            <w:noWrap/>
            <w:textDirection w:val="btLr"/>
            <w:hideMark/>
          </w:tcPr>
          <w:p w14:paraId="277D968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retrospective chart review</w:t>
            </w:r>
          </w:p>
        </w:tc>
        <w:tc>
          <w:tcPr>
            <w:tcW w:w="360" w:type="dxa"/>
            <w:noWrap/>
            <w:textDirection w:val="btLr"/>
            <w:hideMark/>
          </w:tcPr>
          <w:p w14:paraId="1804D1C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cross-sectional  study</w:t>
            </w:r>
          </w:p>
        </w:tc>
        <w:tc>
          <w:tcPr>
            <w:tcW w:w="360" w:type="dxa"/>
            <w:noWrap/>
            <w:textDirection w:val="btLr"/>
            <w:hideMark/>
          </w:tcPr>
          <w:p w14:paraId="0BEF6D4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prospective </w:t>
            </w:r>
          </w:p>
        </w:tc>
        <w:tc>
          <w:tcPr>
            <w:tcW w:w="360" w:type="dxa"/>
            <w:noWrap/>
            <w:textDirection w:val="btLr"/>
            <w:hideMark/>
          </w:tcPr>
          <w:p w14:paraId="7B3FC495"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prospective cohort</w:t>
            </w:r>
          </w:p>
        </w:tc>
        <w:tc>
          <w:tcPr>
            <w:tcW w:w="360" w:type="dxa"/>
            <w:noWrap/>
            <w:textDirection w:val="btLr"/>
            <w:hideMark/>
          </w:tcPr>
          <w:p w14:paraId="58658422"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retrospective audit </w:t>
            </w:r>
          </w:p>
        </w:tc>
        <w:tc>
          <w:tcPr>
            <w:tcW w:w="410" w:type="dxa"/>
            <w:noWrap/>
            <w:textDirection w:val="btLr"/>
            <w:hideMark/>
          </w:tcPr>
          <w:p w14:paraId="498AFDDE"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prospective, observational study</w:t>
            </w:r>
          </w:p>
        </w:tc>
        <w:tc>
          <w:tcPr>
            <w:tcW w:w="310" w:type="dxa"/>
            <w:noWrap/>
            <w:textDirection w:val="btLr"/>
            <w:hideMark/>
          </w:tcPr>
          <w:p w14:paraId="743A0E9A"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retrospective study</w:t>
            </w:r>
          </w:p>
        </w:tc>
        <w:tc>
          <w:tcPr>
            <w:tcW w:w="360" w:type="dxa"/>
            <w:noWrap/>
            <w:textDirection w:val="btLr"/>
            <w:hideMark/>
          </w:tcPr>
          <w:p w14:paraId="724F2BCB"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prospective cohort </w:t>
            </w:r>
          </w:p>
        </w:tc>
        <w:tc>
          <w:tcPr>
            <w:tcW w:w="320" w:type="dxa"/>
            <w:noWrap/>
            <w:textDirection w:val="btLr"/>
            <w:hideMark/>
          </w:tcPr>
          <w:p w14:paraId="625002B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crosssectional</w:t>
            </w:r>
          </w:p>
        </w:tc>
        <w:tc>
          <w:tcPr>
            <w:tcW w:w="360" w:type="dxa"/>
            <w:noWrap/>
            <w:textDirection w:val="btLr"/>
            <w:hideMark/>
          </w:tcPr>
          <w:p w14:paraId="3284AC4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prospective cohort </w:t>
            </w:r>
          </w:p>
        </w:tc>
        <w:tc>
          <w:tcPr>
            <w:tcW w:w="360" w:type="dxa"/>
            <w:noWrap/>
            <w:textDirection w:val="btLr"/>
            <w:hideMark/>
          </w:tcPr>
          <w:p w14:paraId="26D0EC91"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cross sectional</w:t>
            </w:r>
          </w:p>
        </w:tc>
        <w:tc>
          <w:tcPr>
            <w:tcW w:w="450" w:type="dxa"/>
            <w:noWrap/>
            <w:textDirection w:val="btLr"/>
            <w:hideMark/>
          </w:tcPr>
          <w:p w14:paraId="38103DEF"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Randomized controlled trial</w:t>
            </w:r>
          </w:p>
        </w:tc>
        <w:tc>
          <w:tcPr>
            <w:tcW w:w="360" w:type="dxa"/>
            <w:noWrap/>
            <w:textDirection w:val="btLr"/>
            <w:hideMark/>
          </w:tcPr>
          <w:p w14:paraId="6224C9B2"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Randomized controlled trial</w:t>
            </w:r>
          </w:p>
        </w:tc>
        <w:tc>
          <w:tcPr>
            <w:tcW w:w="360" w:type="dxa"/>
            <w:noWrap/>
            <w:textDirection w:val="btLr"/>
            <w:hideMark/>
          </w:tcPr>
          <w:p w14:paraId="385AA3A1"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prospective cohort </w:t>
            </w:r>
          </w:p>
        </w:tc>
        <w:tc>
          <w:tcPr>
            <w:tcW w:w="360" w:type="dxa"/>
            <w:noWrap/>
            <w:textDirection w:val="btLr"/>
            <w:hideMark/>
          </w:tcPr>
          <w:p w14:paraId="08443BE5"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Prospective cohort study</w:t>
            </w:r>
          </w:p>
        </w:tc>
        <w:tc>
          <w:tcPr>
            <w:tcW w:w="360" w:type="dxa"/>
            <w:noWrap/>
            <w:textDirection w:val="btLr"/>
            <w:hideMark/>
          </w:tcPr>
          <w:p w14:paraId="3CBA82F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retrospective cohort </w:t>
            </w:r>
          </w:p>
        </w:tc>
        <w:tc>
          <w:tcPr>
            <w:tcW w:w="360" w:type="dxa"/>
            <w:noWrap/>
            <w:textDirection w:val="btLr"/>
            <w:hideMark/>
          </w:tcPr>
          <w:p w14:paraId="5A3E9E6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observational prospective cohort</w:t>
            </w:r>
          </w:p>
        </w:tc>
        <w:tc>
          <w:tcPr>
            <w:tcW w:w="360" w:type="dxa"/>
            <w:noWrap/>
            <w:textDirection w:val="btLr"/>
            <w:hideMark/>
          </w:tcPr>
          <w:p w14:paraId="2F4FFED5"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Prospective observational cohort study</w:t>
            </w:r>
          </w:p>
        </w:tc>
        <w:tc>
          <w:tcPr>
            <w:tcW w:w="360" w:type="dxa"/>
            <w:noWrap/>
            <w:textDirection w:val="btLr"/>
            <w:hideMark/>
          </w:tcPr>
          <w:p w14:paraId="2AEFFF4E"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prospective chohort</w:t>
            </w:r>
          </w:p>
        </w:tc>
        <w:tc>
          <w:tcPr>
            <w:tcW w:w="360" w:type="dxa"/>
            <w:noWrap/>
            <w:textDirection w:val="btLr"/>
            <w:hideMark/>
          </w:tcPr>
          <w:p w14:paraId="5422299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Prospective observational cohort</w:t>
            </w:r>
          </w:p>
        </w:tc>
        <w:tc>
          <w:tcPr>
            <w:tcW w:w="360" w:type="dxa"/>
            <w:noWrap/>
            <w:textDirection w:val="btLr"/>
            <w:hideMark/>
          </w:tcPr>
          <w:p w14:paraId="3DA1EF3A"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Prospective cohort</w:t>
            </w:r>
          </w:p>
        </w:tc>
        <w:tc>
          <w:tcPr>
            <w:tcW w:w="360" w:type="dxa"/>
            <w:noWrap/>
            <w:textDirection w:val="btLr"/>
            <w:hideMark/>
          </w:tcPr>
          <w:p w14:paraId="08636375"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retrospective cohort </w:t>
            </w:r>
          </w:p>
        </w:tc>
      </w:tr>
      <w:tr w:rsidR="001F2CBA" w:rsidRPr="00210C2D" w14:paraId="3C12A028" w14:textId="77777777" w:rsidTr="007E1F10">
        <w:trPr>
          <w:trHeight w:val="1430"/>
        </w:trPr>
        <w:tc>
          <w:tcPr>
            <w:tcW w:w="360" w:type="dxa"/>
            <w:noWrap/>
            <w:textDirection w:val="btLr"/>
            <w:hideMark/>
          </w:tcPr>
          <w:p w14:paraId="465FE9B9" w14:textId="77777777" w:rsidR="001F2CBA" w:rsidRPr="00210C2D" w:rsidRDefault="001F2CBA" w:rsidP="007E1F10">
            <w:pPr>
              <w:jc w:val="both"/>
              <w:rPr>
                <w:rFonts w:ascii="Times New Roman" w:hAnsi="Times New Roman" w:cs="Times New Roman"/>
                <w:b/>
                <w:bCs/>
                <w:sz w:val="24"/>
                <w:szCs w:val="24"/>
              </w:rPr>
            </w:pPr>
            <w:r w:rsidRPr="00210C2D">
              <w:rPr>
                <w:rFonts w:ascii="Times New Roman" w:hAnsi="Times New Roman" w:cs="Times New Roman"/>
                <w:b/>
                <w:bCs/>
                <w:sz w:val="24"/>
                <w:szCs w:val="24"/>
              </w:rPr>
              <w:t>Sample size</w:t>
            </w:r>
          </w:p>
        </w:tc>
        <w:tc>
          <w:tcPr>
            <w:tcW w:w="378" w:type="dxa"/>
            <w:noWrap/>
            <w:textDirection w:val="btLr"/>
            <w:hideMark/>
          </w:tcPr>
          <w:p w14:paraId="6896482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439</w:t>
            </w:r>
          </w:p>
        </w:tc>
        <w:tc>
          <w:tcPr>
            <w:tcW w:w="363" w:type="dxa"/>
            <w:noWrap/>
            <w:textDirection w:val="btLr"/>
            <w:hideMark/>
          </w:tcPr>
          <w:p w14:paraId="685AFA3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124</w:t>
            </w:r>
          </w:p>
        </w:tc>
        <w:tc>
          <w:tcPr>
            <w:tcW w:w="267" w:type="dxa"/>
            <w:noWrap/>
            <w:textDirection w:val="btLr"/>
            <w:hideMark/>
          </w:tcPr>
          <w:p w14:paraId="053E58CB"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1015</w:t>
            </w:r>
          </w:p>
        </w:tc>
        <w:tc>
          <w:tcPr>
            <w:tcW w:w="319" w:type="dxa"/>
            <w:noWrap/>
            <w:textDirection w:val="btLr"/>
            <w:hideMark/>
          </w:tcPr>
          <w:p w14:paraId="43E10F6E"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185</w:t>
            </w:r>
          </w:p>
        </w:tc>
        <w:tc>
          <w:tcPr>
            <w:tcW w:w="293" w:type="dxa"/>
            <w:noWrap/>
            <w:textDirection w:val="btLr"/>
            <w:hideMark/>
          </w:tcPr>
          <w:p w14:paraId="2C19C4D5"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500</w:t>
            </w:r>
          </w:p>
        </w:tc>
        <w:tc>
          <w:tcPr>
            <w:tcW w:w="288" w:type="dxa"/>
            <w:noWrap/>
            <w:textDirection w:val="btLr"/>
            <w:hideMark/>
          </w:tcPr>
          <w:p w14:paraId="73A0D8FF"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285</w:t>
            </w:r>
          </w:p>
        </w:tc>
        <w:tc>
          <w:tcPr>
            <w:tcW w:w="360" w:type="dxa"/>
            <w:noWrap/>
            <w:textDirection w:val="btLr"/>
            <w:hideMark/>
          </w:tcPr>
          <w:p w14:paraId="7CB1A29F"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260</w:t>
            </w:r>
          </w:p>
        </w:tc>
        <w:tc>
          <w:tcPr>
            <w:tcW w:w="360" w:type="dxa"/>
            <w:noWrap/>
            <w:textDirection w:val="btLr"/>
            <w:hideMark/>
          </w:tcPr>
          <w:p w14:paraId="45B8B4DB"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315</w:t>
            </w:r>
          </w:p>
        </w:tc>
        <w:tc>
          <w:tcPr>
            <w:tcW w:w="360" w:type="dxa"/>
            <w:noWrap/>
            <w:textDirection w:val="btLr"/>
            <w:hideMark/>
          </w:tcPr>
          <w:p w14:paraId="59FF229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248</w:t>
            </w:r>
          </w:p>
        </w:tc>
        <w:tc>
          <w:tcPr>
            <w:tcW w:w="360" w:type="dxa"/>
            <w:noWrap/>
            <w:textDirection w:val="btLr"/>
            <w:hideMark/>
          </w:tcPr>
          <w:p w14:paraId="2BDE6C9F"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57</w:t>
            </w:r>
          </w:p>
        </w:tc>
        <w:tc>
          <w:tcPr>
            <w:tcW w:w="360" w:type="dxa"/>
            <w:noWrap/>
            <w:textDirection w:val="btLr"/>
            <w:hideMark/>
          </w:tcPr>
          <w:p w14:paraId="0EF9D5F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139</w:t>
            </w:r>
          </w:p>
        </w:tc>
        <w:tc>
          <w:tcPr>
            <w:tcW w:w="360" w:type="dxa"/>
            <w:noWrap/>
            <w:textDirection w:val="btLr"/>
            <w:hideMark/>
          </w:tcPr>
          <w:p w14:paraId="21926C81"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125</w:t>
            </w:r>
          </w:p>
        </w:tc>
        <w:tc>
          <w:tcPr>
            <w:tcW w:w="360" w:type="dxa"/>
            <w:noWrap/>
            <w:textDirection w:val="btLr"/>
            <w:hideMark/>
          </w:tcPr>
          <w:p w14:paraId="0959497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109</w:t>
            </w:r>
          </w:p>
        </w:tc>
        <w:tc>
          <w:tcPr>
            <w:tcW w:w="360" w:type="dxa"/>
            <w:noWrap/>
            <w:textDirection w:val="btLr"/>
            <w:hideMark/>
          </w:tcPr>
          <w:p w14:paraId="4163067C"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1034</w:t>
            </w:r>
          </w:p>
        </w:tc>
        <w:tc>
          <w:tcPr>
            <w:tcW w:w="410" w:type="dxa"/>
            <w:noWrap/>
            <w:textDirection w:val="btLr"/>
            <w:hideMark/>
          </w:tcPr>
          <w:p w14:paraId="0EFC90C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60</w:t>
            </w:r>
          </w:p>
        </w:tc>
        <w:tc>
          <w:tcPr>
            <w:tcW w:w="310" w:type="dxa"/>
            <w:noWrap/>
            <w:textDirection w:val="btLr"/>
            <w:hideMark/>
          </w:tcPr>
          <w:p w14:paraId="0A49D71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120</w:t>
            </w:r>
          </w:p>
        </w:tc>
        <w:tc>
          <w:tcPr>
            <w:tcW w:w="360" w:type="dxa"/>
            <w:noWrap/>
            <w:textDirection w:val="btLr"/>
            <w:hideMark/>
          </w:tcPr>
          <w:p w14:paraId="4DCD4FD1"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110</w:t>
            </w:r>
          </w:p>
        </w:tc>
        <w:tc>
          <w:tcPr>
            <w:tcW w:w="320" w:type="dxa"/>
            <w:noWrap/>
            <w:textDirection w:val="btLr"/>
            <w:hideMark/>
          </w:tcPr>
          <w:p w14:paraId="587BE32F"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278</w:t>
            </w:r>
          </w:p>
        </w:tc>
        <w:tc>
          <w:tcPr>
            <w:tcW w:w="360" w:type="dxa"/>
            <w:noWrap/>
            <w:textDirection w:val="btLr"/>
            <w:hideMark/>
          </w:tcPr>
          <w:p w14:paraId="23C76F3F"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166</w:t>
            </w:r>
          </w:p>
        </w:tc>
        <w:tc>
          <w:tcPr>
            <w:tcW w:w="360" w:type="dxa"/>
            <w:noWrap/>
            <w:textDirection w:val="btLr"/>
            <w:hideMark/>
          </w:tcPr>
          <w:p w14:paraId="35039051"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500</w:t>
            </w:r>
          </w:p>
        </w:tc>
        <w:tc>
          <w:tcPr>
            <w:tcW w:w="450" w:type="dxa"/>
            <w:noWrap/>
            <w:textDirection w:val="btLr"/>
            <w:hideMark/>
          </w:tcPr>
          <w:p w14:paraId="64C4316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894</w:t>
            </w:r>
          </w:p>
        </w:tc>
        <w:tc>
          <w:tcPr>
            <w:tcW w:w="360" w:type="dxa"/>
            <w:noWrap/>
            <w:textDirection w:val="btLr"/>
            <w:hideMark/>
          </w:tcPr>
          <w:p w14:paraId="55A7AB7C"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4640</w:t>
            </w:r>
          </w:p>
        </w:tc>
        <w:tc>
          <w:tcPr>
            <w:tcW w:w="360" w:type="dxa"/>
            <w:noWrap/>
            <w:textDirection w:val="btLr"/>
            <w:hideMark/>
          </w:tcPr>
          <w:p w14:paraId="1C6A8BF1"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76</w:t>
            </w:r>
          </w:p>
        </w:tc>
        <w:tc>
          <w:tcPr>
            <w:tcW w:w="360" w:type="dxa"/>
            <w:noWrap/>
            <w:textDirection w:val="btLr"/>
            <w:hideMark/>
          </w:tcPr>
          <w:p w14:paraId="3E87528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100</w:t>
            </w:r>
          </w:p>
        </w:tc>
        <w:tc>
          <w:tcPr>
            <w:tcW w:w="360" w:type="dxa"/>
            <w:noWrap/>
            <w:textDirection w:val="btLr"/>
            <w:hideMark/>
          </w:tcPr>
          <w:p w14:paraId="6874C9F2"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6518</w:t>
            </w:r>
          </w:p>
        </w:tc>
        <w:tc>
          <w:tcPr>
            <w:tcW w:w="360" w:type="dxa"/>
            <w:noWrap/>
            <w:textDirection w:val="btLr"/>
            <w:hideMark/>
          </w:tcPr>
          <w:p w14:paraId="637433C3"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414</w:t>
            </w:r>
          </w:p>
        </w:tc>
        <w:tc>
          <w:tcPr>
            <w:tcW w:w="360" w:type="dxa"/>
            <w:noWrap/>
            <w:textDirection w:val="btLr"/>
            <w:hideMark/>
          </w:tcPr>
          <w:p w14:paraId="7BF29A6D"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1106</w:t>
            </w:r>
          </w:p>
        </w:tc>
        <w:tc>
          <w:tcPr>
            <w:tcW w:w="360" w:type="dxa"/>
            <w:textDirection w:val="btLr"/>
            <w:hideMark/>
          </w:tcPr>
          <w:p w14:paraId="251B389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445 </w:t>
            </w:r>
          </w:p>
        </w:tc>
        <w:tc>
          <w:tcPr>
            <w:tcW w:w="360" w:type="dxa"/>
            <w:noWrap/>
            <w:textDirection w:val="btLr"/>
            <w:hideMark/>
          </w:tcPr>
          <w:p w14:paraId="2056CF6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844</w:t>
            </w:r>
          </w:p>
        </w:tc>
        <w:tc>
          <w:tcPr>
            <w:tcW w:w="360" w:type="dxa"/>
            <w:noWrap/>
            <w:textDirection w:val="btLr"/>
            <w:hideMark/>
          </w:tcPr>
          <w:p w14:paraId="3D5F4E0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165</w:t>
            </w:r>
          </w:p>
        </w:tc>
        <w:tc>
          <w:tcPr>
            <w:tcW w:w="360" w:type="dxa"/>
            <w:noWrap/>
            <w:textDirection w:val="btLr"/>
            <w:hideMark/>
          </w:tcPr>
          <w:p w14:paraId="0C413172"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200</w:t>
            </w:r>
          </w:p>
        </w:tc>
      </w:tr>
      <w:tr w:rsidR="001F2CBA" w:rsidRPr="00210C2D" w14:paraId="7FC021A3" w14:textId="77777777" w:rsidTr="007E1F10">
        <w:trPr>
          <w:trHeight w:val="1070"/>
        </w:trPr>
        <w:tc>
          <w:tcPr>
            <w:tcW w:w="360" w:type="dxa"/>
            <w:noWrap/>
            <w:textDirection w:val="btLr"/>
            <w:hideMark/>
          </w:tcPr>
          <w:p w14:paraId="3196EBC9" w14:textId="77777777" w:rsidR="001F2CBA" w:rsidRPr="00210C2D" w:rsidRDefault="001F2CBA" w:rsidP="007E1F10">
            <w:pPr>
              <w:jc w:val="both"/>
              <w:rPr>
                <w:rFonts w:ascii="Times New Roman" w:hAnsi="Times New Roman" w:cs="Times New Roman"/>
                <w:b/>
                <w:bCs/>
                <w:sz w:val="24"/>
                <w:szCs w:val="24"/>
              </w:rPr>
            </w:pPr>
            <w:r w:rsidRPr="00210C2D">
              <w:rPr>
                <w:rFonts w:ascii="Times New Roman" w:hAnsi="Times New Roman" w:cs="Times New Roman"/>
                <w:b/>
                <w:bCs/>
                <w:sz w:val="24"/>
                <w:szCs w:val="24"/>
              </w:rPr>
              <w:t>Study area</w:t>
            </w:r>
          </w:p>
        </w:tc>
        <w:tc>
          <w:tcPr>
            <w:tcW w:w="378" w:type="dxa"/>
            <w:noWrap/>
            <w:textDirection w:val="btLr"/>
            <w:hideMark/>
          </w:tcPr>
          <w:p w14:paraId="05E03BEA"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Singapore</w:t>
            </w:r>
          </w:p>
        </w:tc>
        <w:tc>
          <w:tcPr>
            <w:tcW w:w="363" w:type="dxa"/>
            <w:noWrap/>
            <w:textDirection w:val="btLr"/>
            <w:hideMark/>
          </w:tcPr>
          <w:p w14:paraId="066734D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Turkey</w:t>
            </w:r>
          </w:p>
        </w:tc>
        <w:tc>
          <w:tcPr>
            <w:tcW w:w="267" w:type="dxa"/>
            <w:noWrap/>
            <w:textDirection w:val="btLr"/>
            <w:hideMark/>
          </w:tcPr>
          <w:p w14:paraId="4062AB6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Canada </w:t>
            </w:r>
          </w:p>
        </w:tc>
        <w:tc>
          <w:tcPr>
            <w:tcW w:w="319" w:type="dxa"/>
            <w:noWrap/>
            <w:textDirection w:val="btLr"/>
            <w:hideMark/>
          </w:tcPr>
          <w:p w14:paraId="2455F74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Brazil </w:t>
            </w:r>
          </w:p>
        </w:tc>
        <w:tc>
          <w:tcPr>
            <w:tcW w:w="293" w:type="dxa"/>
            <w:noWrap/>
            <w:textDirection w:val="btLr"/>
            <w:hideMark/>
          </w:tcPr>
          <w:p w14:paraId="10FBC0AD"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India </w:t>
            </w:r>
          </w:p>
        </w:tc>
        <w:tc>
          <w:tcPr>
            <w:tcW w:w="288" w:type="dxa"/>
            <w:noWrap/>
            <w:textDirection w:val="btLr"/>
            <w:hideMark/>
          </w:tcPr>
          <w:p w14:paraId="251B5F93"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Argentina </w:t>
            </w:r>
          </w:p>
        </w:tc>
        <w:tc>
          <w:tcPr>
            <w:tcW w:w="360" w:type="dxa"/>
            <w:noWrap/>
            <w:textDirection w:val="btLr"/>
            <w:hideMark/>
          </w:tcPr>
          <w:p w14:paraId="262E631F"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USA </w:t>
            </w:r>
          </w:p>
        </w:tc>
        <w:tc>
          <w:tcPr>
            <w:tcW w:w="360" w:type="dxa"/>
            <w:noWrap/>
            <w:textDirection w:val="btLr"/>
            <w:hideMark/>
          </w:tcPr>
          <w:p w14:paraId="5C9D5222"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Malawi</w:t>
            </w:r>
          </w:p>
        </w:tc>
        <w:tc>
          <w:tcPr>
            <w:tcW w:w="360" w:type="dxa"/>
            <w:noWrap/>
            <w:textDirection w:val="btLr"/>
            <w:hideMark/>
          </w:tcPr>
          <w:p w14:paraId="1A64D332"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Brazil </w:t>
            </w:r>
          </w:p>
        </w:tc>
        <w:tc>
          <w:tcPr>
            <w:tcW w:w="360" w:type="dxa"/>
            <w:noWrap/>
            <w:textDirection w:val="btLr"/>
            <w:hideMark/>
          </w:tcPr>
          <w:p w14:paraId="2906EDC5" w14:textId="77777777" w:rsidR="001F2CBA" w:rsidRPr="00210C2D" w:rsidRDefault="001F2CBA" w:rsidP="007E1F10">
            <w:pPr>
              <w:jc w:val="both"/>
              <w:rPr>
                <w:rFonts w:ascii="Times New Roman" w:hAnsi="Times New Roman" w:cs="Times New Roman"/>
                <w:sz w:val="24"/>
                <w:szCs w:val="24"/>
              </w:rPr>
            </w:pPr>
            <w:r>
              <w:rPr>
                <w:rFonts w:ascii="Times New Roman" w:hAnsi="Times New Roman" w:cs="Times New Roman"/>
                <w:sz w:val="24"/>
                <w:szCs w:val="24"/>
              </w:rPr>
              <w:t>C</w:t>
            </w:r>
            <w:r w:rsidRPr="00210C2D">
              <w:rPr>
                <w:rFonts w:ascii="Times New Roman" w:hAnsi="Times New Roman" w:cs="Times New Roman"/>
                <w:sz w:val="24"/>
                <w:szCs w:val="24"/>
              </w:rPr>
              <w:t xml:space="preserve">anada </w:t>
            </w:r>
          </w:p>
        </w:tc>
        <w:tc>
          <w:tcPr>
            <w:tcW w:w="360" w:type="dxa"/>
            <w:noWrap/>
            <w:textDirection w:val="btLr"/>
            <w:hideMark/>
          </w:tcPr>
          <w:p w14:paraId="09DC78C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USA </w:t>
            </w:r>
          </w:p>
        </w:tc>
        <w:tc>
          <w:tcPr>
            <w:tcW w:w="360" w:type="dxa"/>
            <w:noWrap/>
            <w:textDirection w:val="btLr"/>
            <w:hideMark/>
          </w:tcPr>
          <w:p w14:paraId="6A125ECE"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Iran</w:t>
            </w:r>
          </w:p>
        </w:tc>
        <w:tc>
          <w:tcPr>
            <w:tcW w:w="360" w:type="dxa"/>
            <w:noWrap/>
            <w:textDirection w:val="btLr"/>
            <w:hideMark/>
          </w:tcPr>
          <w:p w14:paraId="5DCBEFFB"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Iran</w:t>
            </w:r>
          </w:p>
        </w:tc>
        <w:tc>
          <w:tcPr>
            <w:tcW w:w="360" w:type="dxa"/>
            <w:noWrap/>
            <w:textDirection w:val="btLr"/>
            <w:hideMark/>
          </w:tcPr>
          <w:p w14:paraId="73C266A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Austrialia</w:t>
            </w:r>
          </w:p>
        </w:tc>
        <w:tc>
          <w:tcPr>
            <w:tcW w:w="410" w:type="dxa"/>
            <w:noWrap/>
            <w:textDirection w:val="btLr"/>
            <w:hideMark/>
          </w:tcPr>
          <w:p w14:paraId="03E8A87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INDIA </w:t>
            </w:r>
          </w:p>
        </w:tc>
        <w:tc>
          <w:tcPr>
            <w:tcW w:w="310" w:type="dxa"/>
            <w:noWrap/>
            <w:textDirection w:val="btLr"/>
            <w:hideMark/>
          </w:tcPr>
          <w:p w14:paraId="0F931BD2"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ISRAEL </w:t>
            </w:r>
          </w:p>
        </w:tc>
        <w:tc>
          <w:tcPr>
            <w:tcW w:w="360" w:type="dxa"/>
            <w:noWrap/>
            <w:textDirection w:val="btLr"/>
            <w:hideMark/>
          </w:tcPr>
          <w:p w14:paraId="199F0B2D"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Iran</w:t>
            </w:r>
          </w:p>
        </w:tc>
        <w:tc>
          <w:tcPr>
            <w:tcW w:w="320" w:type="dxa"/>
            <w:noWrap/>
            <w:textDirection w:val="btLr"/>
            <w:hideMark/>
          </w:tcPr>
          <w:p w14:paraId="057C868E"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Brazil </w:t>
            </w:r>
          </w:p>
        </w:tc>
        <w:tc>
          <w:tcPr>
            <w:tcW w:w="360" w:type="dxa"/>
            <w:noWrap/>
            <w:textDirection w:val="btLr"/>
            <w:hideMark/>
          </w:tcPr>
          <w:p w14:paraId="1542BAD3"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Austrialia</w:t>
            </w:r>
          </w:p>
        </w:tc>
        <w:tc>
          <w:tcPr>
            <w:tcW w:w="360" w:type="dxa"/>
            <w:noWrap/>
            <w:textDirection w:val="btLr"/>
            <w:hideMark/>
          </w:tcPr>
          <w:p w14:paraId="3C05DDD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USA </w:t>
            </w:r>
          </w:p>
        </w:tc>
        <w:tc>
          <w:tcPr>
            <w:tcW w:w="450" w:type="dxa"/>
            <w:noWrap/>
            <w:textDirection w:val="btLr"/>
            <w:hideMark/>
          </w:tcPr>
          <w:p w14:paraId="481C228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Multiple locations (Saudi Arabia, United Arab Emirates, Kuwait, Bahrain, Qatar, and Oman)</w:t>
            </w:r>
          </w:p>
        </w:tc>
        <w:tc>
          <w:tcPr>
            <w:tcW w:w="360" w:type="dxa"/>
            <w:noWrap/>
            <w:textDirection w:val="btLr"/>
            <w:hideMark/>
          </w:tcPr>
          <w:p w14:paraId="7A6548F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Belgium </w:t>
            </w:r>
          </w:p>
        </w:tc>
        <w:tc>
          <w:tcPr>
            <w:tcW w:w="360" w:type="dxa"/>
            <w:noWrap/>
            <w:textDirection w:val="btLr"/>
            <w:hideMark/>
          </w:tcPr>
          <w:p w14:paraId="1AAD273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Brazil </w:t>
            </w:r>
          </w:p>
        </w:tc>
        <w:tc>
          <w:tcPr>
            <w:tcW w:w="360" w:type="dxa"/>
            <w:noWrap/>
            <w:textDirection w:val="btLr"/>
            <w:hideMark/>
          </w:tcPr>
          <w:p w14:paraId="7FC629A4"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Austrialia</w:t>
            </w:r>
          </w:p>
        </w:tc>
        <w:tc>
          <w:tcPr>
            <w:tcW w:w="360" w:type="dxa"/>
            <w:noWrap/>
            <w:textDirection w:val="btLr"/>
            <w:hideMark/>
          </w:tcPr>
          <w:p w14:paraId="70386F6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USA </w:t>
            </w:r>
          </w:p>
        </w:tc>
        <w:tc>
          <w:tcPr>
            <w:tcW w:w="360" w:type="dxa"/>
            <w:noWrap/>
            <w:textDirection w:val="btLr"/>
            <w:hideMark/>
          </w:tcPr>
          <w:p w14:paraId="401712A5"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 xml:space="preserve">Brazil </w:t>
            </w:r>
          </w:p>
        </w:tc>
        <w:tc>
          <w:tcPr>
            <w:tcW w:w="360" w:type="dxa"/>
            <w:noWrap/>
            <w:textDirection w:val="btLr"/>
            <w:hideMark/>
          </w:tcPr>
          <w:p w14:paraId="50331563"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Multicenter study in Portugal</w:t>
            </w:r>
          </w:p>
        </w:tc>
        <w:tc>
          <w:tcPr>
            <w:tcW w:w="360" w:type="dxa"/>
            <w:noWrap/>
            <w:textDirection w:val="btLr"/>
            <w:hideMark/>
          </w:tcPr>
          <w:p w14:paraId="52C861D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Bejing</w:t>
            </w:r>
          </w:p>
        </w:tc>
        <w:tc>
          <w:tcPr>
            <w:tcW w:w="360" w:type="dxa"/>
            <w:noWrap/>
            <w:textDirection w:val="btLr"/>
            <w:hideMark/>
          </w:tcPr>
          <w:p w14:paraId="6C5D4326"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Netherlands</w:t>
            </w:r>
          </w:p>
        </w:tc>
        <w:tc>
          <w:tcPr>
            <w:tcW w:w="360" w:type="dxa"/>
            <w:noWrap/>
            <w:textDirection w:val="btLr"/>
            <w:hideMark/>
          </w:tcPr>
          <w:p w14:paraId="50E5F9CC"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Iran</w:t>
            </w:r>
          </w:p>
        </w:tc>
        <w:tc>
          <w:tcPr>
            <w:tcW w:w="360" w:type="dxa"/>
            <w:noWrap/>
            <w:textDirection w:val="btLr"/>
            <w:hideMark/>
          </w:tcPr>
          <w:p w14:paraId="21ACDDA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Turkey</w:t>
            </w:r>
          </w:p>
        </w:tc>
      </w:tr>
      <w:tr w:rsidR="001F2CBA" w:rsidRPr="00210C2D" w14:paraId="1227910B" w14:textId="77777777" w:rsidTr="007E1F10">
        <w:trPr>
          <w:trHeight w:val="4850"/>
        </w:trPr>
        <w:tc>
          <w:tcPr>
            <w:tcW w:w="360" w:type="dxa"/>
            <w:noWrap/>
            <w:textDirection w:val="btLr"/>
            <w:hideMark/>
          </w:tcPr>
          <w:p w14:paraId="08D75F7B" w14:textId="77777777" w:rsidR="001F2CBA" w:rsidRPr="00210C2D" w:rsidRDefault="001F2CBA" w:rsidP="007E1F10">
            <w:pPr>
              <w:jc w:val="both"/>
              <w:rPr>
                <w:rFonts w:ascii="Times New Roman" w:hAnsi="Times New Roman" w:cs="Times New Roman"/>
                <w:b/>
                <w:bCs/>
                <w:sz w:val="24"/>
                <w:szCs w:val="24"/>
              </w:rPr>
            </w:pPr>
            <w:r w:rsidRPr="00210C2D">
              <w:rPr>
                <w:rFonts w:ascii="Times New Roman" w:hAnsi="Times New Roman" w:cs="Times New Roman"/>
                <w:b/>
                <w:bCs/>
                <w:sz w:val="24"/>
                <w:szCs w:val="24"/>
              </w:rPr>
              <w:t>First author, year</w:t>
            </w:r>
          </w:p>
        </w:tc>
        <w:tc>
          <w:tcPr>
            <w:tcW w:w="378" w:type="dxa"/>
            <w:noWrap/>
            <w:textDirection w:val="btLr"/>
            <w:hideMark/>
          </w:tcPr>
          <w:p w14:paraId="4976AF8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Charles Chin Han Lew et al. . 2017</w:t>
            </w:r>
            <w:r w:rsidRPr="00210C2D">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{"citationID":"yZxvQteN","properties":{"formattedCitation":"[6]","plainCitation":"[6]","noteIndex":0},"citationItems":[{"id":458,"uris":["http://zotero.org/users/11027724/items/2LASBYJ7"],"itemData":{"id":458,"type":"article-journal","abstract":"There is limited evidence for the association between malnutrition and mortality as well as Intensive Care Unit length-of-stay (ICU-LOS) in critically ill patients. We aimed to examine the aforementioned associations by conducting a prospective cohort study in an ICU of a Singapore tertiary hospital. Between August 2015 and October 2016, all adult patients with ≥ 24 h of ICU-LOS were included. The 7-point Subjective Global Assessment (7-point SGA) was used to determine patients’ nutritional status within 48 h of ICU admission. Multivariable regressions were conducted in two ways: (1) presence versus absence of malnutrition, and (2) dose-dependent association for each 1-point decrease in the 7-point SGA. There were 439 patients of which 28.0% were malnourished, and the 28-day mortality rate was 28.0%. Malnutrition was associated with an increased risk of 28-day mortality (adjusted Relative Risk 1.33 (95% Confidence Interval: 1.05–1.69)), and this risk increased with a greater degree of malnutrition (adjusted Relative Risk 1.08 (95% Confidence Interval: 1.00–1.16) for each 1-point decrease in the 7-point SGA). No significant association was found between malnutrition and ICU-LOS. The results of this study indicated a clear association between malnutrition and higher 28-day mortality in critically ill patients. The association between malnutrition and ICU-LOS could not be replicated and hence requires further evaluation.","container-title":"Nutrients","DOI":"10.3390/nu10010010","ISSN":"2072-6643","issue":"1","journalAbbreviation":"Nutrients","language":"en","license":"https://creativecommons.org/licenses/by/4.0/","page":"10","source":"DOI.org (Crossref)","title":"Association between Malnutrition and 28-Day Mortality and Intensive Care Length-of-Stay in the Critically ill: A Prospective Cohort Study","title-short":"Association between Malnutrition and 28-Day Mortality and Intensive Care Length-of-Stay in the Critically ill","volume":"10","author":[{"family":"Lew","given":"Charles"},{"family":"Wong","given":"Gabriel"},{"family":"Cheung","given":"Ka"},{"family":"Chua","given":"Ai"},{"family":"Chong","given":"Mary"},{"family":"Miller","given":"Michelle"}],"issued":{"date-parts":[["2017",12,23]]}}}],"schema":"https://github.com/citation-style-language/schema/raw/master/csl-citation.json"} </w:instrText>
            </w:r>
            <w:r w:rsidRPr="00210C2D">
              <w:rPr>
                <w:rFonts w:ascii="Times New Roman" w:hAnsi="Times New Roman" w:cs="Times New Roman"/>
                <w:sz w:val="24"/>
                <w:szCs w:val="24"/>
              </w:rPr>
              <w:fldChar w:fldCharType="separate"/>
            </w:r>
            <w:r w:rsidRPr="00002CA7">
              <w:rPr>
                <w:rFonts w:ascii="Times New Roman" w:hAnsi="Times New Roman" w:cs="Times New Roman"/>
                <w:sz w:val="24"/>
              </w:rPr>
              <w:t>[6]</w:t>
            </w:r>
            <w:r w:rsidRPr="00210C2D">
              <w:rPr>
                <w:rFonts w:ascii="Times New Roman" w:hAnsi="Times New Roman" w:cs="Times New Roman"/>
                <w:sz w:val="24"/>
                <w:szCs w:val="24"/>
              </w:rPr>
              <w:fldChar w:fldCharType="end"/>
            </w:r>
          </w:p>
        </w:tc>
        <w:tc>
          <w:tcPr>
            <w:tcW w:w="363" w:type="dxa"/>
            <w:noWrap/>
            <w:textDirection w:val="btLr"/>
            <w:hideMark/>
          </w:tcPr>
          <w:p w14:paraId="693795B8"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Sungurtekin et al., 2014</w:t>
            </w:r>
            <w:r w:rsidRPr="00210C2D">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{"citationID":"QUyPBmVV","properties":{"formattedCitation":"[12]","plainCitation":"[12]","noteIndex":0},"citationItems":[{"id":460,"uris":["http://zotero.org/users/11027724/items/XIWWPH36"],"itemData":{"id":460,"type":"article-journal","abstract":"Background:\n              The aim of this study was to assess whether subjective global assessment (SGA) is useful in identifying malnutrition and outcomes in the intensive care unit (ICU).\n              Methods:\n              After obtaining institutional approval, 124 consenting patients were enrolled in this study. Patients were evaluated at admission using clinical data, SGA, height, weight, triceps skinfold thickness (TSF), mid‐arm circumference (MAC), Acute Physiology and Chronic Health Evaluation (APACHE II), and Simplified Acute Physiologic Score (SAPS). Patients were classified as well nourished, moderately malnourished, or severely malnourished with SGA.\n              Results:\n              According to SGA, 62% (n = 77) of the patients were classified as well nourished, 26% (n = 33) as moderately malnourished, and 11% (n = 14) as severely malnourished. Body weight, body mass index (BMI), MAC, TSF, and mid‐arm muscle circumference (MAMC) were lower, whereas APACHE II and SAPS II scores and mortality were higher in the malnourished groups compared with the well‐nourished group. The SGA rating correlated significantly with age, body weight, percentage of weight loss, serum albumin level, APACHE II and SAPS II scores, and mortality. Anthropometrics data were correlated with SGA. Mortality rate was correlated with high APACHE II score, SAPS II score, days in the ICU and low BMI, MAMC, and serum albumin level.\n              Conclusions:\n              The results support that SGA is simple and may predict the patient's outcomes in the ICU.","container-title":"Nutrition in Clinical Practice","DOI":"10.1177/0884533608326137","ISSN":"0884-5336, 1941-2452","issue":"6","journalAbbreviation":"Nut in Clin Prac","language":"en","license":"http://onlinelibrary.wiley.com/termsAndConditions#vor","page":"635-641","source":"DOI.org (Crossref)","title":"Nutrition Assessment in Critically Ill Patients","volume":"23","author":[{"family":"Sungurtekin","given":"Hulya"},{"family":"Sungurtekin","given":"Ugur"},{"family":"Oner","given":"Ozlem"},{"family":"Okke","given":"Demet"}],"issued":{"date-parts":[["2008",12]]}}}],"schema":"https://github.com/citation-style-language/schema/raw/master/csl-citation.json"} </w:instrText>
            </w:r>
            <w:r w:rsidRPr="00210C2D">
              <w:rPr>
                <w:rFonts w:ascii="Times New Roman" w:hAnsi="Times New Roman" w:cs="Times New Roman"/>
                <w:sz w:val="24"/>
                <w:szCs w:val="24"/>
              </w:rPr>
              <w:fldChar w:fldCharType="separate"/>
            </w:r>
            <w:r w:rsidRPr="00002CA7">
              <w:rPr>
                <w:rFonts w:ascii="Times New Roman" w:hAnsi="Times New Roman" w:cs="Times New Roman"/>
                <w:sz w:val="24"/>
              </w:rPr>
              <w:t>[12]</w:t>
            </w:r>
            <w:r w:rsidRPr="00210C2D">
              <w:rPr>
                <w:rFonts w:ascii="Times New Roman" w:hAnsi="Times New Roman" w:cs="Times New Roman"/>
                <w:sz w:val="24"/>
                <w:szCs w:val="24"/>
              </w:rPr>
              <w:fldChar w:fldCharType="end"/>
            </w:r>
          </w:p>
        </w:tc>
        <w:tc>
          <w:tcPr>
            <w:tcW w:w="267" w:type="dxa"/>
            <w:noWrap/>
            <w:textDirection w:val="btLr"/>
            <w:hideMark/>
          </w:tcPr>
          <w:p w14:paraId="147793FB"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Johane P. Allard et al.  ,2014</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{"citationID":"lX0UoiU7","properties":{"formattedCitation":"[13]","plainCitation":"[13]","noteIndex":0},"citationItems":[{"id":474,"uris":["http://zotero.org/users/11027724/items/25UFLL79"],"itemData":{"id":474,"type":"article-journal","abstract":"Background:\n              In hospitals, length of stay (LOS) is a priority but it may be prolonged by malnutrition. This study seeks to determine the contributors to malnutrition at admission and evaluate its effect on LOS.\n              Materials and Methods\n              : This is a prospective cohort study conducted in 18 Canadian hospitals from July 2010 to February 2013 in patients ≥ 18 years admitted for ≥ 2 days. Excluded were those admitted directly to the intensive care unit; obstetric, psychiatry, or palliative wards; or medical day units. At admission, the main nutrition evaluation was subjective global assessment (SGA). Body mass index (BMI) and handgrip strength (HGS) were also performed to assess other aspects of nutrition. Additional information was collected from patients and charts review during hospitalization.\n              Results\n              : One thousand fifteen patients were enrolled: based on SGA, 45% (95% confidence interval [CI], 42%–48%) were malnourished, and based on BMI, 32% (95% CI, 29%–35%) were obese. Independent contributors to malnutrition at admission were Charlson comorbidity index &gt; 2, having 3 diagnostic categories, relying on adult children for grocery shopping, and living alone. The median (range) LOS was 6 (1–117) days. After controlling for demographic, socioeconomic, and disease‐related factors and treatment, malnutrition at admission was independently associated with prolonged LOS (hazard ratio, 0.73; 95% CI, 0.62–0.86). Other nutrition‐related factors associated with prolonged LOS were lower HGS at admission, receiving nutrition support, and food intake &lt; 50%. Obesity was not a predictor.\n              Conclusion\n              : Malnutrition at admission is prevalent and associated with prolonged LOS. Complex disease and age‐related social factors are contributors.","container-title":"Journal of Parenteral and Enteral Nutrition","DOI":"10.1177/0148607114567902","ISSN":"0148-6071, 1941-2444","issue":"4","journalAbbreviation":"J Parenter Enteral Nutr","language":"en","license":"http://onlinelibrary.wiley.com/termsAndConditions#vor","page":"487-497","source":"DOI.org (Crossref)","title":"Malnutrition at Hospital Admission—Contributors and Effect on Length of Stay: A Prospective Cohort Study From the Canadian Malnutrition Task Force","title-short":"Malnutrition at Hospital Admission—Contributors and Effect on Length of Stay","volume":"40","author":[{"family":"Allard","given":"Johane P."},{"family":"Keller","given":"Heather"},{"family":"Jeejeebhoy","given":"Khursheed N."},{"family":"Laporte","given":"Manon"},{"family":"Duerksen","given":"Don R."},{"family":"Gramlich","given":"Leah"},{"family":"Payette","given":"Helene"},{"family":"Bernier","given":"Paule"},{"family":"Vesnaver","given":"Elisabeth"},{"family":"Davidson","given":"Bridget"},{"family":"Teterina","given":"Anastasia"},{"family":"Lou","given":"Wendy"}],"issued":{"date-parts":[["2016",5]]}}}],"schema":"https://github.com/citation-style-language/schema/raw/master/csl-citation.json"} </w:instrText>
            </w:r>
            <w:r>
              <w:rPr>
                <w:rFonts w:ascii="Times New Roman" w:hAnsi="Times New Roman" w:cs="Times New Roman"/>
                <w:sz w:val="24"/>
                <w:szCs w:val="24"/>
              </w:rPr>
              <w:fldChar w:fldCharType="separate"/>
            </w:r>
            <w:r w:rsidRPr="00002CA7">
              <w:rPr>
                <w:rFonts w:ascii="Times New Roman" w:hAnsi="Times New Roman" w:cs="Times New Roman"/>
                <w:sz w:val="24"/>
              </w:rPr>
              <w:t>[13]</w:t>
            </w:r>
            <w:r>
              <w:rPr>
                <w:rFonts w:ascii="Times New Roman" w:hAnsi="Times New Roman" w:cs="Times New Roman"/>
                <w:sz w:val="24"/>
                <w:szCs w:val="24"/>
              </w:rPr>
              <w:fldChar w:fldCharType="end"/>
            </w:r>
          </w:p>
        </w:tc>
        <w:tc>
          <w:tcPr>
            <w:tcW w:w="319" w:type="dxa"/>
            <w:noWrap/>
            <w:textDirection w:val="btLr"/>
            <w:hideMark/>
          </w:tcPr>
          <w:p w14:paraId="4A74B962"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Daniel Fontes et al, 2013</w:t>
            </w:r>
            <w:r w:rsidRPr="008F5A78">
              <w:rPr>
                <w:rFonts w:ascii="Times New Roman" w:hAnsi="Times New Roman" w:cs="Times New Roman"/>
                <w:sz w:val="24"/>
                <w:szCs w:val="24"/>
              </w:rPr>
              <w:t>[18]</w:t>
            </w:r>
          </w:p>
        </w:tc>
        <w:tc>
          <w:tcPr>
            <w:tcW w:w="293" w:type="dxa"/>
            <w:noWrap/>
            <w:textDirection w:val="btLr"/>
            <w:hideMark/>
          </w:tcPr>
          <w:p w14:paraId="7AF8BD17" w14:textId="77777777" w:rsidR="001F2CBA" w:rsidRPr="00210C2D" w:rsidRDefault="001F2CBA" w:rsidP="007E1F10">
            <w:pPr>
              <w:jc w:val="both"/>
              <w:rPr>
                <w:rFonts w:ascii="Times New Roman" w:hAnsi="Times New Roman" w:cs="Times New Roman"/>
                <w:sz w:val="24"/>
                <w:szCs w:val="24"/>
              </w:rPr>
            </w:pPr>
            <w:r>
              <w:rPr>
                <w:rFonts w:ascii="Times New Roman" w:hAnsi="Times New Roman" w:cs="Times New Roman"/>
                <w:sz w:val="24"/>
                <w:szCs w:val="24"/>
              </w:rPr>
              <w:t>Chandrashish</w:t>
            </w:r>
            <w:r w:rsidRPr="00210C2D">
              <w:rPr>
                <w:rFonts w:ascii="Times New Roman" w:hAnsi="Times New Roman" w:cs="Times New Roman"/>
                <w:sz w:val="24"/>
                <w:szCs w:val="24"/>
              </w:rPr>
              <w:t>Chakravarty etal.,2013</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{"citationID":"yJDtxXlg","properties":{"formattedCitation":"[14]","plainCitation":"[14]","noteIndex":0},"citationItems":[{"id":475,"uris":["http://zotero.org/users/11027724/items/AGDG25AP"],"itemData":{"id":475,"type":"article-journal","container-title":"Indian Journal of Critical Care Medicine","DOI":"10.4103/0972-5229.117058","ISSN":"0972-5229, 1998-359X","issue":"3","language":"en","page":"170-173","source":"DOI.org (Crossref)","title":"Prevalence of malnutrition in a tertiary care hospital in India","volume":"17","author":[{"family":"Goswami","given":"Lawni"},{"family":"Chakravarty","given":"Chandrashish"},{"family":"Hazarika","given":"Babita"}],"issued":{"date-parts":[["2013",6]]}}}],"schema":"https://github.com/citation-style-language/schema/raw/master/csl-citation.json"} </w:instrText>
            </w:r>
            <w:r>
              <w:rPr>
                <w:rFonts w:ascii="Times New Roman" w:hAnsi="Times New Roman" w:cs="Times New Roman"/>
                <w:sz w:val="24"/>
                <w:szCs w:val="24"/>
              </w:rPr>
              <w:fldChar w:fldCharType="separate"/>
            </w:r>
            <w:r w:rsidRPr="00002CA7">
              <w:rPr>
                <w:rFonts w:ascii="Times New Roman" w:hAnsi="Times New Roman" w:cs="Times New Roman"/>
                <w:sz w:val="24"/>
              </w:rPr>
              <w:t>[14]</w:t>
            </w:r>
            <w:r>
              <w:rPr>
                <w:rFonts w:ascii="Times New Roman" w:hAnsi="Times New Roman" w:cs="Times New Roman"/>
                <w:sz w:val="24"/>
                <w:szCs w:val="24"/>
              </w:rPr>
              <w:fldChar w:fldCharType="end"/>
            </w:r>
          </w:p>
        </w:tc>
        <w:tc>
          <w:tcPr>
            <w:tcW w:w="288" w:type="dxa"/>
            <w:noWrap/>
            <w:textDirection w:val="btLr"/>
            <w:hideMark/>
          </w:tcPr>
          <w:p w14:paraId="337B090D" w14:textId="77777777" w:rsidR="001F2CBA" w:rsidRPr="00210C2D" w:rsidRDefault="001F2CBA" w:rsidP="007E1F10">
            <w:pPr>
              <w:jc w:val="both"/>
              <w:rPr>
                <w:rFonts w:ascii="Times New Roman" w:hAnsi="Times New Roman" w:cs="Times New Roman"/>
                <w:sz w:val="24"/>
                <w:szCs w:val="24"/>
                <w:u w:val="single"/>
              </w:rPr>
            </w:pPr>
            <w:r w:rsidRPr="00210C2D">
              <w:rPr>
                <w:rFonts w:ascii="Times New Roman" w:hAnsi="Times New Roman" w:cs="Times New Roman"/>
                <w:sz w:val="24"/>
                <w:szCs w:val="24"/>
                <w:u w:val="single"/>
              </w:rPr>
              <w:t>Andrés Luciano NicolásMartinuzzi etal.,2021</w:t>
            </w:r>
            <w:r>
              <w:rPr>
                <w:rFonts w:ascii="Times New Roman" w:hAnsi="Times New Roman" w:cs="Times New Roman"/>
                <w:sz w:val="24"/>
                <w:szCs w:val="24"/>
                <w:u w:val="single"/>
              </w:rPr>
              <w:fldChar w:fldCharType="begin"/>
            </w:r>
            <w:r>
              <w:rPr>
                <w:rFonts w:ascii="Times New Roman" w:hAnsi="Times New Roman" w:cs="Times New Roman"/>
                <w:sz w:val="24"/>
                <w:szCs w:val="24"/>
                <w:u w:val="single"/>
              </w:rPr>
              <w:instrText xml:space="preserve"> ADDIN ZOTERO_ITEM CSL_CITATION {"citationID":"4HR0iBq9","properties":{"formattedCitation":"[15]","plainCitation":"[15]","noteIndex":0},"citationItems":[{"id":478,"uris":["http://zotero.org/users/11027724/items/937A4ARV"],"itemData":{"id":478,"type":"article-journal","abstract":"Abstract \nin English, Spanish\nIntroduction: the COVID-19 pandemic put the world's population at risk. As the relationship between nutritional risk and clinical outcomes in critically ill patients with COVID-19 is still poorly understood, a multidisciplinary research team of the Argentine Society of Intensive Care (SATI) conducted a multicenter study aimed to define nutritional features, and to evaluate the relationship between nutritional risk and relevant clinical outcomes for COVID-19 patients in an intensive care unit (ICU). Methods: a multicenter, prospective, observational study including twelve Argentinian ICUs was conducted between March and October 2020. Inclusion criteria were: adult patients older than 18 years who were admitted to the ICU with a COVID-19 diagnosis were included. Clinical data included comorbidities scores, and nutritional screening tools such as the Subjective Global Assessment (SGA), the Nutritional Risk Screening (NRS) 2002, and the modified NUTRIC score (mNUTRIC SCORE) were used. In addition, clinical outcomes including overall mortality, mechanical ventilation (MV) days, and ICU and hospital length of stay (LOS) were recorded. Results: a total of 285 ICU patients met our inclusion criteria. Mean age was 61.24 (SD = 14.6) years; APACHE-II, 14.2 (SD = 6.6); Charlson Comorbidity Index (CCI), 2.3 (SD = 2.3). Most patients were admitted from the emergency room to the ICU. Hypertension, obesity, and diabetes were the most common comorbidities. Nutritional assessment showed that 36.9 % were SGA B+C, and 46 % were obese. Mean ICU LOS was 22.2 (SD = 19.5), and hospital LOS was 28.1 (SD = 21.9) days. Of all patients, 90.2 % underwent MV, and MV days were 20.6 (SD = 15.6). The univariate and multivariate analyses showed that risk factors for COVID-19 mortality were (odds ratio [95 % confidence interval]): SGA score of B or C: 2.13 [1.11-4.06], and NRS 2002 ≥ 3: 2.25 [1.01-5.01]. Conclusions: in the present study, nutritional status (SGA) and NRS 2002 were major mortality risk factors for CODIV-19 patients in the ICU.\nKeywords: COVID-19. Riesgo nutricional. Malnutrición. Mortalidad. Pacientes críticamente enfermos..","issue":"9;38(6):1119-1125.","title":"Nutritional risk and clinical outcomes in critically ill adult patients with COVID-19","author":[{"family":"Andrés Luciano","given":""}]}}],"schema":"https://github.com/citation-style-language/schema/raw/master/csl-citation.json"} </w:instrText>
            </w:r>
            <w:r>
              <w:rPr>
                <w:rFonts w:ascii="Times New Roman" w:hAnsi="Times New Roman" w:cs="Times New Roman"/>
                <w:sz w:val="24"/>
                <w:szCs w:val="24"/>
                <w:u w:val="single"/>
              </w:rPr>
              <w:fldChar w:fldCharType="separate"/>
            </w:r>
            <w:r w:rsidRPr="00002CA7">
              <w:rPr>
                <w:rFonts w:ascii="Times New Roman" w:hAnsi="Times New Roman" w:cs="Times New Roman"/>
                <w:sz w:val="24"/>
              </w:rPr>
              <w:t>[15]</w:t>
            </w:r>
            <w:r>
              <w:rPr>
                <w:rFonts w:ascii="Times New Roman" w:hAnsi="Times New Roman" w:cs="Times New Roman"/>
                <w:sz w:val="24"/>
                <w:szCs w:val="24"/>
                <w:u w:val="single"/>
              </w:rPr>
              <w:fldChar w:fldCharType="end"/>
            </w:r>
          </w:p>
        </w:tc>
        <w:tc>
          <w:tcPr>
            <w:tcW w:w="360" w:type="dxa"/>
            <w:noWrap/>
            <w:textDirection w:val="btLr"/>
            <w:hideMark/>
          </w:tcPr>
          <w:p w14:paraId="12170E91"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Patricia M. Sheeanet al. ,  2013</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{"citationID":"nzGES8xE","properties":{"formattedCitation":"[16]","plainCitation":"[16]","noteIndex":0},"citationItems":[{"id":220,"uris":["http://zotero.org/users/11027724/items/3DZPBMH4"],"itemData":{"id":220,"type":"article-journal","container-title":"Clinical Nutrition","DOI":"10.1016/j.clnu.2012.12.012","ISSN":"02615614","issue":"5","journalAbbreviation":"Clinical Nutrition","language":"en","page":"752-757","source":"DOI.org (Crossref)","title":"Utilizing multiple methods to classify malnutrition among elderly patients admitted to the medical and surgical intensive care units (ICU)","volume":"32","author":[{"family":"Sheean","given":"Patricia M."},{"family":"Peterson","given":"Sarah J."},{"family":"Chen","given":"Yimin"},{"family":"Liu","given":"Dishan"},{"family":"Lateef","given":"Omar"},{"family":"Braunschweig","given":"Carol A."}],"issued":{"date-parts":[["2013",10]]}}}],"schema":"https://github.com/citation-style-language/schema/raw/master/csl-citation.json"} </w:instrText>
            </w:r>
            <w:r>
              <w:rPr>
                <w:rFonts w:ascii="Times New Roman" w:hAnsi="Times New Roman" w:cs="Times New Roman"/>
                <w:sz w:val="24"/>
                <w:szCs w:val="24"/>
              </w:rPr>
              <w:fldChar w:fldCharType="separate"/>
            </w:r>
            <w:r w:rsidRPr="00002CA7">
              <w:rPr>
                <w:rFonts w:ascii="Times New Roman" w:hAnsi="Times New Roman" w:cs="Times New Roman"/>
                <w:sz w:val="24"/>
              </w:rPr>
              <w:t>[16]</w:t>
            </w:r>
            <w:r>
              <w:rPr>
                <w:rFonts w:ascii="Times New Roman" w:hAnsi="Times New Roman" w:cs="Times New Roman"/>
                <w:sz w:val="24"/>
                <w:szCs w:val="24"/>
              </w:rPr>
              <w:fldChar w:fldCharType="end"/>
            </w:r>
          </w:p>
        </w:tc>
        <w:tc>
          <w:tcPr>
            <w:tcW w:w="360" w:type="dxa"/>
            <w:noWrap/>
            <w:textDirection w:val="btLr"/>
            <w:hideMark/>
          </w:tcPr>
          <w:p w14:paraId="1996982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Bernadette Chimera-Khombe et al., 2022</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{"citationID":"gGDBrTv9","properties":{"formattedCitation":"[17]","plainCitation":"[17]","noteIndex":0},"citationItems":[{"id":481,"uris":["http://zotero.org/users/11027724/items/N6VLUIEN"],"itemData":{"id":481,"type":"article-journal","container-title":"European Journal of Clinical Nutrition","DOI":"10.1038/s41430-022-01087-5","ISSN":"0954-3007, 1476-5640","issue":"8","journalAbbreviation":"Eur J Clin Nutr","language":"en","page":"1158-1164","source":"DOI.org (Crossref)","title":"High prevalence, low identification and screening tools of hospital malnutrition in critically- ill patients in Malawi","volume":"76","author":[{"family":"Chimera-Khombe","given":"Bernadette"},{"family":"Barcus","given":"Grace"},{"family":"Schaffner","given":"Andrew"},{"family":"Papathakis","given":"Peggy"}],"issued":{"date-parts":[["2022",8]]}}}],"schema":"https://github.com/citation-style-language/schema/raw/master/csl-citation.json"} </w:instrText>
            </w:r>
            <w:r>
              <w:rPr>
                <w:rFonts w:ascii="Times New Roman" w:hAnsi="Times New Roman" w:cs="Times New Roman"/>
                <w:sz w:val="24"/>
                <w:szCs w:val="24"/>
              </w:rPr>
              <w:fldChar w:fldCharType="separate"/>
            </w:r>
            <w:r w:rsidRPr="00002CA7">
              <w:rPr>
                <w:rFonts w:ascii="Times New Roman" w:hAnsi="Times New Roman" w:cs="Times New Roman"/>
                <w:sz w:val="24"/>
              </w:rPr>
              <w:t>[17]</w:t>
            </w:r>
            <w:r>
              <w:rPr>
                <w:rFonts w:ascii="Times New Roman" w:hAnsi="Times New Roman" w:cs="Times New Roman"/>
                <w:sz w:val="24"/>
                <w:szCs w:val="24"/>
              </w:rPr>
              <w:fldChar w:fldCharType="end"/>
            </w:r>
          </w:p>
        </w:tc>
        <w:tc>
          <w:tcPr>
            <w:tcW w:w="360" w:type="dxa"/>
            <w:noWrap/>
            <w:textDirection w:val="btLr"/>
            <w:hideMark/>
          </w:tcPr>
          <w:p w14:paraId="41581B4F" w14:textId="77777777" w:rsidR="001F2CBA" w:rsidRPr="004801EF" w:rsidRDefault="001F2CBA" w:rsidP="007E1F10">
            <w:pPr>
              <w:jc w:val="both"/>
              <w:rPr>
                <w:rStyle w:val="Hyperlink"/>
                <w:rFonts w:ascii="Times New Roman" w:hAnsi="Times New Roman" w:cs="Times New Roman"/>
                <w:color w:val="auto"/>
                <w:sz w:val="24"/>
                <w:szCs w:val="24"/>
              </w:rPr>
            </w:pPr>
            <w:hyperlink r:id="rId4" w:history="1">
              <w:r w:rsidRPr="004801EF">
                <w:rPr>
                  <w:rStyle w:val="Hyperlink"/>
                  <w:rFonts w:ascii="Times New Roman" w:hAnsi="Times New Roman" w:cs="Times New Roman"/>
                  <w:color w:val="auto"/>
                  <w:sz w:val="24"/>
                  <w:szCs w:val="24"/>
                </w:rPr>
                <w:t>F S Caporossi et al.,2012</w:t>
              </w:r>
            </w:hyperlink>
            <w:r w:rsidRPr="004801EF">
              <w:rPr>
                <w:rStyle w:val="Hyperlink"/>
                <w:rFonts w:ascii="Times New Roman" w:hAnsi="Times New Roman" w:cs="Times New Roman"/>
                <w:color w:val="auto"/>
                <w:sz w:val="24"/>
                <w:szCs w:val="24"/>
              </w:rPr>
              <w:fldChar w:fldCharType="begin"/>
            </w:r>
            <w:r w:rsidRPr="004801EF">
              <w:rPr>
                <w:rStyle w:val="Hyperlink"/>
                <w:rFonts w:ascii="Times New Roman" w:hAnsi="Times New Roman" w:cs="Times New Roman"/>
                <w:color w:val="auto"/>
                <w:sz w:val="24"/>
                <w:szCs w:val="24"/>
              </w:rPr>
              <w:instrText xml:space="preserve"> ADDIN ZOTERO_ITEM CSL_CITATION {"citationID":"rpTdxwKt","properties":{"formattedCitation":"[18]","plainCitation":"[18]","noteIndex":0},"citationItems":[{"id":482,"uris":["http://zotero.org/users/11027724/items/MPXQGVC5"],"itemData":{"id":482,"type":"article-journal","container-title":"NUTRICION HOSPITALARIA","DOI":"10.3305/nh.2012.27.2.5514","ISSN":"0212-1611","issue":"2","language":"eng","page":"490-495","source":"DOI.org (CSL JSON)","title":"LA MEDICION DEL ESPESOR DEL MÚSCULO ADUCTOR DEL PULGAR COMO UN PREDICTOR DE RESULTADOS EN PACIENTES CRÍTICAMENTE ENFERMOS","author":[{"family":"Caporossi","given":"F. E."}],"issued":{"date-parts":[["2012",3,1]]}}}],"schema":"https://github.com/citation-style-language/schema/raw/master/csl-citation.json"} </w:instrText>
            </w:r>
            <w:r w:rsidRPr="004801EF">
              <w:rPr>
                <w:rStyle w:val="Hyperlink"/>
                <w:rFonts w:ascii="Times New Roman" w:hAnsi="Times New Roman" w:cs="Times New Roman"/>
                <w:color w:val="auto"/>
                <w:sz w:val="24"/>
                <w:szCs w:val="24"/>
              </w:rPr>
              <w:fldChar w:fldCharType="separate"/>
            </w:r>
            <w:r w:rsidRPr="004801EF">
              <w:rPr>
                <w:rFonts w:ascii="Times New Roman" w:hAnsi="Times New Roman" w:cs="Times New Roman"/>
                <w:sz w:val="24"/>
              </w:rPr>
              <w:t>[18]</w:t>
            </w:r>
            <w:r w:rsidRPr="004801EF">
              <w:rPr>
                <w:rStyle w:val="Hyperlink"/>
                <w:rFonts w:ascii="Times New Roman" w:hAnsi="Times New Roman" w:cs="Times New Roman"/>
                <w:color w:val="auto"/>
                <w:sz w:val="24"/>
                <w:szCs w:val="24"/>
              </w:rPr>
              <w:fldChar w:fldCharType="end"/>
            </w:r>
          </w:p>
          <w:p w14:paraId="6C1C8B4D" w14:textId="77777777" w:rsidR="001F2CBA" w:rsidRPr="00210C2D" w:rsidRDefault="001F2CBA" w:rsidP="007E1F10">
            <w:pPr>
              <w:jc w:val="both"/>
              <w:rPr>
                <w:rFonts w:ascii="Times New Roman" w:hAnsi="Times New Roman" w:cs="Times New Roman"/>
                <w:sz w:val="24"/>
                <w:szCs w:val="24"/>
                <w:u w:val="single"/>
              </w:rPr>
            </w:pPr>
          </w:p>
        </w:tc>
        <w:tc>
          <w:tcPr>
            <w:tcW w:w="360" w:type="dxa"/>
            <w:noWrap/>
            <w:textDirection w:val="btLr"/>
            <w:hideMark/>
          </w:tcPr>
          <w:p w14:paraId="1E18EE81" w14:textId="77777777" w:rsidR="001F2CBA" w:rsidRPr="00210C2D" w:rsidRDefault="001F2CBA" w:rsidP="007E1F10">
            <w:pPr>
              <w:jc w:val="both"/>
              <w:rPr>
                <w:rFonts w:ascii="Times New Roman" w:hAnsi="Times New Roman" w:cs="Times New Roman"/>
                <w:sz w:val="24"/>
                <w:szCs w:val="24"/>
              </w:rPr>
            </w:pPr>
            <w:r>
              <w:rPr>
                <w:rFonts w:ascii="Times New Roman" w:hAnsi="Times New Roman" w:cs="Times New Roman"/>
                <w:sz w:val="24"/>
                <w:szCs w:val="24"/>
              </w:rPr>
              <w:t>SavitaBector  et al. , 2016</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{"citationID":"S5tFYMvn","properties":{"formattedCitation":"[19]","plainCitation":"[19]","noteIndex":0},"citationItems":[{"id":191,"uris":["http://zotero.org/users/11027724/items/FXU8F548"],"itemData":{"id":191,"type":"article-journal","abstract":"Background:\n              The Subjective Global Assessment (SGA) is a validated nutrition assessment tool that is not commonly used to evaluate the nutritional status of patients admitted to the intensive care unit (ICU).\n            \n            \n              Objectives:\n              The aims of this study were to determine the prevalence of malnutrition in critically ill medical patients using the SGA and to determine whether the SGA was predictive of patient outcome.\n            \n            \n              Materials and Methods:\n              A retrospective chart review was performed on 57 consecutive patients admitted to a single tertiary care medical ICU and requiring mechanical ventilation over a 6-month time period. All SGA assessments were performed by a single dietitian trained in this assessment technique. Multiple factors including patient demographics, severity of illness, length of mechanical ventilation, length of ICU stay, and mortality were abstracted from the charts.\n            \n            \n              Results:\n              The prevalence of malnutrition on admission as assessed by the SGA was 35%. Severity of illness as determined by Acute Physiology and Chronic Health Evaluation II (APACHE II) score was not different between the SGA groups. Mortality rates were significantly higher in the moderately (45.5%) and severely malnourished (55.6%) groups than in the well-nourished group (10.8%; P = .004).\n            \n            \n              Conclusion:\n              Malnutrition on admission is common in critically ill medical patients. Malnutrition, as assessed by SGA at admission to ICU, is associated with increased mortality and thus can serve as a valuable prognostic tool in the assessment of critically ill patients. Given that that the SGA is a simple bedside assessment, it should be considered for routine use in assessing critically ill patients.","container-title":"Journal of Intensive Care Medicine","DOI":"10.1177/0885066615596325","ISSN":"0885-0666, 1525-1489","issue":"7","journalAbbreviation":"J Intensive Care Med","language":"en","page":"485-489","source":"DOI.org (Crossref)","title":"Does the Subjective Global Assessment Predict Outcome in Critically Ill Medical Patients?","volume":"31","author":[{"family":"Bector","given":"Savita"},{"family":"Vagianos","given":"Kathy"},{"family":"Suh","given":"Miyoung"},{"family":"Duerksen","given":"Donald R."}],"issued":{"date-parts":[["2016",8]]}}}],"schema":"https://github.com/citation-style-language/schema/raw/master/csl-citation.json"} </w:instrText>
            </w:r>
            <w:r>
              <w:rPr>
                <w:rFonts w:ascii="Times New Roman" w:hAnsi="Times New Roman" w:cs="Times New Roman"/>
                <w:sz w:val="24"/>
                <w:szCs w:val="24"/>
              </w:rPr>
              <w:fldChar w:fldCharType="separate"/>
            </w:r>
            <w:r w:rsidRPr="00002CA7">
              <w:rPr>
                <w:rFonts w:ascii="Times New Roman" w:hAnsi="Times New Roman" w:cs="Times New Roman"/>
                <w:sz w:val="24"/>
              </w:rPr>
              <w:t>[19]</w:t>
            </w:r>
            <w:r>
              <w:rPr>
                <w:rFonts w:ascii="Times New Roman" w:hAnsi="Times New Roman" w:cs="Times New Roman"/>
                <w:sz w:val="24"/>
                <w:szCs w:val="24"/>
              </w:rPr>
              <w:fldChar w:fldCharType="end"/>
            </w:r>
          </w:p>
        </w:tc>
        <w:tc>
          <w:tcPr>
            <w:tcW w:w="360" w:type="dxa"/>
            <w:noWrap/>
            <w:textDirection w:val="btLr"/>
            <w:hideMark/>
          </w:tcPr>
          <w:p w14:paraId="3D828323"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Anne Coltman  et al.  ,2015</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{"citationID":"qTvMkXEk","properties":{"formattedCitation":"[20]","plainCitation":"[20]","noteIndex":0},"citationItems":[{"id":484,"uris":["http://zotero.org/users/11027724/items/UN5TXKAC"],"itemData":{"id":484,"type":"article-journal","abstract":"Background:\n              Identifying patients at nutrition risk proves difficult in the intensive care unit (ICU) due to the nature of critical illness. No consensus exists on the most appropriate method to identify these patients. Traditional screens and assessments are often limited due to their subjective nature. The purpose of the quality improvement project was to compare proportions of ICU patients deemed at nutrition risk using 3 different tools.\n              Material and Methods\n              : A convenience sample of 294 patients admitted to the ICU was used. Patients were assessed using the institution's routine nutrition screening method, the Subjective Global Assessment (SGA), and the NUTrition Risk in Critically ill (NUTRIC) score. Information was collected on demographics, severity of illness, hospital and ICU length of stay (LOS), and disposition. Descriptive statistics were used to examine counts/proportions of risk categories; means ± SD were used to summarize demographic and clinical variables.\n              Results\n              : A total of 139 patients (47%) were deemed at nutrition risk or malnourished by at least 1 tool. Patients identified were older and had a lower body mass index, more weight loss, more fat and muscle wasting, more fluid accumulation, and lower average handgrips than those not at nutrition risk; they also had longer hospital and ICU LOS, higher rates of requiring further rehabilitation upon discharge, and higher mortality during hospitalization.\n              Conclusion\n              : Traditional screening and assessment tools did not uniformly identify patients as malnourished or at nutrition risk in the ICU and therefore may be inappropriate for use in this population. Inclusion of physical assessment, functional status, and severity of illness may be useful in predicting nutrition risk in the ICU.","container-title":"Journal of Parenteral and Enteral Nutrition","DOI":"10.1177/0148607114532135","ISSN":"0148-6071, 1941-2444","issue":"1","journalAbbreviation":"J Parenter Enteral Nutr","language":"en","license":"http://onlinelibrary.wiley.com/termsAndConditions#vor","page":"28-33","source":"DOI.org (Crossref)","title":"Use of 3 Tools to Assess Nutrition Risk in the Intensive Care Unit","volume":"39","author":[{"family":"Coltman","given":"Anne"},{"family":"Peterson","given":"Sarah"},{"family":"Roehl","given":"Kelly"},{"family":"Roosevelt","given":"Hannah"},{"family":"Sowa","given":"Diane"}],"issued":{"date-parts":[["2015",1]]}}}],"schema":"https://github.com/citation-style-language/schema/raw/master/csl-citation.json"} </w:instrText>
            </w:r>
            <w:r>
              <w:rPr>
                <w:rFonts w:ascii="Times New Roman" w:hAnsi="Times New Roman" w:cs="Times New Roman"/>
                <w:sz w:val="24"/>
                <w:szCs w:val="24"/>
              </w:rPr>
              <w:fldChar w:fldCharType="separate"/>
            </w:r>
            <w:r w:rsidRPr="00002CA7">
              <w:rPr>
                <w:rFonts w:ascii="Times New Roman" w:hAnsi="Times New Roman" w:cs="Times New Roman"/>
                <w:sz w:val="24"/>
              </w:rPr>
              <w:t>[20]</w:t>
            </w:r>
            <w:r>
              <w:rPr>
                <w:rFonts w:ascii="Times New Roman" w:hAnsi="Times New Roman" w:cs="Times New Roman"/>
                <w:sz w:val="24"/>
                <w:szCs w:val="24"/>
              </w:rPr>
              <w:fldChar w:fldCharType="end"/>
            </w:r>
          </w:p>
        </w:tc>
        <w:tc>
          <w:tcPr>
            <w:tcW w:w="360" w:type="dxa"/>
            <w:noWrap/>
            <w:textDirection w:val="btLr"/>
            <w:hideMark/>
          </w:tcPr>
          <w:p w14:paraId="52ED990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NajmehHejazi et al. ,2016</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{"citationID":"e4mSnfv1","properties":{"formattedCitation":"[21]","plainCitation":"[21]","noteIndex":0},"citationItems":[{"id":485,"uris":["http://zotero.org/users/11027724/items/NRZT4NHC"],"itemData":{"id":485,"type":"article-journal","title":"Nutritional Assessment in Critically Ill Patients","author":[{"family":"Najmeh Hejazi1","given":"Afshin Amini4","suffix":"5, MD"}]}}],"schema":"https://github.com/citation-style-language/schema/raw/master/csl-citation.json"} </w:instrText>
            </w:r>
            <w:r>
              <w:rPr>
                <w:rFonts w:ascii="Times New Roman" w:hAnsi="Times New Roman" w:cs="Times New Roman"/>
                <w:sz w:val="24"/>
                <w:szCs w:val="24"/>
              </w:rPr>
              <w:fldChar w:fldCharType="separate"/>
            </w:r>
            <w:r w:rsidRPr="00002CA7">
              <w:rPr>
                <w:rFonts w:ascii="Times New Roman" w:hAnsi="Times New Roman" w:cs="Times New Roman"/>
                <w:sz w:val="24"/>
              </w:rPr>
              <w:t>[21]</w:t>
            </w:r>
            <w:r>
              <w:rPr>
                <w:rFonts w:ascii="Times New Roman" w:hAnsi="Times New Roman" w:cs="Times New Roman"/>
                <w:sz w:val="24"/>
                <w:szCs w:val="24"/>
              </w:rPr>
              <w:fldChar w:fldCharType="end"/>
            </w:r>
          </w:p>
        </w:tc>
        <w:tc>
          <w:tcPr>
            <w:tcW w:w="360" w:type="dxa"/>
            <w:noWrap/>
            <w:textDirection w:val="btLr"/>
            <w:hideMark/>
          </w:tcPr>
          <w:p w14:paraId="00137330"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ShaahinShahbazi et al., 2021</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{"citationID":"uvHqjV52","properties":{"formattedCitation":"[22]","plainCitation":"[22]","noteIndex":0},"citationItems":[{"id":486,"uris":["http://zotero.org/users/11027724/items/WHL7MM46"],"itemData":{"id":486,"type":"article-journal","container-title":"Clinical Nutrition ESPEN","DOI":"10.1016/j.clnesp.2021.03.020","ISSN":"24054577","journalAbbreviation":"Clinical Nutrition ESPEN","language":"en","page":"377-382","source":"DOI.org (Crossref)","title":"The validity of the global leadership initiative on malnutrition criteria for diagnosing malnutrition in critically ill patients with COVID-19: A prospective cohort study","title-short":"The validity of the global leadership initiative on malnutrition criteria for diagnosing malnutrition in critically ill patients with COVID-19","volume":"43","author":[{"family":"Shahbazi","given":"Shaahin"},{"family":"Hajimohammadebrahim-Ketabforoush","given":"Melika"},{"family":"Vahdat Shariatpanahi","given":"Maryam"},{"family":"Shahbazi","given":"Erfan"},{"family":"Vahdat Shariatpanahi","given":"Zahra"}],"issued":{"date-parts":[["2021",6]]}}}],"schema":"https://github.com/citation-style-language/schema/raw/master/csl-citation.json"} </w:instrText>
            </w:r>
            <w:r>
              <w:rPr>
                <w:rFonts w:ascii="Times New Roman" w:hAnsi="Times New Roman" w:cs="Times New Roman"/>
                <w:sz w:val="24"/>
                <w:szCs w:val="24"/>
              </w:rPr>
              <w:fldChar w:fldCharType="separate"/>
            </w:r>
            <w:r w:rsidRPr="00002CA7">
              <w:rPr>
                <w:rFonts w:ascii="Times New Roman" w:hAnsi="Times New Roman" w:cs="Times New Roman"/>
                <w:sz w:val="24"/>
              </w:rPr>
              <w:t>[22]</w:t>
            </w:r>
            <w:r>
              <w:rPr>
                <w:rFonts w:ascii="Times New Roman" w:hAnsi="Times New Roman" w:cs="Times New Roman"/>
                <w:sz w:val="24"/>
                <w:szCs w:val="24"/>
              </w:rPr>
              <w:fldChar w:fldCharType="end"/>
            </w:r>
          </w:p>
        </w:tc>
        <w:tc>
          <w:tcPr>
            <w:tcW w:w="360" w:type="dxa"/>
            <w:noWrap/>
            <w:textDirection w:val="btLr"/>
            <w:hideMark/>
          </w:tcPr>
          <w:p w14:paraId="0536B848" w14:textId="77777777" w:rsidR="001F2CBA" w:rsidRPr="00210C2D" w:rsidRDefault="001F2CBA" w:rsidP="007E1F10">
            <w:pPr>
              <w:jc w:val="both"/>
              <w:rPr>
                <w:rFonts w:ascii="Times New Roman" w:hAnsi="Times New Roman" w:cs="Times New Roman"/>
                <w:sz w:val="24"/>
                <w:szCs w:val="24"/>
              </w:rPr>
            </w:pPr>
            <w:r>
              <w:rPr>
                <w:rFonts w:ascii="Times New Roman" w:hAnsi="Times New Roman" w:cs="Times New Roman"/>
                <w:sz w:val="24"/>
                <w:szCs w:val="24"/>
              </w:rPr>
              <w:t xml:space="preserve">Suzie Ferrie et al., 2022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{"citationID":"dUAScpKW","properties":{"formattedCitation":"[23]","plainCitation":"[23]","noteIndex":0},"citationItems":[{"id":488,"uris":["http://zotero.org/users/11027724/items/JYPPMGWT"],"itemData":{"id":488,"type":"article-journal","abstract":"Abstract\n            \n              Aims\n              This retrospective audit was conducted to investigate the association between outcome and protein‐energy malnutrition diagnosed using Subjective Global Assessment (SGA), to evaluate the predictive validity of Subjective Global Assessment in adults admitted to intensive care.\n            \n            \n              Methods\n              The audit analysed the medical records of 1034 consecutive adult patients who had nutrition assessment on admission to the intensive care unit between January 2017 and July 2018. Extracted data included patient demographics, nutritional status, outcomes, and Acute Physiology and Chronic Health Evaluation II score. Regression was used to explore the association between Subjective Global Assessment and outcomes.\n            \n            \n              Results\n              \n                The prevalence of protein‐energy malnutrition was 39.5% (342 patients SGA‐B, and 75 patients SGA‐C), and there was a significant independent association between Subjective Global Assessment and outcomes both in surgical and non‐surgical patients. Compared with well‐nourished patients, mortality was significantly higher in the malnourished, during the intensive care admission (\n                p\n                 = 0.007), in hospital (\n                p\n                 &lt; 0.0001), at 90 days (\n                p\n                 = 0.001) and at 180 days (\n                p\n                 = 0.002). Pressure injuries were more common (\n                p\n                 = 0.01). Length of stay was longer in intensive care (\n                p\n                 = 0.001) and in hospital (\n                p\n                 &lt; 0.001), with increased readmission rate (\n                p\n                 &lt; 0.001).\n              \n            \n            \n              Conclusion\n              Protein‐energy malnutrition diagnosed by Subjective Global Assessment had a significant independent association with adverse clinical outcomes in critically ill patients. Subjective Global Assessment appears to have predictive validity in this patient population.","container-title":"Nutrition &amp; Dietetics","DOI":"10.1111/1747-0080.12767","ISSN":"1446-6368, 1747-0080","issue":"5","journalAbbreviation":"Nutrition &amp; Dietetics","language":"en","page":"572-581","source":"DOI.org (Crossref)","title":"Association of Subjective Global Assessment with outcomes in the intensive care unit: A retrospective cohort study","title-short":"Association of Subjective Global Assessment with outcomes in the intensive care unit","volume":"79","author":[{"family":"Ferrie","given":"Suzie"},{"family":"Weiss","given":"Nina Bianca"},{"family":"Chau","given":"Hiu Yi"},{"family":"Torkel","given":"Sophia"},{"family":"Stepniewski","given":"Morgan Elizabeth"}],"issued":{"date-parts":[["2022",11]]}}}],"schema":"https://github.com/citation-style-language/schema/raw/master/csl-citation.json"} </w:instrText>
            </w:r>
            <w:r>
              <w:rPr>
                <w:rFonts w:ascii="Times New Roman" w:hAnsi="Times New Roman" w:cs="Times New Roman"/>
                <w:sz w:val="24"/>
                <w:szCs w:val="24"/>
              </w:rPr>
              <w:fldChar w:fldCharType="separate"/>
            </w:r>
            <w:r w:rsidRPr="00002CA7">
              <w:rPr>
                <w:rFonts w:ascii="Times New Roman" w:hAnsi="Times New Roman" w:cs="Times New Roman"/>
                <w:sz w:val="24"/>
              </w:rPr>
              <w:t>[23]</w:t>
            </w:r>
            <w:r>
              <w:rPr>
                <w:rFonts w:ascii="Times New Roman" w:hAnsi="Times New Roman" w:cs="Times New Roman"/>
                <w:sz w:val="24"/>
                <w:szCs w:val="24"/>
              </w:rPr>
              <w:fldChar w:fldCharType="end"/>
            </w:r>
          </w:p>
        </w:tc>
        <w:tc>
          <w:tcPr>
            <w:tcW w:w="410" w:type="dxa"/>
            <w:noWrap/>
            <w:textDirection w:val="btLr"/>
            <w:hideMark/>
          </w:tcPr>
          <w:p w14:paraId="1F484C58"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AdityaRameshbabuDevalla et al. ,2020</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{"citationID":"rShvD81z","properties":{"formattedCitation":"[24]","plainCitation":"[24]","noteIndex":0},"citationItems":[{"id":490,"uris":["http://zotero.org/users/11027724/items/DKW8NLNB"],"itemData":{"id":490,"type":"article-journal","container-title":"Journal of Evolution of Medical and Dental Sciences","DOI":"10.14260/jemds/2020/568","ISSN":"22784748, 22784802","issue":"36","journalAbbreviation":"jemds","page":"2610-2613","source":"DOI.org (Crossref)","title":"Assessment of Malnutrition and Enteral Feeding Practices in Critically Ill in Neurosurgery ICU in Rural Teaching Hospital","volume":"9","author":[{"family":"Devalla","given":"Aditya Rameshbabu"},{"family":"Deshpande","given":"Hemant"},{"family":"Ninave","given":"Sanjot"},{"family":"Bhaisare","given":"Rakesh"}],"issued":{"date-parts":[["2020",9,7]]}}}],"schema":"https://github.com/citation-style-language/schema/raw/master/csl-citation.json"} </w:instrText>
            </w:r>
            <w:r>
              <w:rPr>
                <w:rFonts w:ascii="Times New Roman" w:hAnsi="Times New Roman" w:cs="Times New Roman"/>
                <w:sz w:val="24"/>
                <w:szCs w:val="24"/>
              </w:rPr>
              <w:fldChar w:fldCharType="separate"/>
            </w:r>
            <w:r w:rsidRPr="00002CA7">
              <w:rPr>
                <w:rFonts w:ascii="Times New Roman" w:hAnsi="Times New Roman" w:cs="Times New Roman"/>
                <w:sz w:val="24"/>
              </w:rPr>
              <w:t>[24]</w:t>
            </w:r>
            <w:r>
              <w:rPr>
                <w:rFonts w:ascii="Times New Roman" w:hAnsi="Times New Roman" w:cs="Times New Roman"/>
                <w:sz w:val="24"/>
                <w:szCs w:val="24"/>
              </w:rPr>
              <w:fldChar w:fldCharType="end"/>
            </w:r>
          </w:p>
        </w:tc>
        <w:tc>
          <w:tcPr>
            <w:tcW w:w="310" w:type="dxa"/>
            <w:noWrap/>
            <w:textDirection w:val="btLr"/>
            <w:hideMark/>
          </w:tcPr>
          <w:p w14:paraId="33A5973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SornwichateRattanachaiwong., 2020</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{"citationID":"HxWwK0KF","properties":{"formattedCitation":"[25]","plainCitation":"[25]","noteIndex":0},"citationItems":[{"id":182,"uris":["http://zotero.org/users/11027724/items/TFEYFP5C"],"itemData":{"id":182,"type":"article-journal","container-title":"Clinical Nutrition","DOI":"10.1016/j.clnu.2020.02.035","ISSN":"02615614","issue":"11","journalAbbreviation":"Clinical Nutrition","language":"en","page":"3419-3425","source":"DOI.org (Crossref)","title":"Comparison of nutritional screening and diagnostic tools in diagnosis of severe malnutrition in critically ill patients","volume":"39","author":[{"family":"Rattanachaiwong","given":"Sornwichate"},{"family":"Zribi","given":"Benjamin"},{"family":"Kagan","given":"Ilya"},{"family":"Theilla","given":"Miriam"},{"family":"Heching","given":"Moshe"},{"family":"Singer","given":"Pierre"}],"issued":{"date-parts":[["2020",11]]}}}],"schema":"https://github.com/citation-style-language/schema/raw/master/csl-citation.json"} </w:instrText>
            </w:r>
            <w:r>
              <w:rPr>
                <w:rFonts w:ascii="Times New Roman" w:hAnsi="Times New Roman" w:cs="Times New Roman"/>
                <w:sz w:val="24"/>
                <w:szCs w:val="24"/>
              </w:rPr>
              <w:fldChar w:fldCharType="separate"/>
            </w:r>
            <w:r w:rsidRPr="00002CA7">
              <w:rPr>
                <w:rFonts w:ascii="Times New Roman" w:hAnsi="Times New Roman" w:cs="Times New Roman"/>
                <w:sz w:val="24"/>
              </w:rPr>
              <w:t>[25]</w:t>
            </w:r>
            <w:r>
              <w:rPr>
                <w:rFonts w:ascii="Times New Roman" w:hAnsi="Times New Roman" w:cs="Times New Roman"/>
                <w:sz w:val="24"/>
                <w:szCs w:val="24"/>
              </w:rPr>
              <w:fldChar w:fldCharType="end"/>
            </w:r>
          </w:p>
        </w:tc>
        <w:tc>
          <w:tcPr>
            <w:tcW w:w="360" w:type="dxa"/>
            <w:noWrap/>
            <w:textDirection w:val="btLr"/>
            <w:hideMark/>
          </w:tcPr>
          <w:p w14:paraId="72A6F909"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ParsaMohammadi et al.,2022</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{"citationID":"fO4toSp6","properties":{"formattedCitation":"[26]","plainCitation":"[26]","noteIndex":0},"citationItems":[{"id":494,"uris":["http://zotero.org/users/11027724/items/348IM4QS"],"itemData":{"id":494,"type":"article-journal","abstract":"Background. Malnutrition in COVID-19 critically ill patients can lead to poor prognosis. This study aimed to evaluate the association between nutritional status (or risk) and the prognosis of critically ill COVID-19 patients. In this study, prognosis is the primary outcome of “hospital mortality” patients. The second outcome is defined as “need for mechanical ventilation.” Methods and Materials. In this single-center prospective cohort study, 110 patients admitted to the Intensive Care Unit of Imam Khomeini Hospital Complex (Tehran, Iran) between April and September 2021 were enrolled. Participants formed a consecutive sample. MNA-SF, NRS-2002, mNUTRIC, and PNI scores were used to evaluate nutritional assessment. Patients’ lab results and pulse oximetric saturation SpO2/FiO2 (SF) ratio at the time of intensive care unit (ICU) admission were collected. Patients were screened for nutritional status and categorized into two groups, patients at nutritional risk and nonrisk. Results. Sixty-five (59.1%) of all patients were men. The overall range of age was 52 ± 15. Thirty-six (32.7%) of patients were obese (BMI ≥ 30). The hospital mortality rate was 59.1% (n = 65). According to the different criteria, malnutrition rate was 67.3% (n = 74) (NRS), 28.2% (n = 31) (MNA), 34.5% (n = 38) (mNUTRIC), and 58.2% (n = 64) (PNI). There was a statistically significant association between chronic kidney disease (CKD) and mNUTRIC risk (OR = 13.5, 95% CI (1.89–16.05),\n              \n                \n                  P\n                  =\n                  0.002\n                \n              \n              ), diabetes mellitus (DM) and MNA risk (OR = 2.82, 95% CI (1.01–7.83),\n              \n                \n                  P\n                  =\n                  0.041\n                \n              \n              ), hypertension (HTN) and MNA risk (OR = 5.63, 95% CI (2.26–14.05),\n              \n                \n                  P\n                  &lt;\n                  0.001\n                \n              \n              ), and malignancy and mNUTRIC risk (\n              \n                \n                  P\n                  =\n                  0.048\n                \n              \n              ). The nutritional risk (all tools) significantly increased the odds of in-hospital death and need for mechanical ventilation. The length of stay was not significantly different in malnourished patients. Conclusion. In the critical care setting of COVID-19 patients, malnutrition is prevalent. Malnutrition (nutritional risk) is associated with an increased risk of need for mechanical ventilation and in-hospital mortality. Patients with a history of HTN, CKD, DM, and cancer are more likely to be at nutritional risk at the time of ICU admission.","container-title":"Journal of Nutrition and Metabolism","DOI":"10.1155/2022/5016649","ISSN":"2090-0732, 2090-0724","journalAbbreviation":"Journal of Nutrition and Metabolism","language":"en","license":"https://creativecommons.org/licenses/by/4.0/","page":"1-8","source":"DOI.org (Crossref)","title":"Evaluation of the Relationship between Nutritional Status of COVID-19 Patients Admitted to the ICU and Patients’ Prognosis: A Cohort Study","title-short":"Evaluation of the Relationship between Nutritional Status of COVID-19 Patients Admitted to the ICU and Patients’ Prognosis","volume":"2022","author":[{"family":"Mohammadi","given":"Parsa"},{"family":"Varpaei","given":"Hesam Aldin"},{"family":"Khafaee Pour Khamseh","given":"Alireza"},{"family":"Mohammadi","given":"Mostafa"},{"family":"Rahimi","given":"Mojgan"},{"family":"Orandi","given":"Amirhossein"}],"editor":[{"family":"Md Akim","given":"Abdah"}],"issued":{"date-parts":[["2022",7,18]]}}}],"schema":"https://github.com/citation-style-language/schema/raw/master/csl-citation.json"} </w:instrText>
            </w:r>
            <w:r>
              <w:rPr>
                <w:rFonts w:ascii="Times New Roman" w:hAnsi="Times New Roman" w:cs="Times New Roman"/>
                <w:sz w:val="24"/>
                <w:szCs w:val="24"/>
              </w:rPr>
              <w:fldChar w:fldCharType="separate"/>
            </w:r>
            <w:r w:rsidRPr="00002CA7">
              <w:rPr>
                <w:rFonts w:ascii="Times New Roman" w:hAnsi="Times New Roman" w:cs="Times New Roman"/>
                <w:sz w:val="24"/>
              </w:rPr>
              <w:t>[26]</w:t>
            </w:r>
            <w:r>
              <w:rPr>
                <w:rFonts w:ascii="Times New Roman" w:hAnsi="Times New Roman" w:cs="Times New Roman"/>
                <w:sz w:val="24"/>
                <w:szCs w:val="24"/>
              </w:rPr>
              <w:fldChar w:fldCharType="end"/>
            </w:r>
          </w:p>
        </w:tc>
        <w:tc>
          <w:tcPr>
            <w:tcW w:w="320" w:type="dxa"/>
            <w:noWrap/>
            <w:textDirection w:val="btLr"/>
            <w:hideMark/>
          </w:tcPr>
          <w:p w14:paraId="0AACC93B"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H. G. Valente da Silva et al., 2012</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{"citationID":"eP9I307O","properties":{"formattedCitation":"[27]","plainCitation":"[27]","noteIndex":0},"citationItems":[{"id":496,"uris":["http://zotero.org/users/11027724/items/ISYLC2HZ"],"itemData":{"id":496,"type":"article-journal","title":"Nutritional assessment associated with length of inpatients' hospital stay","author":[{"family":"H G Valente da Silva","given":""}]}}],"schema":"https://github.com/citation-style-language/schema/raw/master/csl-citation.json"} </w:instrText>
            </w:r>
            <w:r>
              <w:rPr>
                <w:rFonts w:ascii="Times New Roman" w:hAnsi="Times New Roman" w:cs="Times New Roman"/>
                <w:sz w:val="24"/>
                <w:szCs w:val="24"/>
              </w:rPr>
              <w:fldChar w:fldCharType="separate"/>
            </w:r>
            <w:r w:rsidRPr="00002CA7">
              <w:rPr>
                <w:rFonts w:ascii="Times New Roman" w:hAnsi="Times New Roman" w:cs="Times New Roman"/>
                <w:sz w:val="24"/>
              </w:rPr>
              <w:t>[27]</w:t>
            </w:r>
            <w:r>
              <w:rPr>
                <w:rFonts w:ascii="Times New Roman" w:hAnsi="Times New Roman" w:cs="Times New Roman"/>
                <w:sz w:val="24"/>
                <w:szCs w:val="24"/>
              </w:rPr>
              <w:fldChar w:fldCharType="end"/>
            </w:r>
          </w:p>
        </w:tc>
        <w:tc>
          <w:tcPr>
            <w:tcW w:w="360" w:type="dxa"/>
            <w:noWrap/>
            <w:textDirection w:val="btLr"/>
            <w:hideMark/>
          </w:tcPr>
          <w:p w14:paraId="21B092C2"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RanimKaddoura et al.,2020</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{"citationID":"V7eP1LWM","properties":{"formattedCitation":"[28]","plainCitation":"[28]","noteIndex":0},"citationItems":[{"id":497,"uris":["http://zotero.org/users/11027724/items/27F3FTCD"],"itemData":{"id":497,"type":"article-journal","abstract":"Abstract\n            \n              Aim\n              To determine the prevalence of malnutrition on admission to the intensive care unit (ICU) and the relationship between nutritional status on admission and clinical outcomes in adult critically ill patients.\n            \n            \n              Methods\n              This was a prospective study in an adult ICU. Patients with expected length of stay (LOS) &gt;48 hours in ICU were assessed for nutritional status using the patient generated‐subjective global assessment (PG‐SGA) within 48 hours of admission to ICU.\n            \n            \n              Results\n              \n                Primary outcomes were ICU and hospital mortality, ICU and hospital LOS and length of mechanical ventilation. A total of 166 patients were enrolled in this study. Patients were aged 59 ± 17 years on average with a mean BMI of 29 ± 7 kg/m\n                2\n                and a mean Acute Physiology and Chronic Health Evaluation II score of 19 ± 7. The prevalence of malnutrition in critically ill patients was 36% (n = 60).\n              \n              \n                Mortality rate of malnourished patients was 9% (n = 15) compared to 7.8% (n = 13) in well‐nourished patients (adjusted odds ratio, 2.17; 95% confidence interval, 0.9‐5.03,\n                P\n                = .069). There was no difference in hospital mortality between malnourished patients and well‐nourished patients (10.2% vs 10.2% adjusted odds ratio, 1.93; 95% confidence interval, 0.89‐4.19,\n                P\n                = .096). There was no relationship between nutritional status and length of mechanical ventilation (3.0 vs 1.0 days,\n                P\n                = .382)or ICU LOS (4.7 vs 4.8 days,\n                P\n                = .59). Malnourished patients had a longer LOS in hospital than well‐nourished patients (24 vs 17 days,\n                P\n                = .03).\n              \n            \n            \n              Conclusion\n              Malnutrition is an independent risk factor for increased hospital LOS.","container-title":"Nutrition &amp; Dietetics","DOI":"10.1111/1747-0080.12637","ISSN":"1446-6368, 1747-0080","issue":"2","journalAbbreviation":"Nutrition &amp; Dietetics","language":"en","page":"128-134","source":"DOI.org (Crossref)","title":"Relationship between nutritional status on admission to the intensive care unit and clinical outcomes","volume":"78","author":[{"family":"Kaddoura","given":"Ranim"},{"family":"Shanks","given":"Alison"},{"family":"Chapman","given":"Marianne"},{"family":"O'Connor","given":"Stephanie"},{"family":"Lange","given":"Kylie"},{"family":"Yandell","given":"Rosalie"}],"issued":{"date-parts":[["2021",4]]}}}],"schema":"https://github.com/citation-style-language/schema/raw/master/csl-citation.json"} </w:instrText>
            </w:r>
            <w:r>
              <w:rPr>
                <w:rFonts w:ascii="Times New Roman" w:hAnsi="Times New Roman" w:cs="Times New Roman"/>
                <w:sz w:val="24"/>
                <w:szCs w:val="24"/>
              </w:rPr>
              <w:fldChar w:fldCharType="separate"/>
            </w:r>
            <w:r w:rsidRPr="00002CA7">
              <w:rPr>
                <w:rFonts w:ascii="Times New Roman" w:hAnsi="Times New Roman" w:cs="Times New Roman"/>
                <w:sz w:val="24"/>
              </w:rPr>
              <w:t>[28]</w:t>
            </w:r>
            <w:r>
              <w:rPr>
                <w:rFonts w:ascii="Times New Roman" w:hAnsi="Times New Roman" w:cs="Times New Roman"/>
                <w:sz w:val="24"/>
                <w:szCs w:val="24"/>
              </w:rPr>
              <w:fldChar w:fldCharType="end"/>
            </w:r>
          </w:p>
        </w:tc>
        <w:tc>
          <w:tcPr>
            <w:tcW w:w="360" w:type="dxa"/>
            <w:noWrap/>
            <w:textDirection w:val="btLr"/>
            <w:hideMark/>
          </w:tcPr>
          <w:p w14:paraId="0DFAEA68"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smith et al.,2015</w:t>
            </w:r>
          </w:p>
        </w:tc>
        <w:tc>
          <w:tcPr>
            <w:tcW w:w="450" w:type="dxa"/>
            <w:noWrap/>
            <w:textDirection w:val="btLr"/>
            <w:hideMark/>
          </w:tcPr>
          <w:p w14:paraId="6DFF47A8"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Arabi YM et al.,2015</w:t>
            </w:r>
            <w:r w:rsidRPr="00AB6F54">
              <w:rPr>
                <w:rFonts w:ascii="Times New Roman" w:hAnsi="Times New Roman" w:cs="Times New Roman"/>
                <w:sz w:val="24"/>
                <w:szCs w:val="24"/>
              </w:rPr>
              <w:t>[33]</w:t>
            </w:r>
          </w:p>
        </w:tc>
        <w:tc>
          <w:tcPr>
            <w:tcW w:w="360" w:type="dxa"/>
            <w:noWrap/>
            <w:textDirection w:val="btLr"/>
            <w:hideMark/>
          </w:tcPr>
          <w:p w14:paraId="756CFADA"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Michael P. Casaeret al., 2011</w:t>
            </w:r>
          </w:p>
        </w:tc>
        <w:tc>
          <w:tcPr>
            <w:tcW w:w="360" w:type="dxa"/>
            <w:noWrap/>
            <w:textDirection w:val="btLr"/>
            <w:hideMark/>
          </w:tcPr>
          <w:p w14:paraId="70E08317"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Thain´aGattermann Pereira. , 2018</w:t>
            </w:r>
          </w:p>
        </w:tc>
        <w:tc>
          <w:tcPr>
            <w:tcW w:w="360" w:type="dxa"/>
            <w:noWrap/>
            <w:textDirection w:val="btLr"/>
            <w:hideMark/>
          </w:tcPr>
          <w:p w14:paraId="7011F9F8"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LS Chapple et al., 2017</w:t>
            </w:r>
          </w:p>
        </w:tc>
        <w:tc>
          <w:tcPr>
            <w:tcW w:w="360" w:type="dxa"/>
            <w:noWrap/>
            <w:textDirection w:val="btLr"/>
            <w:hideMark/>
          </w:tcPr>
          <w:p w14:paraId="7CAF9F98"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Kris M. Mogensen  et al. ,2015</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{"citationID":"ywqhlLj1","properties":{"formattedCitation":"[29]","plainCitation":"[29]","noteIndex":0},"citationItems":[{"id":501,"uris":["http://zotero.org/users/11027724/items/3NPYQYJJ"],"itemData":{"id":501,"type":"article-journal","container-title":"Critical Care Medicine","DOI":"10.1097/CCM.0000000000001306","ISSN":"0090-3493","issue":"12","journalAbbreviation":"Critical Care Medicine","language":"en","page":"2605-2615","source":"DOI.org (Crossref)","title":"Nutritional Status and Mortality in the Critically Ill*:","title-short":"Nutritional Status and Mortality in the Critically Ill*","volume":"43","author":[{"family":"Mogensen","given":"Kris M."},{"family":"Robinson","given":"Malcolm K."},{"family":"Casey","given":"Jonathan D."},{"family":"Gunasekera","given":"Nicole S."},{"family":"Moromizato","given":"Takuhiro"},{"family":"Rawn","given":"James D."},{"family":"Christopher","given":"Kenneth B."}],"issued":{"date-parts":[["2015",12]]}}}],"schema":"https://github.com/citation-style-language/schema/raw/master/csl-citation.json"} </w:instrText>
            </w:r>
            <w:r>
              <w:rPr>
                <w:rFonts w:ascii="Times New Roman" w:hAnsi="Times New Roman" w:cs="Times New Roman"/>
                <w:sz w:val="24"/>
                <w:szCs w:val="24"/>
              </w:rPr>
              <w:fldChar w:fldCharType="separate"/>
            </w:r>
            <w:r w:rsidRPr="00002CA7">
              <w:rPr>
                <w:rFonts w:ascii="Times New Roman" w:hAnsi="Times New Roman" w:cs="Times New Roman"/>
                <w:sz w:val="24"/>
              </w:rPr>
              <w:t>[29]</w:t>
            </w:r>
            <w:r>
              <w:rPr>
                <w:rFonts w:ascii="Times New Roman" w:hAnsi="Times New Roman" w:cs="Times New Roman"/>
                <w:sz w:val="24"/>
                <w:szCs w:val="24"/>
              </w:rPr>
              <w:fldChar w:fldCharType="end"/>
            </w:r>
          </w:p>
        </w:tc>
        <w:tc>
          <w:tcPr>
            <w:tcW w:w="360" w:type="dxa"/>
            <w:noWrap/>
            <w:textDirection w:val="btLr"/>
            <w:hideMark/>
          </w:tcPr>
          <w:p w14:paraId="788A77D6" w14:textId="77777777" w:rsidR="001F2CBA" w:rsidRPr="00210C2D" w:rsidRDefault="001F2CBA" w:rsidP="007E1F10">
            <w:pPr>
              <w:jc w:val="both"/>
              <w:rPr>
                <w:rFonts w:ascii="Times New Roman" w:hAnsi="Times New Roman" w:cs="Times New Roman"/>
                <w:sz w:val="24"/>
                <w:szCs w:val="24"/>
              </w:rPr>
            </w:pPr>
            <w:hyperlink r:id="rId5" w:history="1">
              <w:r w:rsidRPr="00210C2D">
                <w:t>GuilhermeDupratCeniccola et al.</w:t>
              </w:r>
              <w:r w:rsidRPr="00210C2D">
                <w:rPr>
                  <w:rStyle w:val="Hyperlink"/>
                  <w:rFonts w:ascii="Times New Roman" w:hAnsi="Times New Roman" w:cs="Times New Roman"/>
                  <w:sz w:val="24"/>
                  <w:szCs w:val="24"/>
                </w:rPr>
                <w:t>,</w:t>
              </w:r>
              <w:r w:rsidRPr="00210C2D">
                <w:t xml:space="preserve"> 2020</w:t>
              </w:r>
            </w:hyperlink>
            <w:r>
              <w:fldChar w:fldCharType="begin"/>
            </w:r>
            <w:r>
              <w:instrText xml:space="preserve"> ADDIN ZOTERO_ITEM CSL_CITATION {"citationID":"hS3n4K7X","properties":{"formattedCitation":"[30]","plainCitation":"[30]","noteIndex":0},"citationItems":[{"id":500,"uris":["http://zotero.org/users/11027724/items/MQHA89M5"],"itemData":{"id":500,"type":"article-journal","abstract":"Abstract\n            \n              Background\n              Malnutrition is prevalent in trauma victims because of intense muscle wasting triggered by traumatic events and is a mortality risk. The Academy of Nutrition and Dietetics–American Society for Parenteral and Enteral Nutrition (AND‐ASPEN) tool has the potential to diagnose malnutrition in this population. This study aims to evaluate this criterion as a malnutrition diagnostic tool and as a hospital mortality predictor in critically ill trauma patients.\n            \n            \n              Methods\n              We performed an observational prospective cohort study from April 2015 to February 2017 in a Brazilian hospital. Patients were &gt;18 years old, remained in the intensive care unit (ICU) &gt;48 hours, and had completed data regarding the recommended clinical characteristics (RCCs) for malnutrition. The main exposure of interest was malnutrition assessed by a specialist dietitian using AND‐ASPEN. The primary outcome was all causes of mortality during hospital stay. Secondary outcome was the RCCs assessment, to predict malnutrition and hospital mortality.\n            \n            \n              Results\n              \n                Included were 414 trauma patients. Malnutrition prevalence was 26.8% at ICU admission. The main analysis showed that malnutrition increases mortality chances 1.96 times (95% CI, 1.13–3.30;\n                P\n                = .015). Secondary analysis showed that all 5 RCCs were significantly associated with malnutrition. The only RCC associated with mortality was energy intake (odds ratio 1.5; 95% CI, 1.1–2.0;\n                P\n                = .008).\n              \n            \n            \n              Conclusions\n              AND‐ASPEN criterion is a feasible and accurate method to recognize malnutrition and predict hospital mortality when applied by trained dietitians for the critical care trauma population. Further studies are needed considering patient subgroups such as obese and elderly.","container-title":"Journal of Parenteral and Enteral Nutrition","DOI":"10.1002/jpen.1795","ISSN":"0148-6071, 1941-2444","issue":"7","journalAbbreviation":"J Parenter Enteral Nutr","language":"en","page":"1347-1354","source":"DOI.org (Crossref)","title":"Association Between AND‐ASPEN Malnutrition Criteria and Hospital Mortality in Critically Ill Trauma Patients: A Prospective Cohort Study","title-short":"Association Between AND‐ASPEN Malnutrition Criteria and Hospital Mortality in Critically Ill Trauma Patients","volume":"44","author":[{"family":"Ceniccola","given":"Guilherme Duprat"},{"family":"Okamura","given":"Aline Bassetto"},{"family":"Sepúlveda Neta","given":"Jeane Da Silva"},{"family":"Lima","given":"Fernanda Cintra"},{"family":"Santos De Deus","given":"Andressa Cristina"},{"family":"De Oliveira","given":"Jessica Amarante"},{"family":"Dos Santos","given":"Sabrina Souza Martins"},{"family":"De Sousa","given":"Rildo Batista"},{"family":"De Brito‐Ashurst","given":"Ione"}],"issued":{"date-parts":[["2020",9]]}}}],"schema":"https://github.com/citation-style-language/schema/raw/master/csl-citation.json"} </w:instrText>
            </w:r>
            <w:r>
              <w:fldChar w:fldCharType="separate"/>
            </w:r>
            <w:r w:rsidRPr="00002CA7">
              <w:rPr>
                <w:rFonts w:ascii="Calibri" w:hAnsi="Calibri" w:cs="Calibri"/>
              </w:rPr>
              <w:t>[30]</w:t>
            </w:r>
            <w:r>
              <w:fldChar w:fldCharType="end"/>
            </w:r>
          </w:p>
        </w:tc>
        <w:tc>
          <w:tcPr>
            <w:tcW w:w="360" w:type="dxa"/>
            <w:noWrap/>
            <w:textDirection w:val="btLr"/>
            <w:hideMark/>
          </w:tcPr>
          <w:p w14:paraId="7324430D"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Rosa Mendes, 2019</w:t>
            </w:r>
          </w:p>
        </w:tc>
        <w:tc>
          <w:tcPr>
            <w:tcW w:w="360" w:type="dxa"/>
            <w:noWrap/>
            <w:textDirection w:val="btLr"/>
            <w:hideMark/>
          </w:tcPr>
          <w:p w14:paraId="512D42BB"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Na Wang et al., 2023</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{"citationID":"bnjA6ZVn","properties":{"formattedCitation":"[31]","plainCitation":"[31]","noteIndex":0},"citationItems":[{"id":304,"uris":["http://zotero.org/users/11027724/items/HQED7MFY"],"itemData":{"id":304,"type":"article-journal","container-title":"Journal of Building Engineering","DOI":"10.1016/j.jobe.2023.106802","ISSN":"23527102","journalAbbreviation":"Journal of Building Engineering","language":"en","page":"106802","source":"DOI.org (Crossref)","title":"Field performance of a solar air heater used for space heating and ventilation – A case study in New Zealand primary schools","volume":"76","author":[{"family":"Wang","given":"Yu"},{"family":"Boulic","given":"Mikael"},{"family":"Phipps","given":"Robyn"},{"family":"Plagmann","given":"Manfred"},{"family":"Cunningham","given":"Chris"},{"family":"Guyot","given":"Gaëlle"}],"issued":{"date-parts":[["2023",10]]}}}],"schema":"https://github.com/citation-style-language/schema/raw/master/csl-citation.json"} </w:instrText>
            </w:r>
            <w:r>
              <w:rPr>
                <w:rFonts w:ascii="Times New Roman" w:hAnsi="Times New Roman" w:cs="Times New Roman"/>
                <w:sz w:val="24"/>
                <w:szCs w:val="24"/>
              </w:rPr>
              <w:fldChar w:fldCharType="separate"/>
            </w:r>
            <w:r w:rsidRPr="00002CA7">
              <w:rPr>
                <w:rFonts w:ascii="Times New Roman" w:hAnsi="Times New Roman" w:cs="Times New Roman"/>
                <w:sz w:val="24"/>
              </w:rPr>
              <w:t>[31]</w:t>
            </w:r>
            <w:r>
              <w:rPr>
                <w:rFonts w:ascii="Times New Roman" w:hAnsi="Times New Roman" w:cs="Times New Roman"/>
                <w:sz w:val="24"/>
                <w:szCs w:val="24"/>
              </w:rPr>
              <w:fldChar w:fldCharType="end"/>
            </w:r>
          </w:p>
        </w:tc>
        <w:tc>
          <w:tcPr>
            <w:tcW w:w="360" w:type="dxa"/>
            <w:noWrap/>
            <w:textDirection w:val="btLr"/>
            <w:hideMark/>
          </w:tcPr>
          <w:p w14:paraId="5065E742"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Manon CH de Vries, 2018</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{"citationID":"logNoYSm","properties":{"formattedCitation":"[32]","plainCitation":"[32]","noteIndex":0},"citationItems":[{"id":507,"uris":["http://zotero.org/users/11027724/items/BGCWHNWD"],"itemData":{"id":507,"type":"article-journal","title":"Nutritional assessment of critically ill patients: validation of the modified NUTRIC score","author":[{"family":"Manon CH de Vries,","given":""}]}}],"schema":"https://github.com/citation-style-language/schema/raw/master/csl-citation.json"} </w:instrText>
            </w:r>
            <w:r>
              <w:rPr>
                <w:rFonts w:ascii="Times New Roman" w:hAnsi="Times New Roman" w:cs="Times New Roman"/>
                <w:sz w:val="24"/>
                <w:szCs w:val="24"/>
              </w:rPr>
              <w:fldChar w:fldCharType="separate"/>
            </w:r>
            <w:r w:rsidRPr="00002CA7">
              <w:rPr>
                <w:rFonts w:ascii="Times New Roman" w:hAnsi="Times New Roman" w:cs="Times New Roman"/>
                <w:sz w:val="24"/>
              </w:rPr>
              <w:t>[32]</w:t>
            </w:r>
            <w:r>
              <w:rPr>
                <w:rFonts w:ascii="Times New Roman" w:hAnsi="Times New Roman" w:cs="Times New Roman"/>
                <w:sz w:val="24"/>
                <w:szCs w:val="24"/>
              </w:rPr>
              <w:fldChar w:fldCharType="end"/>
            </w:r>
          </w:p>
        </w:tc>
        <w:tc>
          <w:tcPr>
            <w:tcW w:w="360" w:type="dxa"/>
            <w:noWrap/>
            <w:textDirection w:val="btLr"/>
            <w:hideMark/>
          </w:tcPr>
          <w:p w14:paraId="7065BB52"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OmidMoradi Moghaddam et al.,2024</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{"citationID":"6zNmGijd","properties":{"formattedCitation":"[33]","plainCitation":"[33]","noteIndex":0},"citationItems":[{"id":508,"uris":["http://zotero.org/users/11027724/items/YMBCBSBG"],"itemData":{"id":508,"type":"article-journal","abstract":"Abstract\n            \n              Background\n              Malnutrition is a significant concern reported in adult critically ill patients, yet there is no gold standard to assess nutritional status in this population. This study examines the association between nutritional status and clinical outcomes in intensive care unit (ICU) patients using nutritional risk assessment tools and aims to look for the best tool.\n            \n            \n              Method\n              In a single-center prospective cohort study among 165 patients, the predictive performance of high or low malnutrition risk assessed by Nutritional Risk Screening (NRS), Modified Nutrition Risk in Critically Ill (m-NUTRIC), Mini-Nutritional-Assessment Short-Form (MNA-SF), Controlling Nutritional status (CONUT), and Prognostic Nutritional Index (PNI) were evaluated and compared for mortality, organ failure, length of hospitalization, and mechanical ventilation (MV).\n            \n            \n              Results\n              Different assessment tools showed various nutritional statuses. m-NUTRIC and NRS-2002 were found to be associated more strongly relative to other tools with mortality (RR = 1.72; 95% CI, 1.42–2.08) and (RR = 1.37; 95% CI, 1.08–1.72), organ failure (RR = 1.69; 95% CI, 1.44–1.96) and (RR = 1.22; 95% CI, 0.99–1.48), MV (RR = 1.46; 95% CI, 1.27–1.65) and (RR = 1.21; 95% CI, 1.04–1.39) respectively. There was no correlation between malnutrition levels assessed by mentioned tools except for NRS-2002 and length of hospitalization. In predicting mortality or illness severity, the cut points were different for some tools like NUTRIC-score and all assessed outcomes (3.5), MNA-SF and mortality (6.5), CONUT with mortality, and MV (6.5).\n            \n            \n              Conclusions\n              A considerable proportion of patients admitted to the ICU are at high risk for malnutrition. Compared to other tools, m-NUTRIC and NRS-2002 proved superior in predicting clinical outcomes in critically ill patients. Other tools overestimated the risk of malnutrition in the ICU so couldn’t predict clinical outcomes correctly.","container-title":"BMC Nutrition","DOI":"10.1186/s40795-024-00869-3","ISSN":"2055-0928","issue":"1","journalAbbreviation":"BMC Nutr","language":"en","page":"69","source":"DOI.org (Crossref)","title":"Relation between nutritional status on clinical outcomes of critically ill patients: emphasizing nutritional screening tools in a prospective cohort investigation","title-short":"Relation between nutritional status on clinical outcomes of critically ill patients","volume":"10","author":[{"family":"Moghaddam","given":"Omid Moradi"},{"family":"Emam","given":"Masoumeh Hosseinzadeh"},{"family":"Irandoost","given":"Pardis"},{"family":"Hejazi","given":"Mahdi"},{"family":"Iraji","given":"Zeinab"},{"family":"Yazdanpanah","given":"Leila"},{"family":"Mirhosseini","given":"Seyedeh Farnaz"},{"family":"Mollajan","given":"Abolfazl"},{"family":"Lahiji","given":"Mohammad Niakan"}],"issued":{"date-parts":[["2024",5,9]]}}}],"schema":"https://github.com/citation-style-language/schema/raw/master/csl-citation.json"} </w:instrText>
            </w:r>
            <w:r>
              <w:rPr>
                <w:rFonts w:ascii="Times New Roman" w:hAnsi="Times New Roman" w:cs="Times New Roman"/>
                <w:sz w:val="24"/>
                <w:szCs w:val="24"/>
              </w:rPr>
              <w:fldChar w:fldCharType="separate"/>
            </w:r>
            <w:r w:rsidRPr="00002CA7">
              <w:rPr>
                <w:rFonts w:ascii="Times New Roman" w:hAnsi="Times New Roman" w:cs="Times New Roman"/>
                <w:sz w:val="24"/>
              </w:rPr>
              <w:t>[33]</w:t>
            </w:r>
            <w:r>
              <w:rPr>
                <w:rFonts w:ascii="Times New Roman" w:hAnsi="Times New Roman" w:cs="Times New Roman"/>
                <w:sz w:val="24"/>
                <w:szCs w:val="24"/>
              </w:rPr>
              <w:fldChar w:fldCharType="end"/>
            </w:r>
          </w:p>
        </w:tc>
        <w:tc>
          <w:tcPr>
            <w:tcW w:w="360" w:type="dxa"/>
            <w:noWrap/>
            <w:textDirection w:val="btLr"/>
            <w:hideMark/>
          </w:tcPr>
          <w:p w14:paraId="09D02BA8" w14:textId="77777777" w:rsidR="001F2CBA" w:rsidRPr="00210C2D" w:rsidRDefault="001F2CBA" w:rsidP="007E1F10">
            <w:pPr>
              <w:jc w:val="both"/>
              <w:rPr>
                <w:rFonts w:ascii="Times New Roman" w:hAnsi="Times New Roman" w:cs="Times New Roman"/>
                <w:sz w:val="24"/>
                <w:szCs w:val="24"/>
              </w:rPr>
            </w:pPr>
            <w:r w:rsidRPr="00210C2D">
              <w:rPr>
                <w:rFonts w:ascii="Times New Roman" w:hAnsi="Times New Roman" w:cs="Times New Roman"/>
                <w:sz w:val="24"/>
                <w:szCs w:val="24"/>
              </w:rPr>
              <w:t>DenizAvci, 2019</w:t>
            </w:r>
          </w:p>
        </w:tc>
      </w:tr>
    </w:tbl>
    <w:p w14:paraId="12F411A4" w14:textId="77777777" w:rsidR="001F2CBA" w:rsidRPr="001A7B90" w:rsidRDefault="001F2CBA" w:rsidP="001F2CBA">
      <w:pPr>
        <w:spacing w:line="24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APACHE:Acute Physiology and Chronic Health E</w:t>
      </w:r>
      <w:r w:rsidRPr="004801EF">
        <w:rPr>
          <w:rFonts w:ascii="Times New Roman" w:hAnsi="Times New Roman" w:cs="Times New Roman"/>
          <w:color w:val="000000"/>
          <w:sz w:val="24"/>
          <w:szCs w:val="24"/>
          <w:shd w:val="clear" w:color="auto" w:fill="FFFFFF"/>
        </w:rPr>
        <w:t>valuation</w:t>
      </w:r>
      <w:r>
        <w:rPr>
          <w:rFonts w:ascii="Times New Roman" w:hAnsi="Times New Roman" w:cs="Times New Roman"/>
          <w:color w:val="000000"/>
          <w:sz w:val="24"/>
          <w:szCs w:val="24"/>
          <w:shd w:val="clear" w:color="auto" w:fill="FFFFFF"/>
        </w:rPr>
        <w:t>,</w:t>
      </w:r>
      <w:r w:rsidRPr="004801EF">
        <w:rPr>
          <w:rFonts w:ascii="Times New Roman" w:hAnsi="Times New Roman" w:cs="Times New Roman"/>
          <w:color w:val="000000"/>
          <w:sz w:val="24"/>
          <w:szCs w:val="24"/>
          <w:shd w:val="clear" w:color="auto" w:fill="FFFFFF"/>
        </w:rPr>
        <w:t xml:space="preserve"> SGA: </w:t>
      </w:r>
      <w:r>
        <w:rPr>
          <w:rFonts w:ascii="Times New Roman" w:hAnsi="Times New Roman" w:cs="Times New Roman"/>
          <w:color w:val="000000"/>
          <w:sz w:val="24"/>
          <w:szCs w:val="24"/>
          <w:shd w:val="clear" w:color="auto" w:fill="FFFFFF"/>
        </w:rPr>
        <w:t xml:space="preserve">SOFA: </w:t>
      </w:r>
      <w:r w:rsidRPr="004801EF">
        <w:rPr>
          <w:rFonts w:ascii="Times New Roman" w:hAnsi="Times New Roman" w:cs="Times New Roman"/>
          <w:color w:val="000000"/>
          <w:sz w:val="24"/>
          <w:szCs w:val="24"/>
          <w:shd w:val="clear" w:color="auto" w:fill="FFFFFF"/>
        </w:rPr>
        <w:t xml:space="preserve">sequential organ failure assessment Subjective Global Assessment, MUST: Malnutrition Universal Screening Tool, </w:t>
      </w:r>
      <w:r w:rsidRPr="00621769">
        <w:rPr>
          <w:rFonts w:ascii="Times New Roman" w:hAnsi="Times New Roman" w:cs="Times New Roman"/>
          <w:color w:val="000000"/>
          <w:sz w:val="24"/>
          <w:szCs w:val="24"/>
          <w:shd w:val="clear" w:color="auto" w:fill="FFFFFF"/>
        </w:rPr>
        <w:t>MUAC</w:t>
      </w:r>
      <w:r>
        <w:rPr>
          <w:rFonts w:ascii="Times New Roman" w:hAnsi="Times New Roman" w:cs="Times New Roman"/>
          <w:color w:val="000000"/>
          <w:sz w:val="24"/>
          <w:szCs w:val="24"/>
          <w:shd w:val="clear" w:color="auto" w:fill="FFFFFF"/>
        </w:rPr>
        <w:t xml:space="preserve">:Mid Upper Arm Circumference </w:t>
      </w:r>
      <w:r w:rsidRPr="004801EF">
        <w:rPr>
          <w:rFonts w:ascii="Times New Roman" w:hAnsi="Times New Roman" w:cs="Times New Roman"/>
          <w:color w:val="000000"/>
          <w:sz w:val="24"/>
          <w:szCs w:val="24"/>
          <w:shd w:val="clear" w:color="auto" w:fill="FFFFFF"/>
        </w:rPr>
        <w:t>NUTRIC:The Nutrition Risk in Critically ill, NRS-2002: Nutrition Risk Screening 2002, MST: Malnutrition Screening Tool, BMI: Body mass index, CONUT: Controlling Nutritional Status</w:t>
      </w:r>
      <w:r w:rsidRPr="00210C2D">
        <w:rPr>
          <w:rFonts w:ascii="Times New Roman" w:hAnsi="Times New Roman" w:cs="Times New Roman"/>
          <w:color w:val="000000"/>
          <w:sz w:val="24"/>
          <w:szCs w:val="24"/>
          <w:shd w:val="clear" w:color="auto" w:fill="FFFFFF"/>
        </w:rPr>
        <w:fldChar w:fldCharType="begin"/>
      </w:r>
      <w:r w:rsidRPr="00210C2D">
        <w:rPr>
          <w:rFonts w:ascii="Times New Roman" w:hAnsi="Times New Roman" w:cs="Times New Roman"/>
          <w:color w:val="000000"/>
          <w:sz w:val="24"/>
          <w:szCs w:val="24"/>
          <w:shd w:val="clear" w:color="auto" w:fill="FFFFFF"/>
        </w:rPr>
        <w:instrText xml:space="preserve"> LINK </w:instrText>
      </w:r>
      <w:r>
        <w:rPr>
          <w:rFonts w:ascii="Times New Roman" w:hAnsi="Times New Roman" w:cs="Times New Roman"/>
          <w:color w:val="000000"/>
          <w:sz w:val="24"/>
          <w:szCs w:val="24"/>
          <w:shd w:val="clear" w:color="auto" w:fill="FFFFFF"/>
        </w:rPr>
        <w:instrText xml:space="preserve">Excel.Sheet.12 "C:\\Users\\user\\Desktop\\meta modified final.xlsx" Sheet1!R1:R32 </w:instrText>
      </w:r>
      <w:r w:rsidRPr="00210C2D">
        <w:rPr>
          <w:rFonts w:ascii="Times New Roman" w:hAnsi="Times New Roman" w:cs="Times New Roman"/>
          <w:color w:val="000000"/>
          <w:sz w:val="24"/>
          <w:szCs w:val="24"/>
          <w:shd w:val="clear" w:color="auto" w:fill="FFFFFF"/>
        </w:rPr>
        <w:instrText xml:space="preserve">\a \f 5 \h  \* MERGEFORMAT </w:instrText>
      </w:r>
      <w:r w:rsidRPr="00210C2D">
        <w:rPr>
          <w:rFonts w:ascii="Times New Roman" w:hAnsi="Times New Roman" w:cs="Times New Roman"/>
          <w:color w:val="000000"/>
          <w:sz w:val="24"/>
          <w:szCs w:val="24"/>
          <w:shd w:val="clear" w:color="auto" w:fill="FFFFFF"/>
        </w:rPr>
        <w:fldChar w:fldCharType="separate"/>
      </w:r>
    </w:p>
    <w:p w14:paraId="38556E5C" w14:textId="77777777" w:rsidR="001F2CBA" w:rsidRPr="004801EF" w:rsidRDefault="001F2CBA" w:rsidP="001F2CBA">
      <w:pPr>
        <w:spacing w:line="240" w:lineRule="auto"/>
        <w:jc w:val="both"/>
        <w:rPr>
          <w:rFonts w:ascii="Times New Roman" w:hAnsi="Times New Roman" w:cs="Times New Roman"/>
          <w:color w:val="000000"/>
          <w:sz w:val="24"/>
          <w:szCs w:val="24"/>
          <w:shd w:val="clear" w:color="auto" w:fill="FFFFFF"/>
        </w:rPr>
      </w:pPr>
      <w:r w:rsidRPr="00210C2D">
        <w:rPr>
          <w:rFonts w:ascii="Times New Roman" w:hAnsi="Times New Roman" w:cs="Times New Roman"/>
          <w:color w:val="000000"/>
          <w:sz w:val="24"/>
          <w:szCs w:val="24"/>
          <w:shd w:val="clear" w:color="auto" w:fill="FFFFFF"/>
        </w:rPr>
        <w:fldChar w:fldCharType="end"/>
      </w:r>
      <w:r>
        <w:rPr>
          <w:rFonts w:ascii="Times New Roman" w:hAnsi="Times New Roman" w:cs="Times New Roman"/>
          <w:sz w:val="24"/>
          <w:szCs w:val="24"/>
        </w:rPr>
        <w:t>Table</w:t>
      </w:r>
      <w:r w:rsidRPr="004801EF">
        <w:rPr>
          <w:rFonts w:ascii="Times New Roman" w:hAnsi="Times New Roman" w:cs="Times New Roman"/>
          <w:sz w:val="24"/>
          <w:szCs w:val="24"/>
        </w:rPr>
        <w:t xml:space="preserve">1. Summary of the studies included in the systematic review. </w:t>
      </w:r>
    </w:p>
    <w:p w14:paraId="40779896" w14:textId="77777777" w:rsidR="001F2CBA" w:rsidRPr="00210C2D" w:rsidRDefault="001F2CBA" w:rsidP="001F2CBA">
      <w:pPr>
        <w:spacing w:line="240" w:lineRule="auto"/>
        <w:jc w:val="both"/>
        <w:rPr>
          <w:rFonts w:ascii="Times New Roman" w:hAnsi="Times New Roman" w:cs="Times New Roman"/>
          <w:color w:val="000000"/>
          <w:sz w:val="24"/>
          <w:szCs w:val="24"/>
          <w:shd w:val="clear" w:color="auto" w:fill="FFFFFF"/>
        </w:rPr>
      </w:pPr>
    </w:p>
    <w:p w14:paraId="192CEB66"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2CBA"/>
    <w:rsid w:val="001B442D"/>
    <w:rsid w:val="001F2CBA"/>
    <w:rsid w:val="003C2EF4"/>
    <w:rsid w:val="00446799"/>
    <w:rsid w:val="006A7E07"/>
    <w:rsid w:val="00701021"/>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34D47B"/>
  <w15:chartTrackingRefBased/>
  <w15:docId w15:val="{8EAA0EE9-5394-4866-B55F-796DCD956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2CBA"/>
    <w:pPr>
      <w:spacing w:after="200" w:line="276" w:lineRule="auto"/>
    </w:pPr>
    <w:rPr>
      <w:rFonts w:eastAsiaTheme="minorEastAsia"/>
      <w:kern w:val="0"/>
      <w:sz w:val="22"/>
      <w:szCs w:val="22"/>
      <w14:ligatures w14:val="none"/>
    </w:rPr>
  </w:style>
  <w:style w:type="paragraph" w:styleId="Heading1">
    <w:name w:val="heading 1"/>
    <w:basedOn w:val="Normal"/>
    <w:next w:val="Normal"/>
    <w:link w:val="Heading1Char"/>
    <w:uiPriority w:val="9"/>
    <w:qFormat/>
    <w:rsid w:val="001F2CB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1F2CB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1F2CBA"/>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1F2CBA"/>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1F2CBA"/>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1F2CBA"/>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1F2CBA"/>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1F2CBA"/>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1F2CBA"/>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2C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2C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2C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2C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2C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2C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2C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2C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2CBA"/>
    <w:rPr>
      <w:rFonts w:eastAsiaTheme="majorEastAsia" w:cstheme="majorBidi"/>
      <w:color w:val="272727" w:themeColor="text1" w:themeTint="D8"/>
    </w:rPr>
  </w:style>
  <w:style w:type="paragraph" w:styleId="Title">
    <w:name w:val="Title"/>
    <w:basedOn w:val="Normal"/>
    <w:next w:val="Normal"/>
    <w:link w:val="TitleChar"/>
    <w:uiPriority w:val="10"/>
    <w:qFormat/>
    <w:rsid w:val="001F2CBA"/>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1F2C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2CBA"/>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1F2C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2CBA"/>
    <w:pPr>
      <w:spacing w:before="160" w:after="160" w:line="278" w:lineRule="auto"/>
      <w:jc w:val="center"/>
    </w:pPr>
    <w:rPr>
      <w:rFonts w:eastAsiaTheme="minorHAns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1F2CBA"/>
    <w:rPr>
      <w:i/>
      <w:iCs/>
      <w:color w:val="404040" w:themeColor="text1" w:themeTint="BF"/>
    </w:rPr>
  </w:style>
  <w:style w:type="paragraph" w:styleId="ListParagraph">
    <w:name w:val="List Paragraph"/>
    <w:basedOn w:val="Normal"/>
    <w:uiPriority w:val="34"/>
    <w:qFormat/>
    <w:rsid w:val="001F2CBA"/>
    <w:pPr>
      <w:spacing w:after="160" w:line="278" w:lineRule="auto"/>
      <w:ind w:left="720"/>
      <w:contextualSpacing/>
    </w:pPr>
    <w:rPr>
      <w:rFonts w:eastAsiaTheme="minorHAnsi"/>
      <w:kern w:val="2"/>
      <w:sz w:val="24"/>
      <w:szCs w:val="24"/>
      <w14:ligatures w14:val="standardContextual"/>
    </w:rPr>
  </w:style>
  <w:style w:type="character" w:styleId="IntenseEmphasis">
    <w:name w:val="Intense Emphasis"/>
    <w:basedOn w:val="DefaultParagraphFont"/>
    <w:uiPriority w:val="21"/>
    <w:qFormat/>
    <w:rsid w:val="001F2CBA"/>
    <w:rPr>
      <w:i/>
      <w:iCs/>
      <w:color w:val="0F4761" w:themeColor="accent1" w:themeShade="BF"/>
    </w:rPr>
  </w:style>
  <w:style w:type="paragraph" w:styleId="IntenseQuote">
    <w:name w:val="Intense Quote"/>
    <w:basedOn w:val="Normal"/>
    <w:next w:val="Normal"/>
    <w:link w:val="IntenseQuoteChar"/>
    <w:uiPriority w:val="30"/>
    <w:qFormat/>
    <w:rsid w:val="001F2CB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1F2CBA"/>
    <w:rPr>
      <w:i/>
      <w:iCs/>
      <w:color w:val="0F4761" w:themeColor="accent1" w:themeShade="BF"/>
    </w:rPr>
  </w:style>
  <w:style w:type="character" w:styleId="IntenseReference">
    <w:name w:val="Intense Reference"/>
    <w:basedOn w:val="DefaultParagraphFont"/>
    <w:uiPriority w:val="32"/>
    <w:qFormat/>
    <w:rsid w:val="001F2CBA"/>
    <w:rPr>
      <w:b/>
      <w:bCs/>
      <w:smallCaps/>
      <w:color w:val="0F4761" w:themeColor="accent1" w:themeShade="BF"/>
      <w:spacing w:val="5"/>
    </w:rPr>
  </w:style>
  <w:style w:type="character" w:styleId="Hyperlink">
    <w:name w:val="Hyperlink"/>
    <w:basedOn w:val="DefaultParagraphFont"/>
    <w:uiPriority w:val="99"/>
    <w:unhideWhenUsed/>
    <w:rsid w:val="001F2CBA"/>
    <w:rPr>
      <w:color w:val="0000FF"/>
      <w:u w:val="single"/>
    </w:rPr>
  </w:style>
  <w:style w:type="table" w:styleId="TableGrid">
    <w:name w:val="Table Grid"/>
    <w:basedOn w:val="TableNormal"/>
    <w:uiPriority w:val="59"/>
    <w:rsid w:val="001F2CBA"/>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pubmed.ncbi.nlm.nih.gov/?term=Ceniccola+GD&amp;cauthor_id=32026492" TargetMode="External"/><Relationship Id="rId4" Type="http://schemas.openxmlformats.org/officeDocument/2006/relationships/hyperlink" Target="https://pubmed.ncbi.nlm.nih.gov/?term=Caporossi+FS&amp;cauthor_id=2273297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7953</Words>
  <Characters>44223</Characters>
  <Application>Microsoft Office Word</Application>
  <DocSecurity>0</DocSecurity>
  <Lines>1637</Lines>
  <Paragraphs>1185</Paragraphs>
  <ScaleCrop>false</ScaleCrop>
  <Company>Springer Nature</Company>
  <LinksUpToDate>false</LinksUpToDate>
  <CharactersWithSpaces>50991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2025-10-30T07:49:00Z</dcterms:created>
  <dcterms:modified xsi:type="dcterms:W3CDTF">2025-10-30T07:49:00Z</dcterms:modified>
</cp:coreProperties>
</file>