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99A9BF">
      <w:pPr>
        <w:jc w:val="both"/>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Sup</w:t>
      </w:r>
      <w:bookmarkStart w:id="1" w:name="_GoBack"/>
      <w:bookmarkEnd w:id="1"/>
      <w:r>
        <w:rPr>
          <w:rFonts w:hint="eastAsia" w:ascii="Times New Roman" w:hAnsi="Times New Roman" w:cs="Times New Roman"/>
          <w:b/>
          <w:bCs/>
          <w:color w:val="000000" w:themeColor="text1"/>
          <w:sz w:val="28"/>
          <w:szCs w:val="28"/>
          <w14:textFill>
            <w14:solidFill>
              <w14:schemeClr w14:val="tx1"/>
            </w14:solidFill>
          </w14:textFill>
        </w:rPr>
        <w:t>plementary material</w:t>
      </w:r>
    </w:p>
    <w:p w14:paraId="3A420449">
      <w:pPr>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MnUA</w:t>
      </w:r>
      <w:r>
        <w:rPr>
          <w:rFonts w:hint="eastAsia" w:ascii="Times New Roman" w:hAnsi="Times New Roman" w:cs="Times New Roman"/>
          <w:b/>
          <w:bCs/>
          <w:color w:val="000000" w:themeColor="text1"/>
          <w:sz w:val="28"/>
          <w:szCs w:val="28"/>
          <w14:textFill>
            <w14:solidFill>
              <w14:schemeClr w14:val="tx1"/>
            </w14:solidFill>
          </w14:textFill>
        </w:rPr>
        <w:t>–</w:t>
      </w:r>
      <w:r>
        <w:rPr>
          <w:rFonts w:ascii="Times New Roman" w:hAnsi="Times New Roman" w:cs="Times New Roman"/>
          <w:b/>
          <w:bCs/>
          <w:color w:val="000000" w:themeColor="text1"/>
          <w:sz w:val="28"/>
          <w:szCs w:val="28"/>
          <w14:textFill>
            <w14:solidFill>
              <w14:schemeClr w14:val="tx1"/>
            </w14:solidFill>
          </w14:textFill>
        </w:rPr>
        <w:t>DOX</w:t>
      </w:r>
      <w:r>
        <w:rPr>
          <w:rFonts w:hint="eastAsia" w:ascii="Times New Roman" w:hAnsi="Times New Roman" w:cs="Times New Roman"/>
          <w:b/>
          <w:bCs/>
          <w:color w:val="000000" w:themeColor="text1"/>
          <w:sz w:val="28"/>
          <w:szCs w:val="28"/>
          <w14:textFill>
            <w14:solidFill>
              <w14:schemeClr w14:val="tx1"/>
            </w14:solidFill>
          </w14:textFill>
        </w:rPr>
        <w:t>–</w:t>
      </w:r>
      <w:r>
        <w:rPr>
          <w:rFonts w:ascii="Times New Roman" w:hAnsi="Times New Roman" w:cs="Times New Roman"/>
          <w:b/>
          <w:bCs/>
          <w:color w:val="000000" w:themeColor="text1"/>
          <w:sz w:val="28"/>
          <w:szCs w:val="28"/>
          <w14:textFill>
            <w14:solidFill>
              <w14:schemeClr w14:val="tx1"/>
            </w14:solidFill>
          </w14:textFill>
        </w:rPr>
        <w:t>Artesunate Hydrogel Remodels Immunosuppressive Tumor Microenvironment and Prevents Postoperative Recurrence in Triple-negative Breast Cancer</w:t>
      </w:r>
    </w:p>
    <w:p w14:paraId="11AB2C3B">
      <w:pPr>
        <w:widowControl/>
        <w:jc w:val="left"/>
        <w:rPr>
          <w:rFonts w:ascii="Times New Roman" w:hAnsi="Times New Roman" w:eastAsia="宋体" w:cs="Times New Roman"/>
          <w:sz w:val="22"/>
        </w:rPr>
      </w:pPr>
      <w:bookmarkStart w:id="0" w:name="_Hlk533264653"/>
      <w:r>
        <w:rPr>
          <w:rFonts w:hint="eastAsia" w:ascii="Times New Roman" w:hAnsi="Times New Roman" w:eastAsia="宋体" w:cs="Times New Roman"/>
          <w:sz w:val="22"/>
        </w:rPr>
        <w:t>Keneng</w:t>
      </w:r>
      <w:r>
        <w:rPr>
          <w:rFonts w:ascii="Times New Roman" w:hAnsi="Times New Roman" w:eastAsia="宋体" w:cs="Times New Roman"/>
          <w:sz w:val="22"/>
        </w:rPr>
        <w:t xml:space="preserve"> </w:t>
      </w:r>
      <w:r>
        <w:rPr>
          <w:rFonts w:hint="eastAsia" w:ascii="Times New Roman" w:hAnsi="Times New Roman" w:eastAsia="宋体" w:cs="Times New Roman"/>
          <w:sz w:val="22"/>
        </w:rPr>
        <w:t>Cai</w:t>
      </w:r>
      <w:r>
        <w:rPr>
          <w:rFonts w:hint="eastAsia" w:ascii="Times New Roman" w:hAnsi="Times New Roman" w:eastAsia="宋体" w:cs="Times New Roman"/>
          <w:sz w:val="22"/>
          <w:vertAlign w:val="superscript"/>
        </w:rPr>
        <w:t>1</w:t>
      </w:r>
      <w:r>
        <w:rPr>
          <w:rFonts w:ascii="Times New Roman" w:hAnsi="Times New Roman" w:eastAsia="宋体" w:cs="Times New Roman"/>
          <w:sz w:val="22"/>
        </w:rPr>
        <w:t>,</w:t>
      </w:r>
      <w:r>
        <w:rPr>
          <w:rFonts w:hint="eastAsia" w:ascii="Times New Roman" w:hAnsi="Times New Roman" w:eastAsia="宋体" w:cs="Times New Roman"/>
          <w:sz w:val="22"/>
        </w:rPr>
        <w:t xml:space="preserve"> Run Xia</w:t>
      </w:r>
      <w:r>
        <w:rPr>
          <w:rFonts w:hint="eastAsia" w:ascii="Times New Roman" w:hAnsi="Times New Roman" w:eastAsia="宋体" w:cs="Times New Roman"/>
          <w:sz w:val="22"/>
          <w:vertAlign w:val="superscript"/>
        </w:rPr>
        <w:t>1</w:t>
      </w:r>
      <w:r>
        <w:rPr>
          <w:rFonts w:hint="eastAsia" w:ascii="Times New Roman" w:hAnsi="Times New Roman" w:eastAsia="宋体" w:cs="Times New Roman"/>
          <w:sz w:val="22"/>
        </w:rPr>
        <w:t>, Mengyao Xu</w:t>
      </w:r>
      <w:r>
        <w:rPr>
          <w:rFonts w:hint="eastAsia" w:ascii="Times New Roman" w:hAnsi="Times New Roman" w:eastAsia="宋体" w:cs="Times New Roman"/>
          <w:sz w:val="22"/>
          <w:vertAlign w:val="superscript"/>
        </w:rPr>
        <w:t>1</w:t>
      </w:r>
      <w:r>
        <w:rPr>
          <w:rFonts w:hint="eastAsia" w:ascii="Times New Roman" w:hAnsi="Times New Roman" w:eastAsia="宋体" w:cs="Times New Roman"/>
          <w:sz w:val="22"/>
        </w:rPr>
        <w:t>, Wanying Chen</w:t>
      </w:r>
      <w:r>
        <w:rPr>
          <w:rFonts w:hint="eastAsia" w:ascii="Times New Roman" w:hAnsi="Times New Roman" w:eastAsia="宋体" w:cs="Times New Roman"/>
          <w:sz w:val="22"/>
          <w:vertAlign w:val="superscript"/>
        </w:rPr>
        <w:t>1</w:t>
      </w:r>
      <w:r>
        <w:rPr>
          <w:rFonts w:hint="eastAsia" w:ascii="Times New Roman" w:hAnsi="Times New Roman" w:eastAsia="宋体" w:cs="Times New Roman"/>
          <w:sz w:val="22"/>
        </w:rPr>
        <w:t>, Xinyu Liu</w:t>
      </w:r>
      <w:r>
        <w:rPr>
          <w:rFonts w:hint="eastAsia" w:ascii="Times New Roman" w:hAnsi="Times New Roman" w:eastAsia="宋体" w:cs="Times New Roman"/>
          <w:sz w:val="22"/>
          <w:vertAlign w:val="superscript"/>
        </w:rPr>
        <w:t>1</w:t>
      </w:r>
      <w:r>
        <w:rPr>
          <w:rFonts w:hint="eastAsia" w:ascii="Times New Roman" w:hAnsi="Times New Roman" w:eastAsia="宋体" w:cs="Times New Roman"/>
          <w:sz w:val="22"/>
        </w:rPr>
        <w:t>, Tiantian Guo</w:t>
      </w:r>
      <w:r>
        <w:rPr>
          <w:rFonts w:hint="eastAsia" w:ascii="Times New Roman" w:hAnsi="Times New Roman" w:eastAsia="宋体" w:cs="Times New Roman"/>
          <w:sz w:val="22"/>
          <w:vertAlign w:val="superscript"/>
        </w:rPr>
        <w:t>1</w:t>
      </w:r>
      <w:r>
        <w:rPr>
          <w:rFonts w:hint="eastAsia" w:ascii="Times New Roman" w:hAnsi="Times New Roman" w:eastAsia="宋体" w:cs="Times New Roman"/>
          <w:sz w:val="22"/>
        </w:rPr>
        <w:t>, Weichi Jiang</w:t>
      </w:r>
      <w:r>
        <w:rPr>
          <w:rFonts w:hint="eastAsia" w:ascii="Times New Roman" w:hAnsi="Times New Roman" w:eastAsia="宋体" w:cs="Times New Roman"/>
          <w:sz w:val="22"/>
          <w:vertAlign w:val="superscript"/>
        </w:rPr>
        <w:t>1,2</w:t>
      </w:r>
      <w:r>
        <w:rPr>
          <w:rFonts w:hint="eastAsia" w:ascii="Times New Roman" w:hAnsi="Times New Roman" w:eastAsia="宋体" w:cs="Times New Roman"/>
          <w:sz w:val="22"/>
        </w:rPr>
        <w:t xml:space="preserve">, </w:t>
      </w:r>
      <w:r>
        <w:rPr>
          <w:rFonts w:ascii="Times New Roman" w:hAnsi="Times New Roman" w:eastAsia="宋体" w:cs="Times New Roman"/>
          <w:sz w:val="22"/>
        </w:rPr>
        <w:t>Chuyi Yu</w:t>
      </w:r>
      <w:r>
        <w:rPr>
          <w:rFonts w:hint="eastAsia" w:ascii="Times New Roman" w:hAnsi="Times New Roman" w:eastAsia="宋体" w:cs="Times New Roman"/>
          <w:sz w:val="22"/>
          <w:vertAlign w:val="superscript"/>
        </w:rPr>
        <w:t>1,2</w:t>
      </w:r>
      <w:r>
        <w:rPr>
          <w:rFonts w:ascii="Times New Roman" w:hAnsi="Times New Roman" w:eastAsia="宋体" w:cs="Times New Roman"/>
          <w:sz w:val="22"/>
        </w:rPr>
        <w:t>,</w:t>
      </w:r>
      <w:r>
        <w:rPr>
          <w:rFonts w:hint="eastAsia" w:ascii="Times New Roman" w:hAnsi="Times New Roman" w:eastAsia="宋体" w:cs="Times New Roman"/>
          <w:sz w:val="22"/>
        </w:rPr>
        <w:t xml:space="preserve"> Jianjia Feng</w:t>
      </w:r>
      <w:r>
        <w:rPr>
          <w:rFonts w:hint="eastAsia" w:ascii="Times New Roman" w:hAnsi="Times New Roman" w:eastAsia="宋体" w:cs="Times New Roman"/>
          <w:sz w:val="22"/>
          <w:vertAlign w:val="superscript"/>
        </w:rPr>
        <w:t>1</w:t>
      </w:r>
      <w:r>
        <w:rPr>
          <w:rFonts w:hint="eastAsia" w:ascii="Times New Roman" w:hAnsi="Times New Roman" w:eastAsia="宋体" w:cs="Times New Roman"/>
          <w:sz w:val="22"/>
        </w:rPr>
        <w:t>, Chengli Ling</w:t>
      </w:r>
      <w:r>
        <w:rPr>
          <w:rFonts w:hint="eastAsia" w:ascii="Times New Roman" w:hAnsi="Times New Roman" w:eastAsia="宋体" w:cs="Times New Roman"/>
          <w:sz w:val="22"/>
          <w:vertAlign w:val="superscript"/>
        </w:rPr>
        <w:t>3</w:t>
      </w:r>
      <w:r>
        <w:rPr>
          <w:rFonts w:hint="eastAsia" w:ascii="Times New Roman" w:hAnsi="Times New Roman" w:eastAsia="宋体" w:cs="Times New Roman"/>
          <w:sz w:val="22"/>
        </w:rPr>
        <w:t>, Sheng Zhou</w:t>
      </w:r>
      <w:r>
        <w:rPr>
          <w:rFonts w:hint="eastAsia" w:ascii="Times New Roman" w:hAnsi="Times New Roman" w:eastAsia="宋体" w:cs="Times New Roman"/>
          <w:sz w:val="22"/>
          <w:vertAlign w:val="superscript"/>
        </w:rPr>
        <w:t>1</w:t>
      </w:r>
      <w:r>
        <w:rPr>
          <w:rFonts w:hint="eastAsia" w:ascii="Times New Roman" w:hAnsi="Times New Roman" w:eastAsia="宋体" w:cs="Times New Roman"/>
          <w:sz w:val="22"/>
        </w:rPr>
        <w:t>, Yinhuan Chen</w:t>
      </w:r>
      <w:r>
        <w:rPr>
          <w:rFonts w:hint="eastAsia" w:ascii="Times New Roman" w:hAnsi="Times New Roman" w:eastAsia="宋体" w:cs="Times New Roman"/>
          <w:sz w:val="22"/>
          <w:vertAlign w:val="superscript"/>
        </w:rPr>
        <w:t>2</w:t>
      </w:r>
      <w:r>
        <w:rPr>
          <w:rFonts w:hint="eastAsia" w:ascii="Times New Roman" w:hAnsi="Times New Roman" w:eastAsia="宋体" w:cs="Times New Roman"/>
          <w:sz w:val="22"/>
        </w:rPr>
        <w:t>, Qin Xu</w:t>
      </w:r>
      <w:r>
        <w:rPr>
          <w:rFonts w:hint="eastAsia" w:ascii="Times New Roman" w:hAnsi="Times New Roman" w:eastAsia="宋体" w:cs="Times New Roman"/>
          <w:sz w:val="22"/>
          <w:vertAlign w:val="superscript"/>
        </w:rPr>
        <w:t>1</w:t>
      </w:r>
      <w:r>
        <w:rPr>
          <w:rFonts w:hint="eastAsia" w:ascii="Times New Roman" w:hAnsi="Times New Roman" w:eastAsia="宋体" w:cs="Times New Roman"/>
          <w:sz w:val="22"/>
        </w:rPr>
        <w:t>, and Jianming Liang*</w:t>
      </w:r>
      <w:r>
        <w:rPr>
          <w:rFonts w:ascii="Times New Roman" w:hAnsi="Times New Roman" w:eastAsia="宋体" w:cs="Times New Roman"/>
          <w:sz w:val="22"/>
          <w:vertAlign w:val="superscript"/>
        </w:rPr>
        <w:t>1</w:t>
      </w:r>
      <w:r>
        <w:rPr>
          <w:rFonts w:hint="eastAsia" w:ascii="Times New Roman" w:hAnsi="Times New Roman" w:eastAsia="宋体" w:cs="Times New Roman"/>
          <w:sz w:val="22"/>
          <w:vertAlign w:val="superscript"/>
        </w:rPr>
        <w:t>,2</w:t>
      </w:r>
    </w:p>
    <w:p w14:paraId="6ECC8063">
      <w:pPr>
        <w:widowControl/>
        <w:spacing w:line="360" w:lineRule="auto"/>
        <w:rPr>
          <w:rFonts w:ascii="Times New Roman" w:hAnsi="Times New Roman" w:eastAsia="宋体" w:cs="Times New Roman"/>
          <w:color w:val="000000"/>
          <w:kern w:val="0"/>
          <w:sz w:val="22"/>
          <w:szCs w:val="22"/>
          <w:lang w:bidi="ar"/>
        </w:rPr>
      </w:pPr>
      <w:r>
        <w:rPr>
          <w:rFonts w:hint="eastAsia" w:ascii="Times New Roman" w:hAnsi="Times New Roman" w:eastAsia="宋体" w:cs="Times New Roman"/>
          <w:color w:val="000000"/>
          <w:kern w:val="0"/>
          <w:sz w:val="22"/>
          <w:vertAlign w:val="superscript"/>
          <w:lang w:bidi="ar"/>
        </w:rPr>
        <w:t>1</w:t>
      </w:r>
      <w:r>
        <w:rPr>
          <w:rFonts w:ascii="Times New Roman" w:hAnsi="Times New Roman" w:eastAsia="宋体" w:cs="Times New Roman"/>
          <w:color w:val="000000"/>
          <w:kern w:val="0"/>
          <w:sz w:val="22"/>
          <w:szCs w:val="22"/>
          <w:lang w:bidi="ar"/>
        </w:rPr>
        <w:t>Artemisinin Research Center, Guangzhou University of Chinese Medicine, Guangzhou 510</w:t>
      </w:r>
      <w:r>
        <w:rPr>
          <w:rFonts w:hint="eastAsia" w:ascii="Times New Roman" w:hAnsi="Times New Roman" w:eastAsia="宋体" w:cs="Times New Roman"/>
          <w:color w:val="000000"/>
          <w:kern w:val="0"/>
          <w:sz w:val="22"/>
          <w:szCs w:val="22"/>
          <w:lang w:bidi="ar"/>
        </w:rPr>
        <w:t>006</w:t>
      </w:r>
      <w:r>
        <w:rPr>
          <w:rFonts w:ascii="Times New Roman" w:hAnsi="Times New Roman" w:eastAsia="宋体" w:cs="Times New Roman"/>
          <w:color w:val="000000"/>
          <w:kern w:val="0"/>
          <w:sz w:val="22"/>
          <w:szCs w:val="22"/>
          <w:lang w:bidi="ar"/>
        </w:rPr>
        <w:t>, China.</w:t>
      </w:r>
    </w:p>
    <w:p w14:paraId="36665592">
      <w:pPr>
        <w:widowControl/>
        <w:spacing w:line="360" w:lineRule="auto"/>
        <w:rPr>
          <w:rFonts w:ascii="Times New Roman" w:hAnsi="Times New Roman" w:eastAsia="宋体" w:cs="Times New Roman"/>
          <w:color w:val="000000"/>
          <w:kern w:val="0"/>
          <w:sz w:val="22"/>
          <w:szCs w:val="22"/>
          <w:lang w:bidi="ar"/>
        </w:rPr>
      </w:pPr>
      <w:r>
        <w:rPr>
          <w:rFonts w:hint="eastAsia" w:ascii="Times New Roman" w:hAnsi="Times New Roman" w:eastAsia="宋体" w:cs="Times New Roman"/>
          <w:color w:val="000000"/>
          <w:kern w:val="0"/>
          <w:sz w:val="22"/>
          <w:szCs w:val="22"/>
          <w:vertAlign w:val="superscript"/>
          <w:lang w:bidi="ar"/>
        </w:rPr>
        <w:t>2</w:t>
      </w:r>
      <w:r>
        <w:rPr>
          <w:rFonts w:ascii="Times New Roman" w:hAnsi="Times New Roman" w:eastAsia="宋体" w:cs="Times New Roman"/>
          <w:color w:val="000000"/>
          <w:kern w:val="0"/>
          <w:sz w:val="22"/>
          <w:szCs w:val="22"/>
          <w:lang w:bidi="ar"/>
        </w:rPr>
        <w:t>The First Afffliated Hospital of Guangzhou University of Chinese Medicine, Guangzhou 510405, China</w:t>
      </w:r>
      <w:r>
        <w:rPr>
          <w:rFonts w:hint="eastAsia" w:ascii="Times New Roman" w:hAnsi="Times New Roman" w:eastAsia="宋体" w:cs="Times New Roman"/>
          <w:color w:val="000000"/>
          <w:kern w:val="0"/>
          <w:sz w:val="22"/>
          <w:szCs w:val="22"/>
          <w:lang w:bidi="ar"/>
        </w:rPr>
        <w:t>.</w:t>
      </w:r>
    </w:p>
    <w:bookmarkEnd w:id="0"/>
    <w:p w14:paraId="0EED8268">
      <w:pPr>
        <w:jc w:val="center"/>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eastAsia="宋体" w:cs="Times New Roman"/>
          <w:color w:val="000000"/>
          <w:kern w:val="0"/>
          <w:sz w:val="22"/>
          <w:szCs w:val="22"/>
          <w:vertAlign w:val="superscript"/>
          <w:lang w:bidi="ar"/>
        </w:rPr>
        <w:t>3</w:t>
      </w:r>
      <w:r>
        <w:rPr>
          <w:rFonts w:hint="eastAsia" w:ascii="Times New Roman" w:hAnsi="Times New Roman" w:eastAsia="宋体" w:cs="Times New Roman"/>
          <w:color w:val="000000"/>
          <w:kern w:val="0"/>
          <w:sz w:val="22"/>
          <w:szCs w:val="22"/>
          <w:lang w:bidi="ar"/>
        </w:rPr>
        <w:t>Hunan academy of Chinese Medicine, Yuehua road, Yuelu district, Changsha 410013, China</w:t>
      </w:r>
    </w:p>
    <w:p w14:paraId="48B08461">
      <w:pPr>
        <w:widowControl/>
        <w:spacing w:line="360" w:lineRule="auto"/>
        <w:jc w:val="left"/>
        <w:rPr>
          <w:rFonts w:ascii="Times New Roman" w:hAnsi="Times New Roman" w:eastAsia="宋体" w:cs="Times New Roman"/>
          <w:color w:val="000000"/>
          <w:kern w:val="0"/>
          <w:sz w:val="22"/>
          <w:szCs w:val="22"/>
          <w:lang w:bidi="ar"/>
        </w:rPr>
      </w:pPr>
    </w:p>
    <w:p w14:paraId="36D36AB6">
      <w:pPr>
        <w:widowControl/>
        <w:spacing w:line="360" w:lineRule="auto"/>
        <w:jc w:val="left"/>
        <w:rPr>
          <w:rFonts w:ascii="Times New Roman" w:hAnsi="Times New Roman" w:eastAsia="宋体" w:cs="Times New Roman"/>
          <w:color w:val="000000"/>
          <w:kern w:val="0"/>
          <w:sz w:val="22"/>
          <w:szCs w:val="22"/>
          <w:lang w:bidi="ar"/>
        </w:rPr>
      </w:pPr>
      <w:r>
        <w:rPr>
          <w:rFonts w:ascii="Times New Roman" w:hAnsi="Times New Roman" w:eastAsia="宋体" w:cs="Times New Roman"/>
          <w:color w:val="000000"/>
          <w:kern w:val="0"/>
          <w:sz w:val="22"/>
          <w:szCs w:val="22"/>
          <w:lang w:bidi="ar"/>
        </w:rPr>
        <w:t>Corresponding author:</w:t>
      </w:r>
    </w:p>
    <w:p w14:paraId="67B18A0D">
      <w:pPr>
        <w:widowControl/>
        <w:spacing w:line="360" w:lineRule="auto"/>
        <w:jc w:val="left"/>
        <w:rPr>
          <w:rFonts w:ascii="Times New Roman" w:hAnsi="Times New Roman" w:eastAsia="宋体" w:cs="Times New Roman"/>
          <w:color w:val="000000"/>
          <w:kern w:val="0"/>
          <w:sz w:val="22"/>
          <w:szCs w:val="22"/>
          <w:lang w:bidi="ar"/>
        </w:rPr>
      </w:pPr>
      <w:r>
        <w:rPr>
          <w:rFonts w:ascii="Times New Roman" w:hAnsi="Times New Roman" w:eastAsia="宋体" w:cs="Times New Roman"/>
          <w:color w:val="000000"/>
          <w:kern w:val="0"/>
          <w:sz w:val="22"/>
          <w:szCs w:val="22"/>
          <w:lang w:bidi="ar"/>
        </w:rPr>
        <w:t xml:space="preserve">Name: </w:t>
      </w:r>
      <w:r>
        <w:rPr>
          <w:rFonts w:hint="eastAsia" w:ascii="Times New Roman" w:hAnsi="Times New Roman" w:eastAsia="宋体" w:cs="Times New Roman"/>
          <w:sz w:val="22"/>
        </w:rPr>
        <w:t>Jianming Liang</w:t>
      </w:r>
      <w:r>
        <w:rPr>
          <w:rFonts w:ascii="Times New Roman" w:hAnsi="Times New Roman" w:eastAsia="宋体" w:cs="Times New Roman"/>
          <w:color w:val="000000"/>
          <w:kern w:val="0"/>
          <w:sz w:val="22"/>
          <w:szCs w:val="22"/>
          <w:lang w:bidi="ar"/>
        </w:rPr>
        <w:t>, E-mail</w:t>
      </w:r>
      <w:r>
        <w:rPr>
          <w:rFonts w:hint="eastAsia" w:ascii="Times New Roman" w:hAnsi="Times New Roman" w:eastAsia="宋体" w:cs="Times New Roman"/>
          <w:sz w:val="22"/>
          <w:szCs w:val="22"/>
          <w:lang w:bidi="ar"/>
        </w:rPr>
        <w:t xml:space="preserve">: </w:t>
      </w:r>
      <w:r>
        <w:rPr>
          <w:rFonts w:hint="eastAsia" w:ascii="Times New Roman" w:hAnsi="Times New Roman" w:eastAsia="宋体" w:cs="Times New Roman"/>
          <w:sz w:val="22"/>
          <w:szCs w:val="22"/>
        </w:rPr>
        <w:t>liangjianming@gzucm.edu.cn</w:t>
      </w:r>
      <w:r>
        <w:rPr>
          <w:rFonts w:hint="eastAsia" w:ascii="Times New Roman" w:hAnsi="Times New Roman" w:eastAsia="宋体" w:cs="Times New Roman"/>
          <w:sz w:val="22"/>
          <w:lang w:bidi="ar"/>
        </w:rPr>
        <w:t>.</w:t>
      </w:r>
    </w:p>
    <w:p w14:paraId="289DF934">
      <w:pPr>
        <w:ind w:firstLine="422" w:firstLineChars="200"/>
        <w:jc w:val="left"/>
        <w:rPr>
          <w:rFonts w:ascii="Times New Roman" w:hAnsi="Times New Roman" w:eastAsia="宋体" w:cs="Times New Roman"/>
          <w:b/>
          <w:bCs/>
        </w:rPr>
      </w:pPr>
    </w:p>
    <w:p w14:paraId="195BB54A">
      <w:pPr>
        <w:ind w:firstLine="422" w:firstLineChars="200"/>
        <w:jc w:val="left"/>
        <w:rPr>
          <w:rFonts w:ascii="Times New Roman" w:hAnsi="Times New Roman" w:eastAsia="宋体" w:cs="Times New Roman"/>
          <w:b/>
          <w:bCs/>
        </w:rPr>
      </w:pPr>
    </w:p>
    <w:p w14:paraId="174CFABC">
      <w:pPr>
        <w:ind w:firstLine="422" w:firstLineChars="200"/>
        <w:jc w:val="left"/>
        <w:rPr>
          <w:rFonts w:ascii="Times New Roman" w:hAnsi="Times New Roman" w:eastAsia="宋体" w:cs="Times New Roman"/>
        </w:rPr>
      </w:pPr>
      <w:r>
        <w:rPr>
          <w:rFonts w:ascii="Times New Roman" w:hAnsi="Times New Roman" w:eastAsia="宋体" w:cs="Times New Roman"/>
          <w:b/>
          <w:bCs/>
        </w:rPr>
        <w:t>Materials.</w:t>
      </w:r>
    </w:p>
    <w:p w14:paraId="3ABA11E9">
      <w:pPr>
        <w:ind w:firstLine="420" w:firstLineChars="200"/>
        <w:jc w:val="left"/>
        <w:rPr>
          <w:rFonts w:ascii="Times New Roman" w:hAnsi="Times New Roman" w:eastAsia="宋体" w:cs="Times New Roman"/>
        </w:rPr>
      </w:pPr>
      <w:r>
        <w:rPr>
          <w:rFonts w:ascii="Times New Roman" w:hAnsi="Times New Roman" w:eastAsia="宋体" w:cs="Times New Roman"/>
        </w:rPr>
        <w:t>Sodium urate was purchased from Yuanye Biotechnology (Shanghai, China), and manganese chloride was obtained from Heowns Biochem Technologies (Tianjin, China). Cyclohexane and n-hexanol were acquired from Mairuida (Beijing, China). Triton X-100, Pluronic F127, Hoechst 33342, lipopolysaccharide (from E. coli O55:B5), and Alexa Fluor Plus 488-conjugated secondary antibody were purchased from Sigma-Aldrich (USA). Doxorubicin hydrochloride and artesunate were obtained from Melonepharma (Dalian, China). CCK-8 assay kits were from RARBIO (Guangzhou, China). RPMI-1640 medium, triple antibiotic solution, and fetal bovine serum (FBS) were provided by Procell (Wuhan, China) and Gibco (USA), respectively. DAPI was purchased from Macklin (Shanghai, China).</w:t>
      </w:r>
    </w:p>
    <w:p w14:paraId="0F4DD923">
      <w:pPr>
        <w:ind w:firstLine="420" w:firstLineChars="200"/>
        <w:jc w:val="left"/>
        <w:rPr>
          <w:rFonts w:ascii="Times New Roman" w:hAnsi="Times New Roman" w:eastAsia="宋体" w:cs="Times New Roman"/>
        </w:rPr>
      </w:pPr>
      <w:r>
        <w:rPr>
          <w:rFonts w:ascii="Times New Roman" w:hAnsi="Times New Roman" w:eastAsia="宋体" w:cs="Times New Roman"/>
        </w:rPr>
        <w:t>Annexin V-AF647 was from Elabscience (Wuhan, China). JC-10 probe and Z-DEVD-AFC were obtained from BIOBYING (Beijing, China) and GLPBIO (USA), respectively. Reactive oxygen species detection kits and BCA protein assay kits were from Beyotime (Shanghai, China).</w:t>
      </w:r>
    </w:p>
    <w:p w14:paraId="388FBDC0">
      <w:pPr>
        <w:ind w:firstLine="420" w:firstLineChars="200"/>
        <w:jc w:val="left"/>
        <w:rPr>
          <w:rFonts w:ascii="Times New Roman" w:hAnsi="Times New Roman" w:eastAsia="宋体" w:cs="Times New Roman"/>
        </w:rPr>
      </w:pPr>
      <w:r>
        <w:rPr>
          <w:rFonts w:ascii="Times New Roman" w:hAnsi="Times New Roman" w:eastAsia="宋体" w:cs="Times New Roman"/>
        </w:rPr>
        <w:t>Matrigel matrix and Transwell chambers were purchased from Corning (USA). Paraformaldehyde (4%) was from Biosharp (Beijing, China). Crystal violet solution (1%) was obtained from Beekman (Changde, China). Murine GM-CSF was from PeproTech (USA).</w:t>
      </w:r>
    </w:p>
    <w:p w14:paraId="7D6F44C4">
      <w:pPr>
        <w:ind w:firstLine="420" w:firstLineChars="200"/>
        <w:jc w:val="left"/>
        <w:rPr>
          <w:rFonts w:ascii="Times New Roman" w:hAnsi="Times New Roman" w:eastAsia="宋体" w:cs="Times New Roman"/>
        </w:rPr>
      </w:pPr>
      <w:r>
        <w:rPr>
          <w:rFonts w:ascii="Times New Roman" w:hAnsi="Times New Roman" w:eastAsia="宋体" w:cs="Times New Roman"/>
        </w:rPr>
        <w:t>H&amp;E staining kit, neutral balsam, TUNEL assay kit, proteinase K, anti-Ki67 antibody, and DAB substrate kit were all provided by Servicebio (Wuhan, China). ELISA MAX Deluxe kits for mouse IL-6, TNF-α, and IFN-γ were purchased from BioLegend (USA), and ELISA plates (F96 MAXISORP NUNC-IMMUNO PLATE) were from Thermo Fisher Scientific (USA).</w:t>
      </w:r>
    </w:p>
    <w:p w14:paraId="30AE0120">
      <w:pPr>
        <w:ind w:firstLine="420" w:firstLineChars="200"/>
        <w:jc w:val="left"/>
        <w:rPr>
          <w:rFonts w:ascii="Times New Roman" w:hAnsi="Times New Roman" w:eastAsia="宋体" w:cs="Times New Roman"/>
        </w:rPr>
      </w:pPr>
      <w:r>
        <w:rPr>
          <w:rFonts w:ascii="Times New Roman" w:hAnsi="Times New Roman" w:eastAsia="宋体" w:cs="Times New Roman"/>
        </w:rPr>
        <w:t>STAT3 and phosphorylated STAT3 antibodies were purchased from ImmunoWay (USA) and Elabscience (Wuhan, China). Anti-β-actin (HRP-conjugated) was obtained from Servicebio (Wuhan, China), and HRP goat anti-rabbit IgG from Abbkine (Wuhan, China). Antibodies against CALR and HMGB1 were from Elabscience and Bioss (Beijing, China), respectively. Cy5 and FITC-labeled goat anti-rabbit IgG secondary antibodies were from Bioss (Beijing, China) and Invitrogen (USA).</w:t>
      </w:r>
    </w:p>
    <w:p w14:paraId="1E6DEE16">
      <w:pPr>
        <w:ind w:firstLine="420" w:firstLineChars="200"/>
        <w:jc w:val="left"/>
        <w:rPr>
          <w:rFonts w:ascii="Times New Roman" w:hAnsi="Times New Roman" w:eastAsia="宋体" w:cs="Times New Roman"/>
        </w:rPr>
      </w:pPr>
      <w:r>
        <w:rPr>
          <w:rFonts w:ascii="Times New Roman" w:hAnsi="Times New Roman" w:eastAsia="宋体" w:cs="Times New Roman"/>
        </w:rPr>
        <w:t>Flow cytometry antibodies, including APC anti mouse MHCI、Alexa Fluor 488 anti mouse Fas were obtained from Invitrogen (USA). APC anti mouse CD11c、PE anti mouse CD86 were obtained from BioLegend (USA). EV450 anti mouse CD45、FITC anti mouse F4/80、ER780 anti mouse CD11b、PE anti mouse CD206、APC anti mouse CD86、EV450 anti mouse CD11c、PerCP/Cy5.5 anti mouse MHCII、PE anti mouse PD-L1、APC/Cy7 anti mouse CD3、FITC anti mouse CD8a、APC anti mouse CD4、PE/Cy7 anti mouse PD-1 were obtained from Elabscience (Wuhan, China).</w:t>
      </w:r>
    </w:p>
    <w:p w14:paraId="033D8022">
      <w:pPr>
        <w:ind w:firstLine="422" w:firstLineChars="200"/>
        <w:jc w:val="left"/>
        <w:rPr>
          <w:rFonts w:ascii="Times New Roman" w:hAnsi="Times New Roman" w:eastAsia="宋体" w:cs="Times New Roman"/>
        </w:rPr>
      </w:pPr>
      <w:r>
        <w:rPr>
          <w:rFonts w:ascii="Times New Roman" w:hAnsi="Times New Roman" w:eastAsia="宋体" w:cs="Times New Roman"/>
          <w:b/>
          <w:bCs/>
        </w:rPr>
        <w:t>Instruments.</w:t>
      </w:r>
    </w:p>
    <w:p w14:paraId="7A538413">
      <w:pPr>
        <w:ind w:firstLine="420" w:firstLineChars="200"/>
        <w:jc w:val="left"/>
        <w:rPr>
          <w:rFonts w:ascii="Times New Roman" w:hAnsi="Times New Roman" w:eastAsia="宋体" w:cs="Times New Roman"/>
        </w:rPr>
      </w:pPr>
      <w:r>
        <w:rPr>
          <w:rFonts w:ascii="Times New Roman" w:hAnsi="Times New Roman" w:eastAsia="宋体" w:cs="Times New Roman"/>
        </w:rPr>
        <w:t>A Smart-S30 ultrapure water purification system was obtained from Heal Force (Shanghai, China). Magnetic stirring was performed using an HMS-1 stirrer from Shanghai Huxi Industrial Co., Ltd. High-speed centrifugation was carried out using a TGL-16M centrifuge (Xiangyi, Hunan, China). Constant-temperature shaking incubations were performed using an HZQ-F100 incubator (Peiying, Suzhou, China).</w:t>
      </w:r>
    </w:p>
    <w:p w14:paraId="70FED50B">
      <w:pPr>
        <w:ind w:firstLine="420" w:firstLineChars="200"/>
        <w:jc w:val="left"/>
        <w:rPr>
          <w:rFonts w:ascii="Times New Roman" w:hAnsi="Times New Roman" w:eastAsia="宋体" w:cs="Times New Roman"/>
        </w:rPr>
      </w:pPr>
      <w:r>
        <w:rPr>
          <w:rFonts w:ascii="Times New Roman" w:hAnsi="Times New Roman" w:eastAsia="宋体" w:cs="Times New Roman"/>
        </w:rPr>
        <w:t>Rotary evaporation was conducted using an RE-2000A evaporator (Xiande, Shanghai, China). Weighing was performed with a Practum electronic balance (Sartorius, Germany). Cell culture procedures were performed in a BioBase laminar flow hood (Shandong, China) and a BB150 CO₂ incubator (Thermo Fisher Scientific, USA).</w:t>
      </w:r>
    </w:p>
    <w:p w14:paraId="7B4008D8">
      <w:pPr>
        <w:ind w:firstLine="420" w:firstLineChars="200"/>
        <w:jc w:val="left"/>
        <w:rPr>
          <w:rFonts w:ascii="Times New Roman" w:hAnsi="Times New Roman" w:eastAsia="宋体" w:cs="Times New Roman"/>
        </w:rPr>
      </w:pPr>
      <w:r>
        <w:rPr>
          <w:rFonts w:ascii="Times New Roman" w:hAnsi="Times New Roman" w:eastAsia="宋体" w:cs="Times New Roman"/>
        </w:rPr>
        <w:t>Ultrasonication was conducted using a PS-100A cleaner (JieKang, Dongguan, China) and a JY92-IIN cell disruptor (Ningbo Scientz, China). UV-Vis absorbance was measured using a Varioskan LUX microplate reader (Thermo Fisher Scientific, USA). HPLC analysis was performed using the Ultimate 3000 system (Thermo Fisher Scientific, USA), and SEM imaging was done with the Phenom ProX system (Thermo Fisher Scientific, USA).</w:t>
      </w:r>
    </w:p>
    <w:p w14:paraId="62A03E6D">
      <w:pPr>
        <w:ind w:firstLine="420" w:firstLineChars="200"/>
        <w:jc w:val="left"/>
        <w:rPr>
          <w:rFonts w:ascii="Times New Roman" w:hAnsi="Times New Roman" w:eastAsia="宋体" w:cs="Times New Roman"/>
        </w:rPr>
      </w:pPr>
      <w:r>
        <w:rPr>
          <w:rFonts w:ascii="Times New Roman" w:hAnsi="Times New Roman" w:eastAsia="宋体" w:cs="Times New Roman"/>
        </w:rPr>
        <w:t>Freeze-drying was performed using an ALPHA1-2LD lyophilizer (Martin Christ, Germany). FTIR spectra were acquired with a Cary 630 spectrometer (Agilent, USA), and elemental analysis was performed using the iCAP Qnova Series ICP-MS (Thermo Fisher Scientific, USA). Protein separation and detection used a Mini-PROTEAN Tetra electrophoresis system and PowerPac power supply (Bio-Rad, USA), and chemiluminescence imaging was performed with the Amersham ImageQuant 800 system (Cytiva, Sweden).</w:t>
      </w:r>
    </w:p>
    <w:p w14:paraId="3887D475">
      <w:pPr>
        <w:ind w:firstLine="420" w:firstLineChars="200"/>
        <w:jc w:val="left"/>
        <w:rPr>
          <w:rFonts w:ascii="Times New Roman" w:hAnsi="Times New Roman" w:eastAsia="宋体" w:cs="Times New Roman"/>
        </w:rPr>
      </w:pPr>
      <w:r>
        <w:rPr>
          <w:rFonts w:ascii="Times New Roman" w:hAnsi="Times New Roman" w:eastAsia="宋体" w:cs="Times New Roman"/>
        </w:rPr>
        <w:t>Fluorescence microscopy was conducted using an upright microscope (BX53, Olympus, Japan), and flow cytometry was performed on a BD LSRFortessa cytometer (USA). RNA integrity was assessed using a NanoDrop 2000 spectrophotometer and Bioanalyzer 2100 system (Agilent, USA). Tissue grinding was performed with a KZ-III-F homogenizer (Servicebio, Wuhan, China).</w:t>
      </w:r>
    </w:p>
    <w:p w14:paraId="3F62D0A5">
      <w:pPr>
        <w:ind w:firstLine="420" w:firstLineChars="200"/>
        <w:jc w:val="left"/>
        <w:rPr>
          <w:rFonts w:ascii="Times New Roman" w:hAnsi="Times New Roman" w:eastAsia="宋体" w:cs="Times New Roman"/>
        </w:rPr>
      </w:pPr>
      <w:r>
        <w:rPr>
          <w:rFonts w:ascii="Times New Roman" w:hAnsi="Times New Roman" w:eastAsia="宋体" w:cs="Times New Roman"/>
        </w:rPr>
        <w:t>Histological processing was carried out using a Donatello tissue processor (DIPATH, Italy), JB-P5 embedding center (Junjie Electronics, Wuhan, China), RM2016 rotary microtome (Leica, Germany), and KD-P section spreading machine (Kedi, Jinhua, China). Slide baking was done in a GFL-230 oven (Laibori, Tianjin, China), and digital scanning was completed with a KF-FL-005 scanner (Jiangfeng, Ningbo, China).</w:t>
      </w:r>
    </w:p>
    <w:p w14:paraId="7283AFF0">
      <w:pPr>
        <w:widowControl/>
        <w:jc w:val="left"/>
        <w:rPr>
          <w:rFonts w:ascii="Times New Roman" w:hAnsi="Times New Roman" w:eastAsia="宋体" w:cs="Times New Roman"/>
        </w:rPr>
      </w:pPr>
      <w:r>
        <w:rPr>
          <w:rFonts w:ascii="Times New Roman" w:hAnsi="Times New Roman" w:eastAsia="宋体" w:cs="Times New Roman"/>
        </w:rPr>
        <w:br w:type="page"/>
      </w:r>
    </w:p>
    <w:p w14:paraId="5AFB7A65">
      <w:pPr>
        <w:jc w:val="center"/>
        <w:rPr>
          <w:rFonts w:ascii="Times New Roman" w:hAnsi="Times New Roman" w:eastAsia="宋体" w:cs="Times New Roman"/>
        </w:rPr>
      </w:pPr>
      <w:r>
        <w:rPr>
          <w:rFonts w:ascii="Times New Roman" w:hAnsi="Times New Roman" w:eastAsia="宋体" w:cs="Times New Roman"/>
        </w:rPr>
        <w:drawing>
          <wp:inline distT="0" distB="0" distL="0" distR="0">
            <wp:extent cx="3599815" cy="26492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600000" cy="2649505"/>
                    </a:xfrm>
                    <a:prstGeom prst="rect">
                      <a:avLst/>
                    </a:prstGeom>
                    <a:noFill/>
                    <a:ln>
                      <a:noFill/>
                    </a:ln>
                  </pic:spPr>
                </pic:pic>
              </a:graphicData>
            </a:graphic>
          </wp:inline>
        </w:drawing>
      </w:r>
    </w:p>
    <w:p w14:paraId="73E1C797">
      <w:pPr>
        <w:jc w:val="left"/>
        <w:rPr>
          <w:rFonts w:ascii="Times New Roman" w:hAnsi="Times New Roman" w:eastAsia="宋体" w:cs="Times New Roman"/>
        </w:rPr>
      </w:pPr>
      <w:r>
        <w:rPr>
          <w:rFonts w:ascii="Times New Roman" w:hAnsi="Times New Roman" w:eastAsia="宋体" w:cs="Times New Roman"/>
          <w:b/>
          <w:bCs/>
        </w:rPr>
        <w:t xml:space="preserve">Figure S1. </w:t>
      </w:r>
      <w:r>
        <w:rPr>
          <w:rFonts w:ascii="Times New Roman" w:hAnsi="Times New Roman" w:eastAsia="等线" w:cs="Times New Roman"/>
          <w:szCs w:val="24"/>
        </w:rPr>
        <w:t>Cumulative in vitro release profiles of ART (n = 3).</w:t>
      </w:r>
    </w:p>
    <w:p w14:paraId="0B856218">
      <w:pPr>
        <w:jc w:val="center"/>
        <w:rPr>
          <w:rFonts w:ascii="Times New Roman" w:hAnsi="Times New Roman" w:eastAsia="宋体" w:cs="Times New Roman"/>
        </w:rPr>
      </w:pPr>
      <w:r>
        <w:rPr>
          <w:rFonts w:ascii="Times New Roman" w:hAnsi="Times New Roman" w:eastAsia="宋体" w:cs="Times New Roman"/>
        </w:rPr>
        <w:drawing>
          <wp:inline distT="0" distB="0" distL="0" distR="0">
            <wp:extent cx="4679950" cy="526669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680000" cy="5266789"/>
                    </a:xfrm>
                    <a:prstGeom prst="rect">
                      <a:avLst/>
                    </a:prstGeom>
                    <a:noFill/>
                    <a:ln>
                      <a:noFill/>
                    </a:ln>
                  </pic:spPr>
                </pic:pic>
              </a:graphicData>
            </a:graphic>
          </wp:inline>
        </w:drawing>
      </w:r>
    </w:p>
    <w:p w14:paraId="16DA5141">
      <w:pPr>
        <w:jc w:val="left"/>
        <w:rPr>
          <w:rFonts w:ascii="Times New Roman" w:hAnsi="Times New Roman" w:eastAsia="宋体" w:cs="Times New Roman"/>
        </w:rPr>
      </w:pPr>
      <w:r>
        <w:rPr>
          <w:rFonts w:ascii="Times New Roman" w:hAnsi="Times New Roman" w:eastAsia="宋体" w:cs="Times New Roman"/>
          <w:b/>
          <w:bCs/>
        </w:rPr>
        <w:t>Figure S2.</w:t>
      </w:r>
      <w:r>
        <w:rPr>
          <w:rFonts w:ascii="Times New Roman" w:hAnsi="Times New Roman" w:eastAsia="宋体" w:cs="Times New Roman"/>
        </w:rPr>
        <w:t xml:space="preserve"> Co-culture assay of tumor cells and BMDCs.</w:t>
      </w:r>
      <w:r>
        <w:rPr>
          <w:rFonts w:hint="eastAsia" w:ascii="Times New Roman" w:hAnsi="Times New Roman" w:eastAsia="宋体" w:cs="Times New Roman"/>
        </w:rPr>
        <w:t xml:space="preserve"> </w:t>
      </w:r>
      <w:r>
        <w:rPr>
          <w:rFonts w:ascii="Times New Roman" w:hAnsi="Times New Roman" w:eastAsia="宋体" w:cs="Times New Roman"/>
        </w:rPr>
        <w:t>(A) Representative flow cytometry plots showing the maturation of BMDCs.</w:t>
      </w:r>
      <w:r>
        <w:rPr>
          <w:rFonts w:hint="eastAsia" w:ascii="Times New Roman" w:hAnsi="Times New Roman" w:eastAsia="宋体" w:cs="Times New Roman"/>
        </w:rPr>
        <w:t xml:space="preserve"> </w:t>
      </w:r>
      <w:r>
        <w:rPr>
          <w:rFonts w:ascii="Times New Roman" w:hAnsi="Times New Roman" w:eastAsia="宋体" w:cs="Times New Roman"/>
        </w:rPr>
        <w:t>(B) Quantification of mature BMDCs (CD86⁺MHCII⁺ cells, %, n = 3).</w:t>
      </w:r>
      <w:r>
        <w:rPr>
          <w:rFonts w:hint="eastAsia" w:ascii="Times New Roman" w:hAnsi="Times New Roman" w:eastAsia="宋体" w:cs="Times New Roman"/>
        </w:rPr>
        <w:t xml:space="preserve"> </w:t>
      </w:r>
      <w:r>
        <w:rPr>
          <w:rFonts w:ascii="Times New Roman" w:hAnsi="Times New Roman" w:eastAsia="宋体" w:cs="Times New Roman"/>
        </w:rPr>
        <w:t>Statistical significance compared to the PBS group: *P &lt; 0.05; **P &lt; 0.01; ns, not significant.</w:t>
      </w:r>
    </w:p>
    <w:p w14:paraId="6830256C">
      <w:pPr>
        <w:jc w:val="center"/>
        <w:rPr>
          <w:rFonts w:ascii="Times New Roman" w:hAnsi="Times New Roman" w:eastAsia="宋体" w:cs="Times New Roman"/>
        </w:rPr>
      </w:pPr>
      <w:r>
        <w:rPr>
          <w:rFonts w:ascii="Times New Roman" w:hAnsi="Times New Roman" w:eastAsia="宋体" w:cs="Times New Roman"/>
        </w:rPr>
        <w:drawing>
          <wp:inline distT="0" distB="0" distL="0" distR="0">
            <wp:extent cx="4975860" cy="40614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975860" cy="4061460"/>
                    </a:xfrm>
                    <a:prstGeom prst="rect">
                      <a:avLst/>
                    </a:prstGeom>
                    <a:noFill/>
                    <a:ln>
                      <a:noFill/>
                    </a:ln>
                  </pic:spPr>
                </pic:pic>
              </a:graphicData>
            </a:graphic>
          </wp:inline>
        </w:drawing>
      </w:r>
    </w:p>
    <w:p w14:paraId="11E2E129">
      <w:pPr>
        <w:jc w:val="left"/>
        <w:rPr>
          <w:rFonts w:ascii="Times New Roman" w:hAnsi="Times New Roman" w:eastAsia="宋体" w:cs="Times New Roman"/>
        </w:rPr>
      </w:pPr>
      <w:r>
        <w:rPr>
          <w:rFonts w:ascii="Times New Roman" w:hAnsi="Times New Roman" w:eastAsia="宋体" w:cs="Times New Roman"/>
          <w:b/>
          <w:bCs/>
        </w:rPr>
        <w:t>Figure S3.</w:t>
      </w:r>
      <w:r>
        <w:rPr>
          <w:rFonts w:hint="eastAsia" w:ascii="Times New Roman" w:hAnsi="Times New Roman" w:eastAsia="宋体" w:cs="Times New Roman"/>
        </w:rPr>
        <w:t xml:space="preserve"> </w:t>
      </w:r>
      <w:r>
        <w:rPr>
          <w:rFonts w:ascii="Times New Roman" w:hAnsi="Times New Roman" w:eastAsia="宋体" w:cs="Times New Roman"/>
        </w:rPr>
        <w:t>(A) Principal component analysis (PCA) of transcriptomic profiles.</w:t>
      </w:r>
      <w:r>
        <w:rPr>
          <w:rFonts w:hint="eastAsia" w:ascii="Times New Roman" w:hAnsi="Times New Roman" w:eastAsia="宋体" w:cs="Times New Roman"/>
        </w:rPr>
        <w:t xml:space="preserve"> </w:t>
      </w:r>
      <w:r>
        <w:rPr>
          <w:rFonts w:ascii="Times New Roman" w:hAnsi="Times New Roman" w:eastAsia="宋体" w:cs="Times New Roman"/>
        </w:rPr>
        <w:t>(B) Heatmap of sample correlation analysis.</w:t>
      </w:r>
      <w:r>
        <w:rPr>
          <w:rFonts w:hint="eastAsia" w:ascii="Times New Roman" w:hAnsi="Times New Roman" w:eastAsia="宋体" w:cs="Times New Roman"/>
        </w:rPr>
        <w:t xml:space="preserve"> </w:t>
      </w:r>
      <w:r>
        <w:rPr>
          <w:rFonts w:ascii="Times New Roman" w:hAnsi="Times New Roman" w:eastAsia="宋体" w:cs="Times New Roman"/>
        </w:rPr>
        <w:t>(C) Volcano plots of differentially expressed genes among groups.</w:t>
      </w:r>
    </w:p>
    <w:p w14:paraId="79FCC405">
      <w:pPr>
        <w:jc w:val="center"/>
        <w:rPr>
          <w:rFonts w:ascii="Times New Roman" w:hAnsi="Times New Roman" w:eastAsia="宋体" w:cs="Times New Roman"/>
        </w:rPr>
      </w:pPr>
      <w:r>
        <w:rPr>
          <w:rFonts w:ascii="Times New Roman" w:hAnsi="Times New Roman" w:eastAsia="宋体" w:cs="Times New Roman"/>
        </w:rPr>
        <w:drawing>
          <wp:inline distT="0" distB="0" distL="0" distR="0">
            <wp:extent cx="5273040" cy="7673340"/>
            <wp:effectExtent l="0" t="0" r="381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3040" cy="7673340"/>
                    </a:xfrm>
                    <a:prstGeom prst="rect">
                      <a:avLst/>
                    </a:prstGeom>
                    <a:noFill/>
                    <a:ln>
                      <a:noFill/>
                    </a:ln>
                  </pic:spPr>
                </pic:pic>
              </a:graphicData>
            </a:graphic>
          </wp:inline>
        </w:drawing>
      </w:r>
    </w:p>
    <w:p w14:paraId="2EF618BF">
      <w:pPr>
        <w:jc w:val="center"/>
        <w:rPr>
          <w:rFonts w:ascii="Times New Roman" w:hAnsi="Times New Roman" w:eastAsia="宋体" w:cs="Times New Roman"/>
        </w:rPr>
      </w:pPr>
      <w:r>
        <w:rPr>
          <w:rFonts w:ascii="Times New Roman" w:hAnsi="Times New Roman" w:eastAsia="宋体" w:cs="Times New Roman"/>
          <w:b/>
          <w:bCs/>
        </w:rPr>
        <w:t>Figure S4.</w:t>
      </w:r>
      <w:r>
        <w:rPr>
          <w:rFonts w:hint="eastAsia" w:ascii="Times New Roman" w:hAnsi="Times New Roman" w:eastAsia="宋体" w:cs="Times New Roman"/>
        </w:rPr>
        <w:t xml:space="preserve"> </w:t>
      </w:r>
      <w:r>
        <w:rPr>
          <w:rFonts w:ascii="Times New Roman" w:hAnsi="Times New Roman" w:eastAsia="宋体" w:cs="Times New Roman"/>
        </w:rPr>
        <w:t xml:space="preserve">(A) KEGG pathway enrichment bubble plots for differentially expressed genes across groups. (B) GO-GSEA enrichment plot of differentially expressed genes between PBS and MND-ART-GEL groups. </w:t>
      </w:r>
      <w:r>
        <w:rPr>
          <w:rFonts w:ascii="Times New Roman" w:hAnsi="Times New Roman" w:eastAsia="宋体" w:cs="Times New Roman"/>
        </w:rPr>
        <w:drawing>
          <wp:inline distT="0" distB="0" distL="0" distR="0">
            <wp:extent cx="5273040" cy="566166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3040" cy="5661660"/>
                    </a:xfrm>
                    <a:prstGeom prst="rect">
                      <a:avLst/>
                    </a:prstGeom>
                    <a:noFill/>
                    <a:ln>
                      <a:noFill/>
                    </a:ln>
                  </pic:spPr>
                </pic:pic>
              </a:graphicData>
            </a:graphic>
          </wp:inline>
        </w:drawing>
      </w:r>
    </w:p>
    <w:p w14:paraId="78BF8263">
      <w:pPr>
        <w:jc w:val="left"/>
        <w:rPr>
          <w:rFonts w:hint="eastAsia" w:ascii="Times New Roman" w:hAnsi="Times New Roman" w:eastAsia="宋体" w:cs="Times New Roman"/>
        </w:rPr>
      </w:pPr>
      <w:r>
        <w:rPr>
          <w:rFonts w:ascii="Times New Roman" w:hAnsi="Times New Roman" w:eastAsia="宋体" w:cs="Times New Roman"/>
          <w:b/>
          <w:bCs/>
        </w:rPr>
        <w:t>Figure S5.</w:t>
      </w:r>
      <w:r>
        <w:rPr>
          <w:rFonts w:hint="eastAsia" w:ascii="Times New Roman" w:hAnsi="Times New Roman" w:eastAsia="宋体" w:cs="Times New Roman"/>
        </w:rPr>
        <w:t xml:space="preserve"> </w:t>
      </w:r>
      <w:r>
        <w:rPr>
          <w:rFonts w:ascii="Times New Roman" w:hAnsi="Times New Roman" w:eastAsia="宋体" w:cs="Times New Roman"/>
        </w:rPr>
        <w:t>(A) Gating strategy for DCs in tumor-draining lymph nodes (TDLNs).</w:t>
      </w:r>
      <w:r>
        <w:rPr>
          <w:rFonts w:hint="eastAsia" w:ascii="Times New Roman" w:hAnsi="Times New Roman" w:eastAsia="宋体" w:cs="Times New Roman"/>
        </w:rPr>
        <w:t xml:space="preserve"> </w:t>
      </w:r>
      <w:r>
        <w:rPr>
          <w:rFonts w:ascii="Times New Roman" w:hAnsi="Times New Roman" w:eastAsia="宋体" w:cs="Times New Roman"/>
        </w:rPr>
        <w:t>(B) Gating strategy for DCs in tumor tissue.</w:t>
      </w:r>
      <w:r>
        <w:rPr>
          <w:rFonts w:hint="eastAsia" w:ascii="Times New Roman" w:hAnsi="Times New Roman" w:eastAsia="宋体" w:cs="Times New Roman"/>
        </w:rPr>
        <w:t xml:space="preserve"> </w:t>
      </w:r>
      <w:r>
        <w:rPr>
          <w:rFonts w:ascii="Times New Roman" w:hAnsi="Times New Roman" w:eastAsia="宋体" w:cs="Times New Roman"/>
        </w:rPr>
        <w:t>(C) Gating strategy for tumor-associated macrophages (TAMs) in tumor tissue.</w:t>
      </w:r>
      <w:r>
        <w:rPr>
          <w:rFonts w:hint="eastAsia" w:ascii="Times New Roman" w:hAnsi="Times New Roman" w:eastAsia="宋体" w:cs="Times New Roman"/>
        </w:rPr>
        <w:t xml:space="preserve"> </w:t>
      </w:r>
      <w:r>
        <w:rPr>
          <w:rFonts w:ascii="Times New Roman" w:hAnsi="Times New Roman" w:eastAsia="宋体" w:cs="Times New Roman"/>
        </w:rPr>
        <w:t>(D) Gating strategy for T cells in tumor tissue.</w:t>
      </w:r>
    </w:p>
    <w:p w14:paraId="6F6B0970">
      <w:pPr>
        <w:jc w:val="center"/>
        <w:rPr>
          <w:rFonts w:ascii="Times New Roman" w:hAnsi="Times New Roman" w:eastAsia="宋体" w:cs="Times New Roman"/>
        </w:rPr>
      </w:pPr>
      <w:r>
        <w:rPr>
          <w:rFonts w:ascii="Times New Roman" w:hAnsi="Times New Roman" w:eastAsia="宋体" w:cs="Times New Roman"/>
        </w:rPr>
        <w:drawing>
          <wp:inline distT="0" distB="0" distL="0" distR="0">
            <wp:extent cx="4770120" cy="77190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770120" cy="7719060"/>
                    </a:xfrm>
                    <a:prstGeom prst="rect">
                      <a:avLst/>
                    </a:prstGeom>
                    <a:noFill/>
                    <a:ln>
                      <a:noFill/>
                    </a:ln>
                  </pic:spPr>
                </pic:pic>
              </a:graphicData>
            </a:graphic>
          </wp:inline>
        </w:drawing>
      </w:r>
    </w:p>
    <w:p w14:paraId="3F2C4BB3">
      <w:pPr>
        <w:jc w:val="left"/>
        <w:rPr>
          <w:rFonts w:hint="eastAsia" w:ascii="Times New Roman" w:hAnsi="Times New Roman" w:eastAsia="宋体" w:cs="Times New Roman"/>
        </w:rPr>
      </w:pPr>
      <w:r>
        <w:rPr>
          <w:rFonts w:ascii="Times New Roman" w:hAnsi="Times New Roman" w:eastAsia="宋体" w:cs="Times New Roman"/>
          <w:b/>
          <w:bCs/>
        </w:rPr>
        <w:t>Figure S6.</w:t>
      </w:r>
      <w:r>
        <w:rPr>
          <w:rFonts w:hint="eastAsia" w:ascii="Times New Roman" w:hAnsi="Times New Roman" w:eastAsia="宋体" w:cs="Times New Roman"/>
        </w:rPr>
        <w:t xml:space="preserve"> </w:t>
      </w:r>
      <w:r>
        <w:rPr>
          <w:rFonts w:ascii="Times New Roman" w:hAnsi="Times New Roman" w:eastAsia="宋体" w:cs="Times New Roman"/>
        </w:rPr>
        <w:t>(A) Body weight curves of mice during treatment (n = 5).</w:t>
      </w:r>
      <w:r>
        <w:rPr>
          <w:rFonts w:hint="eastAsia" w:ascii="Times New Roman" w:hAnsi="Times New Roman" w:eastAsia="宋体" w:cs="Times New Roman"/>
        </w:rPr>
        <w:t xml:space="preserve"> </w:t>
      </w:r>
      <w:r>
        <w:rPr>
          <w:rFonts w:ascii="Times New Roman" w:hAnsi="Times New Roman" w:eastAsia="宋体" w:cs="Times New Roman"/>
        </w:rPr>
        <w:t>(B) Organ coefficient analysis at the endpoint (n = 5).</w:t>
      </w:r>
      <w:r>
        <w:rPr>
          <w:rFonts w:hint="eastAsia" w:ascii="Times New Roman" w:hAnsi="Times New Roman" w:eastAsia="宋体" w:cs="Times New Roman"/>
        </w:rPr>
        <w:t xml:space="preserve"> </w:t>
      </w:r>
      <w:r>
        <w:rPr>
          <w:rFonts w:ascii="Times New Roman" w:hAnsi="Times New Roman" w:eastAsia="宋体" w:cs="Times New Roman"/>
        </w:rPr>
        <w:t>(C) H&amp;E staining images of major organs.</w:t>
      </w:r>
      <w:r>
        <w:rPr>
          <w:rFonts w:hint="eastAsia" w:ascii="Times New Roman" w:hAnsi="Times New Roman" w:eastAsia="宋体" w:cs="Times New Roman"/>
        </w:rPr>
        <w:t xml:space="preserve"> </w:t>
      </w:r>
      <w:r>
        <w:rPr>
          <w:rFonts w:ascii="Times New Roman" w:hAnsi="Times New Roman" w:eastAsia="宋体" w:cs="Times New Roman"/>
        </w:rPr>
        <w:t>Statistical significance compared to the PBS group: *P &lt; 0.05; **P &lt; 0.01; ns, not significant.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6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923"/>
    <w:rsid w:val="0016435B"/>
    <w:rsid w:val="002D0038"/>
    <w:rsid w:val="00530606"/>
    <w:rsid w:val="006A1923"/>
    <w:rsid w:val="007A43B6"/>
    <w:rsid w:val="008D20C1"/>
    <w:rsid w:val="00A066D5"/>
    <w:rsid w:val="00AA4F06"/>
    <w:rsid w:val="00BD5C43"/>
    <w:rsid w:val="00C75B2C"/>
    <w:rsid w:val="00D172F7"/>
    <w:rsid w:val="00D21C49"/>
    <w:rsid w:val="00E51EC2"/>
    <w:rsid w:val="2F2A7E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uiPriority w:val="99"/>
    <w:rPr>
      <w:sz w:val="18"/>
      <w:szCs w:val="18"/>
    </w:rPr>
  </w:style>
  <w:style w:type="character" w:customStyle="1" w:styleId="7">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894</Words>
  <Characters>5358</Characters>
  <Lines>86</Lines>
  <Paragraphs>23</Paragraphs>
  <TotalTime>0</TotalTime>
  <ScaleCrop>false</ScaleCrop>
  <LinksUpToDate>false</LinksUpToDate>
  <CharactersWithSpaces>6207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2025-06-21T03:44:00Z</dcterms:created>
  <dc:creator>蔡 科能</dc:creator>
  <cp:lastModifiedBy>Jianming Liang</cp:lastModifiedBy>
  <dcterms:modified xsi:type="dcterms:W3CDTF">2025-10-16T03:32:11Z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eyJoZGlkIjoiYTE2NzA0NDM4NWM2OTNkYzIzNzMxMjRhNWU2MWYwZGEifQ==</vt:lpwstr>
  </property>
  <property fmtid="{D5CDD505-2E9C-101B-9397-08002B2CF9AE}" pid="3" name="KSOProductBuildVer">
    <vt:lpwstr>2052-12.1.0.22529</vt:lpwstr>
  </property>
  <property fmtid="{D5CDD505-2E9C-101B-9397-08002B2CF9AE}" pid="4" name="ICV">
    <vt:lpwstr>AE7B0DF3EE5945C8A267E508C4C75800_12</vt:lpwstr>
  </property>
</Properties>
</file>