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/>
          <w:b/>
          <w:sz w:val="28"/>
          <w:szCs w:val="28"/>
        </w:rPr>
      </w:pPr>
      <w:bookmarkStart w:id="0" w:name="XMYWMC"/>
      <w:r>
        <w:rPr>
          <w:rFonts w:ascii="Times New Roman" w:hAnsi="Times New Roman"/>
          <w:sz w:val="32"/>
          <w:szCs w:val="24"/>
        </w:rPr>
        <w:t>Supplementary data</w:t>
      </w:r>
    </w:p>
    <w:p>
      <w:pPr>
        <w:spacing w:line="360" w:lineRule="auto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 xml:space="preserve">A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stepwise-</w:t>
      </w:r>
      <w:r>
        <w:rPr>
          <w:rFonts w:hint="default" w:ascii="Times New Roman" w:hAnsi="Times New Roman" w:cs="Times New Roman"/>
          <w:b/>
          <w:sz w:val="28"/>
          <w:szCs w:val="28"/>
        </w:rPr>
        <w:t xml:space="preserve">targeting strategy for the treatment of cerebral </w:t>
      </w:r>
      <w:bookmarkEnd w:id="0"/>
      <w:r>
        <w:rPr>
          <w:rFonts w:hint="default" w:ascii="Times New Roman" w:hAnsi="Times New Roman" w:cs="Times New Roman"/>
          <w:b/>
          <w:sz w:val="28"/>
          <w:szCs w:val="28"/>
        </w:rPr>
        <w:t>ischemic stroke</w:t>
      </w:r>
    </w:p>
    <w:p>
      <w:pPr>
        <w:spacing w:line="360" w:lineRule="auto"/>
        <w:jc w:val="both"/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Jingbo Hu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#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, Xueying Tan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2</w:t>
      </w:r>
      <w:bookmarkStart w:id="1" w:name="OLE_LINK2"/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#</w:t>
      </w:r>
      <w:bookmarkEnd w:id="1"/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Dongwei Wang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Hongze Liang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</w:rPr>
        <w:t>J</w:t>
      </w:r>
      <w:r>
        <w:rPr>
          <w:rFonts w:ascii="Times New Roman" w:hAnsi="Times New Roman" w:cs="Times New Roman"/>
          <w:sz w:val="21"/>
          <w:szCs w:val="21"/>
        </w:rPr>
        <w:t>iejun Peng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*,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Fengyan Li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, Quan Zhou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, Peiwu Geng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, Shuanghu Wang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Yue Yu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Jin Liu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*</w:t>
      </w:r>
    </w:p>
    <w:p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 xml:space="preserve">1 </w:t>
      </w: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Faculty of Materials Science and Chemical Engineering, Ningbo University, Ningbo 315211, China.</w:t>
      </w:r>
    </w:p>
    <w:p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College of pharmacy, Zhejiang Pharmaceutical College, Ningbo </w:t>
      </w:r>
      <w:r>
        <w:rPr>
          <w:rFonts w:ascii="Times New Roman" w:hAnsi="Times New Roman" w:eastAsia="FangSong_GB2312" w:cs="Times New Roman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315</w:t>
      </w:r>
      <w:r>
        <w:rPr>
          <w:rFonts w:ascii="Times New Roman" w:hAnsi="Times New Roman" w:cs="Times New Roman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100</w:t>
      </w: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, China.</w:t>
      </w:r>
    </w:p>
    <w:p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kern w:val="0"/>
          <w:sz w:val="2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State Key Laboratory for Managing Biotic and Chemical Threats to the Quality and Safety of Agroproducts, Institute of Plant Virology, Ningbo University, Ningbo 315211, Zhejiang, China.</w:t>
      </w:r>
    </w:p>
    <w:p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kern w:val="0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Department</w:t>
      </w:r>
      <w:r>
        <w:rPr>
          <w:rFonts w:hint="eastAsia"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of</w:t>
      </w: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Neurosurgery, The People’s Hospital of Lishui, The Sixth Affiliated Hospital of Wenzhou Medical University, Lishui 323000, China.</w:t>
      </w:r>
    </w:p>
    <w:p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kern w:val="0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Department of pharmacy, Ningbo women and children’s hospital, Ningbo 315012, China</w:t>
      </w:r>
      <w:r>
        <w:rPr>
          <w:rFonts w:hint="eastAsia"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 xml:space="preserve">#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These authors contributed equally to this paper</w:t>
      </w:r>
    </w:p>
    <w:p>
      <w:pPr>
        <w:spacing w:line="360" w:lineRule="auto"/>
        <w:jc w:val="both"/>
        <w:rPr>
          <w:rFonts w:ascii="Times New Roman" w:hAnsi="Times New Roman" w:cs="Times New Roman"/>
          <w:color w:val="000000"/>
          <w:szCs w:val="21"/>
        </w:rPr>
      </w:pPr>
    </w:p>
    <w:p>
      <w:pPr>
        <w:spacing w:line="360" w:lineRule="auto"/>
        <w:rPr>
          <w:rFonts w:hint="default" w:ascii="Times New Roman" w:hAnsi="Times New Roman" w:cs="Times New Roman"/>
          <w:kern w:val="0"/>
          <w:sz w:val="21"/>
          <w:szCs w:val="21"/>
        </w:rPr>
      </w:pPr>
    </w:p>
    <w:p>
      <w:pPr>
        <w:jc w:val="center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</w:rPr>
        <w:br w:type="page"/>
      </w:r>
      <w:r>
        <w:rPr>
          <w:rFonts w:hint="default" w:ascii="Times New Roman" w:hAnsi="Times New Roman" w:cs="Times New Roman"/>
          <w:sz w:val="24"/>
        </w:rPr>
        <w:drawing>
          <wp:inline distT="0" distB="0" distL="114300" distR="114300">
            <wp:extent cx="2588895" cy="2490470"/>
            <wp:effectExtent l="0" t="0" r="1905" b="889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88895" cy="249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S1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Semi-quantitative fluorescent analysis of live and dead cells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cs="Times New Roman"/>
        </w:rPr>
        <w:br w:type="page"/>
      </w:r>
      <w:r>
        <w:drawing>
          <wp:inline distT="0" distB="0" distL="114300" distR="114300">
            <wp:extent cx="4805680" cy="3619500"/>
            <wp:effectExtent l="0" t="0" r="10160" b="762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568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 xml:space="preserve">H NMR spectrum of </w:t>
      </w:r>
      <w:r>
        <w:rPr>
          <w:rFonts w:hint="eastAsia" w:ascii="Times New Roman" w:hAnsi="Times New Roman" w:cs="Times New Roman"/>
          <w:lang w:val="en-US" w:eastAsia="zh-CN"/>
        </w:rPr>
        <w:t>TGN-PEG-PLGA</w:t>
      </w:r>
      <w:r>
        <w:rPr>
          <w:rFonts w:hint="default" w:ascii="Times New Roman" w:hAnsi="Times New Roman" w:cs="Times New Roman"/>
          <w:lang w:val="en-US" w:eastAsia="zh-CN"/>
        </w:rPr>
        <w:t xml:space="preserve"> (500 MHz, </w:t>
      </w:r>
      <w:r>
        <w:rPr>
          <w:rFonts w:hint="eastAsia" w:ascii="Times New Roman" w:hAnsi="Times New Roman" w:cs="Times New Roman"/>
          <w:lang w:val="en-US" w:eastAsia="zh-CN"/>
        </w:rPr>
        <w:t>DMSO-d6</w:t>
      </w:r>
      <w:r>
        <w:rPr>
          <w:rFonts w:hint="default" w:ascii="Times New Roman" w:hAnsi="Times New Roman" w:cs="Times New Roman"/>
          <w:lang w:val="en-US" w:eastAsia="zh-CN"/>
        </w:rPr>
        <w:t>).</w:t>
      </w:r>
    </w:p>
    <w:p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宋体" w:cs="Times New Roman"/>
          <w:lang w:eastAsia="zh-CN"/>
        </w:rPr>
        <w:br w:type="page"/>
      </w:r>
      <w:r>
        <w:drawing>
          <wp:inline distT="0" distB="0" distL="114300" distR="114300">
            <wp:extent cx="4862830" cy="3619500"/>
            <wp:effectExtent l="0" t="0" r="13970" b="762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6283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lang w:val="en-US" w:eastAsia="zh-CN"/>
        </w:rPr>
        <w:t xml:space="preserve">H NMR spectrum of </w:t>
      </w:r>
      <w:r>
        <w:rPr>
          <w:rFonts w:hint="eastAsia" w:ascii="Times New Roman" w:hAnsi="Times New Roman" w:cs="Times New Roman"/>
          <w:lang w:val="en-US" w:eastAsia="zh-CN"/>
        </w:rPr>
        <w:t>SHp-PEG-PLGA</w:t>
      </w:r>
      <w:r>
        <w:rPr>
          <w:rFonts w:hint="default" w:ascii="Times New Roman" w:hAnsi="Times New Roman" w:cs="Times New Roman"/>
          <w:lang w:val="en-US" w:eastAsia="zh-CN"/>
        </w:rPr>
        <w:t xml:space="preserve"> (500 MHz, </w:t>
      </w:r>
      <w:r>
        <w:rPr>
          <w:rFonts w:hint="eastAsia" w:ascii="Times New Roman" w:hAnsi="Times New Roman" w:cs="Times New Roman"/>
          <w:lang w:val="en-US" w:eastAsia="zh-CN"/>
        </w:rPr>
        <w:t>DMSO-d6</w:t>
      </w:r>
      <w:r>
        <w:rPr>
          <w:rFonts w:hint="default" w:ascii="Times New Roman" w:hAnsi="Times New Roman" w:cs="Times New Roman"/>
          <w:lang w:val="en-US" w:eastAsia="zh-CN"/>
        </w:rPr>
        <w:t>).</w:t>
      </w:r>
    </w:p>
    <w:p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br w:type="page"/>
      </w:r>
      <w:r>
        <w:rPr>
          <w:rFonts w:hint="default" w:ascii="Times New Roman" w:hAnsi="Times New Roman" w:eastAsia="宋体" w:cs="Times New Roman"/>
          <w:lang w:eastAsia="zh-CN"/>
        </w:rPr>
        <w:drawing>
          <wp:inline distT="0" distB="0" distL="114300" distR="114300">
            <wp:extent cx="2801620" cy="2333625"/>
            <wp:effectExtent l="0" t="0" r="2540" b="13335"/>
            <wp:docPr id="2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3"/>
                    <pic:cNvPicPr>
                      <a:picLocks noChangeAspect="1"/>
                    </pic:cNvPicPr>
                  </pic:nvPicPr>
                  <pic:blipFill>
                    <a:blip r:embed="rId7"/>
                    <a:srcRect b="3290"/>
                    <a:stretch>
                      <a:fillRect/>
                    </a:stretch>
                  </pic:blipFill>
                  <pic:spPr>
                    <a:xfrm>
                      <a:off x="0" y="0"/>
                      <a:ext cx="280162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jc w:val="both"/>
        <w:textAlignment w:val="auto"/>
        <w:rPr>
          <w:rFonts w:hint="default" w:ascii="Times New Roman" w:hAnsi="Times New Roman" w:cs="Times New Roman"/>
          <w:color w:val="000000"/>
          <w:kern w:val="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000000"/>
        </w:rPr>
        <w:t>Intracellular fluorescence intensity, measured by flow cytometry,</w:t>
      </w:r>
      <w:r>
        <w:rPr>
          <w:rFonts w:hint="default" w:ascii="Times New Roman" w:hAnsi="Times New Roman" w:cs="Times New Roman"/>
          <w:color w:val="000000"/>
          <w:kern w:val="0"/>
        </w:rPr>
        <w:t xml:space="preserve"> of 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bEnd.3 cells ncubated with TGN/SHp/cy3 micelles for </w:t>
      </w:r>
      <w:r>
        <w:rPr>
          <w:rFonts w:hint="default" w:ascii="Times New Roman" w:hAnsi="Times New Roman" w:cs="Times New Roman"/>
          <w:color w:val="000000"/>
          <w:kern w:val="0"/>
        </w:rPr>
        <w:t>for 0.5 and 2.0</w:t>
      </w:r>
      <w:r>
        <w:rPr>
          <w:rFonts w:hint="eastAsia" w:ascii="Times New Roman" w:hAnsi="Times New Roman" w:cs="Times New Roman"/>
          <w:color w:val="000000"/>
          <w:kern w:val="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</w:rPr>
        <w:t>h, TGN/cy3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 </w:t>
      </w:r>
      <w:bookmarkStart w:id="2" w:name="OLE_LINK49"/>
      <w:r>
        <w:rPr>
          <w:rFonts w:hint="default" w:ascii="Times New Roman" w:hAnsi="Times New Roman" w:cs="Times New Roman"/>
          <w:color w:val="000000"/>
          <w:szCs w:val="21"/>
        </w:rPr>
        <w:t>micelles</w:t>
      </w:r>
      <w:bookmarkEnd w:id="2"/>
      <w:r>
        <w:rPr>
          <w:rFonts w:hint="default" w:ascii="Times New Roman" w:hAnsi="Times New Roman" w:cs="Times New Roman"/>
          <w:color w:val="000000"/>
          <w:kern w:val="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color w:val="000000"/>
          <w:kern w:val="0"/>
        </w:rPr>
        <w:t>SHp/cy3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 micelles</w:t>
      </w:r>
      <w:r>
        <w:rPr>
          <w:rFonts w:hint="default" w:ascii="Times New Roman" w:hAnsi="Times New Roman" w:cs="Times New Roman"/>
          <w:color w:val="000000"/>
          <w:kern w:val="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color w:val="000000"/>
          <w:kern w:val="0"/>
        </w:rPr>
        <w:t>cy3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 micelles </w:t>
      </w:r>
      <w:r>
        <w:rPr>
          <w:rFonts w:hint="default" w:ascii="Times New Roman" w:hAnsi="Times New Roman" w:cs="Times New Roman"/>
          <w:color w:val="000000"/>
          <w:kern w:val="0"/>
        </w:rPr>
        <w:t xml:space="preserve">and free cy3 as control (n = 6, </w:t>
      </w:r>
      <w:r>
        <w:rPr>
          <w:rFonts w:hint="default" w:ascii="Times New Roman" w:hAnsi="Times New Roman" w:cs="Times New Roman"/>
          <w:i/>
          <w:iCs/>
          <w:color w:val="000000"/>
          <w:kern w:val="0"/>
        </w:rPr>
        <w:t>P</w:t>
      </w:r>
      <w:r>
        <w:rPr>
          <w:rFonts w:hint="default" w:ascii="Times New Roman" w:hAnsi="Times New Roman" w:cs="Times New Roman"/>
          <w:color w:val="000000"/>
          <w:kern w:val="0"/>
        </w:rPr>
        <w:t>&gt;0.05)</w:t>
      </w:r>
      <w:r>
        <w:rPr>
          <w:rFonts w:hint="default" w:ascii="Times New Roman" w:hAnsi="Times New Roman" w:cs="Times New Roman"/>
          <w:color w:val="000000"/>
          <w:kern w:val="0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color w:val="000000"/>
          <w:kern w:val="0"/>
          <w:lang w:val="en-US" w:eastAsia="zh-CN"/>
        </w:rPr>
        <w:br w:type="page"/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2555240" cy="1866900"/>
            <wp:effectExtent l="0" t="0" r="5080" b="762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rcRect l="3622" r="9419"/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</w:rPr>
        <w:t>The transport ratios (%) of HRP across BBB model during 24</w:t>
      </w:r>
      <w:r>
        <w:rPr>
          <w:rFonts w:hint="default" w:ascii="Times New Roman" w:hAnsi="Times New Roman" w:cs="Times New Roman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</w:rPr>
        <w:t>h</w:t>
      </w:r>
      <w:r>
        <w:rPr>
          <w:rFonts w:hint="default" w:ascii="Times New Roman" w:hAnsi="Times New Roman" w:cs="Times New Roman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</w:rPr>
        <w:t>(</w:t>
      </w:r>
      <w:r>
        <w:rPr>
          <w:rFonts w:hint="default" w:ascii="Times New Roman" w:hAnsi="Times New Roman" w:cs="Times New Roman"/>
          <w:color w:val="000000"/>
          <w:kern w:val="0"/>
        </w:rPr>
        <w:t>n = 6</w:t>
      </w:r>
      <w:r>
        <w:rPr>
          <w:rFonts w:hint="default" w:ascii="Times New Roman" w:hAnsi="Times New Roman" w:cs="Times New Roman"/>
          <w:szCs w:val="21"/>
        </w:rPr>
        <w:t>)</w:t>
      </w:r>
      <w:r>
        <w:rPr>
          <w:rFonts w:hint="default" w:ascii="Times New Roman" w:hAnsi="Times New Roman" w:cs="Times New Roman"/>
          <w:szCs w:val="21"/>
          <w:lang w:val="en-US" w:eastAsia="zh-CN"/>
        </w:rPr>
        <w:t>.</w:t>
      </w:r>
    </w:p>
    <w:p>
      <w:pPr>
        <w:jc w:val="center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eastAsia="宋体" w:cs="Times New Roman"/>
          <w:lang w:eastAsia="zh-CN"/>
        </w:rPr>
        <w:br w:type="page"/>
      </w:r>
      <w:r>
        <w:rPr>
          <w:rFonts w:hint="default" w:ascii="Times New Roman" w:hAnsi="Times New Roman" w:cs="Times New Roman"/>
          <w:lang w:eastAsia="zh-CN"/>
        </w:rPr>
        <w:drawing>
          <wp:inline distT="0" distB="0" distL="114300" distR="114300">
            <wp:extent cx="2851785" cy="2321560"/>
            <wp:effectExtent l="0" t="0" r="13335" b="10160"/>
            <wp:docPr id="3" name="图片 6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1785" cy="232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color w:val="000000"/>
          <w:kern w:val="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6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000000"/>
        </w:rPr>
        <w:t>Intracellular fluorescence intensity, measured by flow cytometry,</w:t>
      </w:r>
      <w:r>
        <w:rPr>
          <w:rFonts w:hint="default" w:ascii="Times New Roman" w:hAnsi="Times New Roman" w:cs="Times New Roman"/>
          <w:color w:val="000000"/>
          <w:kern w:val="0"/>
        </w:rPr>
        <w:t xml:space="preserve"> of 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PC-12 cells ncubated with TGN/SHp/cy3 micelles for </w:t>
      </w:r>
      <w:r>
        <w:rPr>
          <w:rFonts w:hint="default" w:ascii="Times New Roman" w:hAnsi="Times New Roman" w:cs="Times New Roman"/>
          <w:color w:val="000000"/>
          <w:kern w:val="0"/>
        </w:rPr>
        <w:t>for 0.5 and 2.0</w:t>
      </w:r>
      <w:r>
        <w:rPr>
          <w:rFonts w:hint="eastAsia" w:ascii="Times New Roman" w:hAnsi="Times New Roman" w:cs="Times New Roman"/>
          <w:color w:val="000000"/>
          <w:kern w:val="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</w:rPr>
        <w:t>h, TGN/cy3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 micelles</w:t>
      </w:r>
      <w:r>
        <w:rPr>
          <w:rFonts w:hint="eastAsia" w:ascii="Times New Roman" w:hAnsi="Times New Roman" w:cs="Times New Roman"/>
          <w:color w:val="000000"/>
          <w:kern w:val="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color w:val="000000"/>
          <w:kern w:val="0"/>
        </w:rPr>
        <w:t>SHp/cy3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 micelles</w:t>
      </w:r>
      <w:r>
        <w:rPr>
          <w:rFonts w:hint="eastAsia" w:ascii="Times New Roman" w:hAnsi="Times New Roman" w:cs="Times New Roman"/>
          <w:color w:val="000000"/>
          <w:kern w:val="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color w:val="000000"/>
          <w:kern w:val="0"/>
        </w:rPr>
        <w:t>cy3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 micelles </w:t>
      </w:r>
      <w:r>
        <w:rPr>
          <w:rFonts w:hint="default" w:ascii="Times New Roman" w:hAnsi="Times New Roman" w:cs="Times New Roman"/>
          <w:color w:val="000000"/>
          <w:kern w:val="0"/>
        </w:rPr>
        <w:t>and free cy3 as control (n = 6</w:t>
      </w:r>
      <w:r>
        <w:rPr>
          <w:rFonts w:hint="eastAsia" w:ascii="Times New Roman" w:hAnsi="Times New Roman" w:cs="Times New Roman"/>
          <w:color w:val="000000"/>
          <w:kern w:val="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color w:val="000000"/>
          <w:kern w:val="0"/>
        </w:rPr>
        <w:t>P&gt;0.05)</w:t>
      </w:r>
      <w:r>
        <w:rPr>
          <w:rFonts w:hint="eastAsia" w:ascii="Times New Roman" w:hAnsi="Times New Roman" w:cs="Times New Roman"/>
          <w:color w:val="000000"/>
          <w:kern w:val="0"/>
          <w:lang w:val="en-US" w:eastAsia="zh-CN"/>
        </w:rPr>
        <w:t>.</w:t>
      </w:r>
    </w:p>
    <w:p>
      <w:pPr>
        <w:spacing w:line="360" w:lineRule="auto"/>
        <w:rPr>
          <w:rFonts w:hint="eastAsia" w:ascii="Times New Roman" w:hAnsi="Times New Roman" w:cs="Times New Roman"/>
          <w:color w:val="000000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color w:val="000000"/>
          <w:kern w:val="0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color w:val="000000"/>
          <w:sz w:val="21"/>
          <w:szCs w:val="21"/>
        </w:rPr>
      </w:pPr>
      <w:r>
        <w:rPr>
          <w:rFonts w:hint="eastAsia" w:ascii="Times New Roman" w:hAnsi="Times New Roman" w:cs="Times New Roman"/>
          <w:color w:val="000000"/>
          <w:kern w:val="0"/>
          <w:lang w:val="en-US" w:eastAsia="zh-CN"/>
        </w:rPr>
        <w:br w:type="page"/>
      </w:r>
      <w:r>
        <w:rPr>
          <w:rFonts w:hint="default" w:ascii="Times New Roman" w:hAnsi="Times New Roman" w:cs="Times New Roman"/>
          <w:b/>
          <w:bCs/>
          <w:color w:val="000000"/>
          <w:sz w:val="21"/>
          <w:szCs w:val="21"/>
          <w:lang w:val="en-US" w:eastAsia="zh-CN"/>
        </w:rPr>
        <w:t>Table S</w:t>
      </w:r>
      <w:bookmarkStart w:id="3" w:name="_GoBack"/>
      <w:r>
        <w:rPr>
          <w:rFonts w:hint="eastAsia" w:ascii="Times New Roman" w:hAnsi="Times New Roman" w:cs="Times New Roman"/>
          <w:b/>
          <w:bCs/>
          <w:color w:val="000000"/>
          <w:sz w:val="21"/>
          <w:szCs w:val="21"/>
          <w:lang w:val="en-US" w:eastAsia="zh-CN"/>
        </w:rPr>
        <w:t>1</w:t>
      </w:r>
      <w:bookmarkEnd w:id="3"/>
      <w:r>
        <w:rPr>
          <w:rFonts w:hint="default" w:ascii="Times New Roman" w:hAnsi="Times New Roman" w:cs="Times New Roman"/>
          <w:b/>
          <w:color w:val="000000"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21"/>
          <w:szCs w:val="21"/>
        </w:rPr>
        <w:t xml:space="preserve">Characterization of </w:t>
      </w:r>
      <w:r>
        <w:rPr>
          <w:rFonts w:hint="default" w:ascii="Times New Roman" w:hAnsi="Times New Roman" w:cs="Times New Roman"/>
          <w:b w:val="0"/>
          <w:bCs w:val="0"/>
          <w:color w:val="000000"/>
          <w:sz w:val="21"/>
          <w:szCs w:val="21"/>
        </w:rPr>
        <w:t>TGN/SHp/TPP-MLT micelles</w:t>
      </w:r>
      <w:r>
        <w:rPr>
          <w:rFonts w:hint="default" w:ascii="Times New Roman" w:hAnsi="Times New Roman" w:cs="Times New Roman"/>
          <w:color w:val="000000"/>
          <w:sz w:val="21"/>
          <w:szCs w:val="21"/>
        </w:rPr>
        <w:t xml:space="preserve"> (n = 6)</w:t>
      </w:r>
    </w:p>
    <w:tbl>
      <w:tblPr>
        <w:tblStyle w:val="7"/>
        <w:tblW w:w="9355" w:type="dxa"/>
        <w:tblInd w:w="-12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single" w:color="000000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1704"/>
        <w:gridCol w:w="1236"/>
        <w:gridCol w:w="1884"/>
        <w:gridCol w:w="1368"/>
        <w:gridCol w:w="1392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7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eeding ratio (%)</w:t>
            </w:r>
          </w:p>
        </w:tc>
        <w:tc>
          <w:tcPr>
            <w:tcW w:w="170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Particle size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(nm)</w:t>
            </w:r>
          </w:p>
        </w:tc>
        <w:tc>
          <w:tcPr>
            <w:tcW w:w="1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PDI</w:t>
            </w:r>
          </w:p>
        </w:tc>
        <w:tc>
          <w:tcPr>
            <w:tcW w:w="18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Zeta potential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(mV)</w:t>
            </w:r>
          </w:p>
        </w:tc>
        <w:tc>
          <w:tcPr>
            <w:tcW w:w="276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1"/>
                <w:szCs w:val="21"/>
              </w:rPr>
              <w:t>TPP-MLT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71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704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6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884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36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EE (%)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DL (%)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1771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70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88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.6 ± 5.3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84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.2 ±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97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.5 ± 4.9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.4 ±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 ±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 xml:space="preserve"> ± 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 ± 0.09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0.19 ± 0.05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0.1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 xml:space="preserve"> ± 0.06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0.1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 xml:space="preserve"> ± 0.04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0.1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 xml:space="preserve"> ± 0.05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0.17 ± 0.04</w:t>
            </w:r>
          </w:p>
        </w:tc>
        <w:tc>
          <w:tcPr>
            <w:tcW w:w="188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-8.1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 ± 0.9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-8.5 ± 0.7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 ± 0.9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.6 ± 0.5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.3 ± 0.8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-8.3 ± 1.4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9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.52 ± 1.23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88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.24 ± 1.34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.45 ±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04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74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.82 ± 1.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70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.88 ± 1.13</w:t>
            </w:r>
          </w:p>
        </w:tc>
        <w:tc>
          <w:tcPr>
            <w:tcW w:w="139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.29 ± 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94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 ±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89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 ±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95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9.62 ± 0.84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10.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06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 xml:space="preserve"> ± 0.96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</w:rPr>
        <w:t xml:space="preserve">PDI, polydispersity index; </w:t>
      </w:r>
      <w:r>
        <w:rPr>
          <w:rFonts w:hint="default" w:ascii="Times New Roman" w:hAnsi="Times New Roman" w:cs="Times New Roman"/>
          <w:color w:val="000000"/>
          <w:kern w:val="0"/>
          <w:sz w:val="21"/>
          <w:szCs w:val="21"/>
        </w:rPr>
        <w:t>EE, encapsulation efficiency; DL, drug loading</w:t>
      </w:r>
      <w:r>
        <w:rPr>
          <w:rFonts w:hint="eastAsia" w:ascii="Times New Roman" w:hAnsi="Times New Roman" w:cs="Times New Roman"/>
          <w:color w:val="000000"/>
          <w:kern w:val="0"/>
          <w:sz w:val="21"/>
          <w:szCs w:val="21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color w:val="000000"/>
          <w:kern w:val="0"/>
          <w:szCs w:val="21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color w:val="000000"/>
          <w:kern w:val="0"/>
          <w:szCs w:val="21"/>
        </w:rPr>
      </w:pPr>
    </w:p>
    <w:p>
      <w:pPr>
        <w:autoSpaceDE w:val="0"/>
        <w:autoSpaceDN w:val="0"/>
        <w:adjustRightInd w:val="0"/>
        <w:spacing w:line="240" w:lineRule="auto"/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color w:val="000000"/>
          <w:kern w:val="0"/>
          <w:szCs w:val="21"/>
          <w:lang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no Letter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55ev2thf9ad9eds9avaf5apvtx20tteeap&quot;&gt;A cascade targeting strategy for the treatment of cerebral ischemic stroke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/record-ids&gt;&lt;/item&gt;&lt;/Libraries&gt;"/>
  </w:docVars>
  <w:rsids>
    <w:rsidRoot w:val="00172A27"/>
    <w:rsid w:val="00073192"/>
    <w:rsid w:val="0010389C"/>
    <w:rsid w:val="001625AB"/>
    <w:rsid w:val="00172A27"/>
    <w:rsid w:val="001835CB"/>
    <w:rsid w:val="00223EF1"/>
    <w:rsid w:val="00245407"/>
    <w:rsid w:val="0025436D"/>
    <w:rsid w:val="002E32DA"/>
    <w:rsid w:val="003724BB"/>
    <w:rsid w:val="00385E0B"/>
    <w:rsid w:val="003937DA"/>
    <w:rsid w:val="003E71C3"/>
    <w:rsid w:val="00411580"/>
    <w:rsid w:val="004253DC"/>
    <w:rsid w:val="00445EB6"/>
    <w:rsid w:val="00464E4B"/>
    <w:rsid w:val="004E00E1"/>
    <w:rsid w:val="005054F1"/>
    <w:rsid w:val="00512CD0"/>
    <w:rsid w:val="005E05D2"/>
    <w:rsid w:val="005F71E3"/>
    <w:rsid w:val="00603DB0"/>
    <w:rsid w:val="006465B4"/>
    <w:rsid w:val="00664AD8"/>
    <w:rsid w:val="00683033"/>
    <w:rsid w:val="007115E6"/>
    <w:rsid w:val="008750E6"/>
    <w:rsid w:val="0087622D"/>
    <w:rsid w:val="00881129"/>
    <w:rsid w:val="00882651"/>
    <w:rsid w:val="008979E1"/>
    <w:rsid w:val="008A154C"/>
    <w:rsid w:val="00903D0D"/>
    <w:rsid w:val="00983A6A"/>
    <w:rsid w:val="009B3957"/>
    <w:rsid w:val="009D433A"/>
    <w:rsid w:val="00AE379E"/>
    <w:rsid w:val="00B445F1"/>
    <w:rsid w:val="00C4664A"/>
    <w:rsid w:val="00CA681A"/>
    <w:rsid w:val="00CC5DEA"/>
    <w:rsid w:val="00D152F4"/>
    <w:rsid w:val="00DC06D3"/>
    <w:rsid w:val="00E1240D"/>
    <w:rsid w:val="00E72F88"/>
    <w:rsid w:val="00F02FDE"/>
    <w:rsid w:val="00F1299F"/>
    <w:rsid w:val="014D0B1B"/>
    <w:rsid w:val="02176543"/>
    <w:rsid w:val="02D354A9"/>
    <w:rsid w:val="031E2EAC"/>
    <w:rsid w:val="037E7B2C"/>
    <w:rsid w:val="03843DC6"/>
    <w:rsid w:val="03EE29F5"/>
    <w:rsid w:val="04042109"/>
    <w:rsid w:val="04385F6F"/>
    <w:rsid w:val="05282677"/>
    <w:rsid w:val="05583BAC"/>
    <w:rsid w:val="05BC111A"/>
    <w:rsid w:val="05BE46BD"/>
    <w:rsid w:val="06755E3B"/>
    <w:rsid w:val="07201CA4"/>
    <w:rsid w:val="07EA4B6F"/>
    <w:rsid w:val="07FB6C5E"/>
    <w:rsid w:val="08AE25CE"/>
    <w:rsid w:val="08B03AB4"/>
    <w:rsid w:val="0969294E"/>
    <w:rsid w:val="09FB146F"/>
    <w:rsid w:val="0A2257CD"/>
    <w:rsid w:val="0A8E6A85"/>
    <w:rsid w:val="0B505186"/>
    <w:rsid w:val="0B9E5BE6"/>
    <w:rsid w:val="0BA8358B"/>
    <w:rsid w:val="0BE7355D"/>
    <w:rsid w:val="0C6C68E4"/>
    <w:rsid w:val="0C7D5FDC"/>
    <w:rsid w:val="0C914F49"/>
    <w:rsid w:val="0DD02920"/>
    <w:rsid w:val="0EFA6349"/>
    <w:rsid w:val="0F1D2B11"/>
    <w:rsid w:val="0F403821"/>
    <w:rsid w:val="1060422F"/>
    <w:rsid w:val="10915F18"/>
    <w:rsid w:val="10AA4615"/>
    <w:rsid w:val="11001E5E"/>
    <w:rsid w:val="11802D34"/>
    <w:rsid w:val="11DC0F74"/>
    <w:rsid w:val="12FF3469"/>
    <w:rsid w:val="13230908"/>
    <w:rsid w:val="137026A8"/>
    <w:rsid w:val="13ED447F"/>
    <w:rsid w:val="14902040"/>
    <w:rsid w:val="14AE0EA7"/>
    <w:rsid w:val="15370BC3"/>
    <w:rsid w:val="1554188C"/>
    <w:rsid w:val="15840B40"/>
    <w:rsid w:val="16077847"/>
    <w:rsid w:val="16292D3A"/>
    <w:rsid w:val="16F75FB1"/>
    <w:rsid w:val="175F7A31"/>
    <w:rsid w:val="17A2720C"/>
    <w:rsid w:val="17C7703B"/>
    <w:rsid w:val="18066794"/>
    <w:rsid w:val="18115FA7"/>
    <w:rsid w:val="18D168EB"/>
    <w:rsid w:val="194B1F12"/>
    <w:rsid w:val="199312A2"/>
    <w:rsid w:val="1A01096B"/>
    <w:rsid w:val="1A1100BD"/>
    <w:rsid w:val="1AEE4CFB"/>
    <w:rsid w:val="1D1A1C9C"/>
    <w:rsid w:val="1D773DF8"/>
    <w:rsid w:val="1E3B2560"/>
    <w:rsid w:val="1EA44600"/>
    <w:rsid w:val="1F664278"/>
    <w:rsid w:val="1F7E27C7"/>
    <w:rsid w:val="1FAC2E2F"/>
    <w:rsid w:val="1FB4016E"/>
    <w:rsid w:val="20A40877"/>
    <w:rsid w:val="210C4483"/>
    <w:rsid w:val="21181559"/>
    <w:rsid w:val="212C3222"/>
    <w:rsid w:val="218667AE"/>
    <w:rsid w:val="225907BE"/>
    <w:rsid w:val="225A613B"/>
    <w:rsid w:val="231B383D"/>
    <w:rsid w:val="257B31B3"/>
    <w:rsid w:val="25D064FB"/>
    <w:rsid w:val="25DD6842"/>
    <w:rsid w:val="260F77DA"/>
    <w:rsid w:val="26CF31F4"/>
    <w:rsid w:val="27391059"/>
    <w:rsid w:val="27B87DFF"/>
    <w:rsid w:val="28230EC5"/>
    <w:rsid w:val="285331A2"/>
    <w:rsid w:val="28EA7AFB"/>
    <w:rsid w:val="296D0573"/>
    <w:rsid w:val="299268FA"/>
    <w:rsid w:val="29BD58C6"/>
    <w:rsid w:val="2B5D0B7C"/>
    <w:rsid w:val="2BC46435"/>
    <w:rsid w:val="2C2A14F4"/>
    <w:rsid w:val="2C5647D9"/>
    <w:rsid w:val="2CCC4DFB"/>
    <w:rsid w:val="2ECD31EA"/>
    <w:rsid w:val="2F270F46"/>
    <w:rsid w:val="2F433D65"/>
    <w:rsid w:val="30626BC5"/>
    <w:rsid w:val="31415107"/>
    <w:rsid w:val="339A6FE0"/>
    <w:rsid w:val="33B91BBD"/>
    <w:rsid w:val="33C4577B"/>
    <w:rsid w:val="344D0207"/>
    <w:rsid w:val="34700A03"/>
    <w:rsid w:val="355174B5"/>
    <w:rsid w:val="35683B08"/>
    <w:rsid w:val="3742587C"/>
    <w:rsid w:val="377E4905"/>
    <w:rsid w:val="38DA159D"/>
    <w:rsid w:val="39F26FD4"/>
    <w:rsid w:val="3A7A3B78"/>
    <w:rsid w:val="3B0726B4"/>
    <w:rsid w:val="3BDA41CF"/>
    <w:rsid w:val="3C0014AE"/>
    <w:rsid w:val="3C193015"/>
    <w:rsid w:val="3C3A7A02"/>
    <w:rsid w:val="3CC72B48"/>
    <w:rsid w:val="3DF22435"/>
    <w:rsid w:val="3F3A061F"/>
    <w:rsid w:val="3F814BD0"/>
    <w:rsid w:val="3FC40EB2"/>
    <w:rsid w:val="40603E72"/>
    <w:rsid w:val="40CD566C"/>
    <w:rsid w:val="41482B02"/>
    <w:rsid w:val="42145E74"/>
    <w:rsid w:val="42210795"/>
    <w:rsid w:val="42A83E26"/>
    <w:rsid w:val="42AE584A"/>
    <w:rsid w:val="431136AD"/>
    <w:rsid w:val="43BE228E"/>
    <w:rsid w:val="46031BAF"/>
    <w:rsid w:val="47E13E17"/>
    <w:rsid w:val="483E046B"/>
    <w:rsid w:val="487503EB"/>
    <w:rsid w:val="48983AD2"/>
    <w:rsid w:val="48B320BC"/>
    <w:rsid w:val="48C12BD8"/>
    <w:rsid w:val="48D8784E"/>
    <w:rsid w:val="49544011"/>
    <w:rsid w:val="49D2516F"/>
    <w:rsid w:val="49E01F0B"/>
    <w:rsid w:val="49F86FB6"/>
    <w:rsid w:val="4A602B6C"/>
    <w:rsid w:val="4A671DC4"/>
    <w:rsid w:val="4AE34FB6"/>
    <w:rsid w:val="4AFD7902"/>
    <w:rsid w:val="4B9F4DBB"/>
    <w:rsid w:val="4D8F3D3F"/>
    <w:rsid w:val="4DA73668"/>
    <w:rsid w:val="4DF352DB"/>
    <w:rsid w:val="4EA172B1"/>
    <w:rsid w:val="4EBF367E"/>
    <w:rsid w:val="4F442531"/>
    <w:rsid w:val="4FC82703"/>
    <w:rsid w:val="4FD24A94"/>
    <w:rsid w:val="4FDD3517"/>
    <w:rsid w:val="515C1786"/>
    <w:rsid w:val="522D6452"/>
    <w:rsid w:val="52A56DAF"/>
    <w:rsid w:val="534E5E76"/>
    <w:rsid w:val="53650979"/>
    <w:rsid w:val="546E185C"/>
    <w:rsid w:val="554252F0"/>
    <w:rsid w:val="55DB19EB"/>
    <w:rsid w:val="56854F5C"/>
    <w:rsid w:val="56D66DCC"/>
    <w:rsid w:val="570812F9"/>
    <w:rsid w:val="57165F1F"/>
    <w:rsid w:val="573B2953"/>
    <w:rsid w:val="57466E88"/>
    <w:rsid w:val="574F7F4C"/>
    <w:rsid w:val="58587655"/>
    <w:rsid w:val="585F25BB"/>
    <w:rsid w:val="58A038E8"/>
    <w:rsid w:val="5A5B12AE"/>
    <w:rsid w:val="5B326FFB"/>
    <w:rsid w:val="5C7C1692"/>
    <w:rsid w:val="5CD12036"/>
    <w:rsid w:val="5D4B10CF"/>
    <w:rsid w:val="5D5B5B2E"/>
    <w:rsid w:val="5FBD3805"/>
    <w:rsid w:val="604D1E8E"/>
    <w:rsid w:val="60CD702D"/>
    <w:rsid w:val="621B5169"/>
    <w:rsid w:val="62BB6AD2"/>
    <w:rsid w:val="62D517B4"/>
    <w:rsid w:val="630148BB"/>
    <w:rsid w:val="63934645"/>
    <w:rsid w:val="64327600"/>
    <w:rsid w:val="64C92E5D"/>
    <w:rsid w:val="64F515A3"/>
    <w:rsid w:val="65124F1A"/>
    <w:rsid w:val="65E51864"/>
    <w:rsid w:val="6609154A"/>
    <w:rsid w:val="66455D9C"/>
    <w:rsid w:val="666E23F7"/>
    <w:rsid w:val="667033ED"/>
    <w:rsid w:val="66B7110A"/>
    <w:rsid w:val="673B66DD"/>
    <w:rsid w:val="67D22DDC"/>
    <w:rsid w:val="68BD0638"/>
    <w:rsid w:val="697819A2"/>
    <w:rsid w:val="69F926B6"/>
    <w:rsid w:val="6B2B284A"/>
    <w:rsid w:val="6B996473"/>
    <w:rsid w:val="6C4D1A28"/>
    <w:rsid w:val="6C745A4D"/>
    <w:rsid w:val="6C7711FC"/>
    <w:rsid w:val="6C9B4C95"/>
    <w:rsid w:val="6D3837C8"/>
    <w:rsid w:val="6D8F7A67"/>
    <w:rsid w:val="6E47522E"/>
    <w:rsid w:val="6EB51FAF"/>
    <w:rsid w:val="6F1A2CF7"/>
    <w:rsid w:val="70145FC7"/>
    <w:rsid w:val="70A32C5B"/>
    <w:rsid w:val="72632192"/>
    <w:rsid w:val="72A33E44"/>
    <w:rsid w:val="72EF4918"/>
    <w:rsid w:val="735A3FB1"/>
    <w:rsid w:val="73861D76"/>
    <w:rsid w:val="73A55EB1"/>
    <w:rsid w:val="765C57B4"/>
    <w:rsid w:val="76E94C01"/>
    <w:rsid w:val="77762999"/>
    <w:rsid w:val="77FD79A2"/>
    <w:rsid w:val="782F07D6"/>
    <w:rsid w:val="78302BA3"/>
    <w:rsid w:val="79A35E30"/>
    <w:rsid w:val="7A562667"/>
    <w:rsid w:val="7AAC5B1E"/>
    <w:rsid w:val="7ACB00F0"/>
    <w:rsid w:val="7AF47239"/>
    <w:rsid w:val="7BEF1C9F"/>
    <w:rsid w:val="7C0C55A8"/>
    <w:rsid w:val="7CCA7239"/>
    <w:rsid w:val="7CDD432D"/>
    <w:rsid w:val="7D305A40"/>
    <w:rsid w:val="7DA94316"/>
    <w:rsid w:val="7F742B0F"/>
    <w:rsid w:val="7F8B5992"/>
    <w:rsid w:val="7FF94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line number"/>
    <w:basedOn w:val="8"/>
    <w:semiHidden/>
    <w:unhideWhenUsed/>
    <w:qFormat/>
    <w:uiPriority w:val="99"/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styleId="11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3"/>
    <w:semiHidden/>
    <w:qFormat/>
    <w:uiPriority w:val="99"/>
    <w:rPr>
      <w:sz w:val="18"/>
      <w:szCs w:val="18"/>
    </w:rPr>
  </w:style>
  <w:style w:type="paragraph" w:customStyle="1" w:styleId="14">
    <w:name w:val="EndNote Bibliography Title"/>
    <w:basedOn w:val="1"/>
    <w:link w:val="15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15">
    <w:name w:val="EndNote Bibliography Title 字符"/>
    <w:basedOn w:val="8"/>
    <w:link w:val="14"/>
    <w:qFormat/>
    <w:uiPriority w:val="0"/>
    <w:rPr>
      <w:rFonts w:ascii="Calibri" w:hAnsi="Calibri" w:cs="Calibri" w:eastAsiaTheme="minorEastAsia"/>
      <w:kern w:val="2"/>
      <w:szCs w:val="22"/>
    </w:rPr>
  </w:style>
  <w:style w:type="paragraph" w:customStyle="1" w:styleId="16">
    <w:name w:val="EndNote Bibliography"/>
    <w:basedOn w:val="1"/>
    <w:link w:val="17"/>
    <w:qFormat/>
    <w:uiPriority w:val="0"/>
    <w:pPr>
      <w:jc w:val="left"/>
    </w:pPr>
    <w:rPr>
      <w:rFonts w:ascii="Calibri" w:hAnsi="Calibri" w:cs="Calibri"/>
      <w:sz w:val="20"/>
    </w:rPr>
  </w:style>
  <w:style w:type="character" w:customStyle="1" w:styleId="17">
    <w:name w:val="EndNote Bibliography 字符"/>
    <w:basedOn w:val="8"/>
    <w:link w:val="16"/>
    <w:qFormat/>
    <w:uiPriority w:val="0"/>
    <w:rPr>
      <w:rFonts w:ascii="Calibri" w:hAnsi="Calibri" w:cs="Calibri" w:eastAsiaTheme="minorEastAsia"/>
      <w:kern w:val="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tiff"/><Relationship Id="rId8" Type="http://schemas.openxmlformats.org/officeDocument/2006/relationships/image" Target="media/image4.png"/><Relationship Id="rId7" Type="http://schemas.openxmlformats.org/officeDocument/2006/relationships/image" Target="media/image1.tiff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31</Pages>
  <Words>14007</Words>
  <Characters>79844</Characters>
  <Lines>665</Lines>
  <Paragraphs>187</Paragraphs>
  <TotalTime>0</TotalTime>
  <ScaleCrop>false</ScaleCrop>
  <LinksUpToDate>false</LinksUpToDate>
  <CharactersWithSpaces>93664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2020-10-27T23:34:00Z</dcterms:created>
  <dc:creator>hujingbo</dc:creator>
  <cp:lastModifiedBy>Poseidon</cp:lastModifiedBy>
  <dcterms:modified xsi:type="dcterms:W3CDTF">2021-08-09T10:52:54Z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C042EEC9DFC245CEACDE1F26E8CDFFFF</vt:lpwstr>
  </property>
</Properties>
</file>