
<file path=[Content_Types].xml><?xml version="1.0" encoding="utf-8"?>
<Types xmlns="http://schemas.openxmlformats.org/package/2006/content-types">
  <Default Extension="bin" ContentType="application/vnd.openxmlformats-officedocument.oleObject"/>
  <Default Extension="wmf" ContentType="image/x-wmf"/>
  <Default Extension="tiff" ContentType="image/tiff"/>
  <Default Extension="emf" ContentType="image/x-em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D91F62">
      <w:pPr>
        <w:spacing w:after="624" w:afterLines="200" w:line="480" w:lineRule="auto"/>
        <w:jc w:val="left"/>
        <w:rPr>
          <w:rFonts w:ascii="Times New Roman" w:hAnsi="Times New Roman" w:eastAsia="宋体" w:cs="Times New Roman"/>
          <w:b/>
          <w:bCs/>
          <w:sz w:val="24"/>
        </w:rPr>
      </w:pPr>
      <w:r>
        <w:rPr>
          <w:rFonts w:ascii="Times New Roman" w:hAnsi="Times New Roman" w:eastAsia="sans-serif" w:cs="Times New Roman"/>
          <w:b/>
          <w:bCs/>
          <w:sz w:val="24"/>
          <w:shd w:val="clear" w:color="auto" w:fill="FFFFFF"/>
        </w:rPr>
        <w:t>Supplementary</w:t>
      </w:r>
      <w:r>
        <w:rPr>
          <w:rFonts w:hint="eastAsia" w:ascii="Times New Roman" w:hAnsi="Times New Roman" w:eastAsia="宋体" w:cs="Times New Roman"/>
          <w:b/>
          <w:bCs/>
          <w:sz w:val="24"/>
          <w:shd w:val="clear" w:color="auto" w:fill="FFFFFF"/>
        </w:rPr>
        <w:t xml:space="preserve"> </w:t>
      </w:r>
      <w:r>
        <w:rPr>
          <w:rFonts w:hint="eastAsia" w:ascii="Times New Roman" w:hAnsi="Times New Roman" w:eastAsia="宋体" w:cs="Times New Roman"/>
          <w:b/>
          <w:bCs/>
          <w:sz w:val="24"/>
        </w:rPr>
        <w:t>information</w:t>
      </w:r>
    </w:p>
    <w:p w14:paraId="6682152B">
      <w:pPr>
        <w:spacing w:line="480" w:lineRule="auto"/>
        <w:jc w:val="center"/>
        <w:rPr>
          <w:rFonts w:ascii="Times New Roman" w:hAnsi="Times New Roman" w:eastAsia="宋体" w:cs="Times New Roman"/>
          <w:b/>
          <w:bCs/>
          <w:sz w:val="24"/>
        </w:rPr>
      </w:pPr>
      <w:r>
        <w:rPr>
          <w:rFonts w:hint="eastAsia" w:ascii="Times New Roman" w:hAnsi="Times New Roman" w:eastAsia="宋体" w:cs="Times New Roman"/>
          <w:b/>
          <w:bCs/>
          <w:sz w:val="24"/>
        </w:rPr>
        <w:t>Gravity-Driven Optically Tunable Window for All-Climate</w:t>
      </w:r>
      <w:r>
        <w:rPr>
          <w:rFonts w:hint="eastAsia" w:ascii="Times New Roman" w:hAnsi="Times New Roman" w:eastAsia="宋体" w:cs="Times New Roman"/>
          <w:b/>
          <w:bCs/>
          <w:sz w:val="24"/>
          <w:lang w:val="en-US" w:eastAsia="zh-CN"/>
        </w:rPr>
        <w:t xml:space="preserve"> Building</w:t>
      </w:r>
      <w:r>
        <w:rPr>
          <w:rFonts w:hint="eastAsia" w:ascii="Times New Roman" w:hAnsi="Times New Roman" w:eastAsia="宋体" w:cs="Times New Roman"/>
          <w:b/>
          <w:bCs/>
          <w:sz w:val="24"/>
        </w:rPr>
        <w:t xml:space="preserve"> Energy Efficiency</w:t>
      </w:r>
    </w:p>
    <w:p w14:paraId="19030323">
      <w:pPr>
        <w:spacing w:line="480" w:lineRule="auto"/>
        <w:jc w:val="center"/>
        <w:rPr>
          <w:rFonts w:ascii="Times New Roman" w:hAnsi="Times New Roman" w:cs="Times New Roman"/>
          <w:sz w:val="24"/>
        </w:rPr>
      </w:pPr>
      <w:r>
        <w:rPr>
          <w:rFonts w:ascii="Times New Roman" w:hAnsi="Times New Roman" w:cs="Times New Roman"/>
          <w:sz w:val="24"/>
        </w:rPr>
        <w:t>Jihong Pu</w:t>
      </w:r>
      <w:r>
        <w:rPr>
          <w:rFonts w:ascii="Times New Roman" w:hAnsi="Times New Roman" w:cs="Times New Roman"/>
          <w:sz w:val="24"/>
          <w:vertAlign w:val="superscript"/>
        </w:rPr>
        <w:t>1,2</w:t>
      </w:r>
      <w:r>
        <w:rPr>
          <w:rFonts w:hint="eastAsia" w:ascii="Times New Roman" w:hAnsi="Times New Roman" w:cs="Times New Roman"/>
          <w:sz w:val="24"/>
          <w:vertAlign w:val="superscript"/>
          <w:lang w:val="en-US" w:eastAsia="zh-CN"/>
        </w:rPr>
        <w:t>,3</w:t>
      </w:r>
      <w:r>
        <w:rPr>
          <w:rFonts w:ascii="Times New Roman" w:hAnsi="Times New Roman" w:cs="Times New Roman"/>
          <w:sz w:val="24"/>
        </w:rPr>
        <w:t>, Cong Lai</w:t>
      </w:r>
      <w:r>
        <w:rPr>
          <w:rFonts w:ascii="Times New Roman" w:hAnsi="Times New Roman" w:cs="Times New Roman"/>
          <w:sz w:val="24"/>
          <w:vertAlign w:val="superscript"/>
        </w:rPr>
        <w:t>1</w:t>
      </w:r>
      <w:r>
        <w:rPr>
          <w:rFonts w:ascii="Times New Roman" w:hAnsi="Times New Roman" w:cs="Times New Roman"/>
          <w:sz w:val="24"/>
        </w:rPr>
        <w:t>,</w:t>
      </w:r>
      <w:r>
        <w:rPr>
          <w:rFonts w:hint="eastAsia" w:ascii="Times New Roman" w:hAnsi="Times New Roman" w:cs="Times New Roman"/>
          <w:sz w:val="24"/>
          <w:lang w:val="en-US" w:eastAsia="zh-CN"/>
        </w:rPr>
        <w:t xml:space="preserve"> Zhipeng Jin</w:t>
      </w:r>
      <w:r>
        <w:rPr>
          <w:rFonts w:hint="eastAsia" w:ascii="Times New Roman" w:hAnsi="Times New Roman" w:cs="Times New Roman"/>
          <w:sz w:val="24"/>
          <w:vertAlign w:val="superscript"/>
          <w:lang w:val="en-US" w:eastAsia="zh-CN"/>
        </w:rPr>
        <w:t>1</w:t>
      </w:r>
      <w:r>
        <w:rPr>
          <w:rFonts w:hint="eastAsia" w:ascii="Times New Roman" w:hAnsi="Times New Roman" w:cs="Times New Roman"/>
          <w:sz w:val="24"/>
          <w:lang w:val="en-US" w:eastAsia="zh-CN"/>
        </w:rPr>
        <w:t>,</w:t>
      </w:r>
      <w:r>
        <w:rPr>
          <w:rFonts w:hint="eastAsia" w:ascii="Times New Roman" w:hAnsi="Times New Roman" w:cs="Times New Roman"/>
          <w:sz w:val="24"/>
        </w:rPr>
        <w:t xml:space="preserve"> Yanping Yuan</w:t>
      </w:r>
      <w:r>
        <w:rPr>
          <w:rFonts w:hint="eastAsia" w:ascii="Times New Roman" w:hAnsi="Times New Roman" w:cs="Times New Roman"/>
          <w:sz w:val="24"/>
          <w:vertAlign w:val="superscript"/>
        </w:rPr>
        <w:t>3</w:t>
      </w:r>
      <w:r>
        <w:rPr>
          <w:rFonts w:hint="eastAsia" w:ascii="Times New Roman" w:hAnsi="Times New Roman" w:cs="Times New Roman"/>
          <w:sz w:val="24"/>
        </w:rPr>
        <w:t xml:space="preserve">, </w:t>
      </w:r>
      <w:r>
        <w:rPr>
          <w:rFonts w:ascii="Times New Roman" w:hAnsi="Times New Roman" w:cs="Times New Roman"/>
          <w:sz w:val="24"/>
        </w:rPr>
        <w:t>Chao Shen</w:t>
      </w:r>
      <w:r>
        <w:rPr>
          <w:rFonts w:ascii="Times New Roman" w:hAnsi="Times New Roman" w:cs="Times New Roman"/>
          <w:sz w:val="24"/>
          <w:vertAlign w:val="superscript"/>
        </w:rPr>
        <w:t>2*</w:t>
      </w:r>
      <w:r>
        <w:rPr>
          <w:rFonts w:ascii="Times New Roman" w:hAnsi="Times New Roman" w:cs="Times New Roman"/>
          <w:sz w:val="24"/>
        </w:rPr>
        <w:t>, Lin Lu</w:t>
      </w:r>
      <w:r>
        <w:rPr>
          <w:rFonts w:ascii="Times New Roman" w:hAnsi="Times New Roman" w:cs="Times New Roman"/>
          <w:sz w:val="24"/>
          <w:vertAlign w:val="superscript"/>
        </w:rPr>
        <w:t>1*</w:t>
      </w:r>
    </w:p>
    <w:p w14:paraId="3B239A90">
      <w:pPr>
        <w:pStyle w:val="16"/>
        <w:spacing w:line="360" w:lineRule="auto"/>
        <w:ind w:left="440" w:hanging="440" w:hangingChars="200"/>
        <w:rPr>
          <w:rFonts w:ascii="Times New Roman" w:hAnsi="Times New Roman"/>
          <w:sz w:val="22"/>
          <w:szCs w:val="22"/>
        </w:rPr>
      </w:pPr>
      <w:r>
        <w:rPr>
          <w:rFonts w:hint="eastAsia" w:ascii="Times New Roman" w:hAnsi="Times New Roman"/>
          <w:sz w:val="22"/>
          <w:szCs w:val="22"/>
          <w:vertAlign w:val="superscript"/>
        </w:rPr>
        <w:t>1.</w:t>
      </w:r>
      <w:r>
        <w:rPr>
          <w:rFonts w:hint="eastAsia" w:ascii="Times New Roman" w:hAnsi="Times New Roman"/>
          <w:sz w:val="22"/>
          <w:szCs w:val="22"/>
          <w:vertAlign w:val="superscript"/>
        </w:rPr>
        <w:tab/>
      </w:r>
      <w:r>
        <w:rPr>
          <w:rFonts w:hint="eastAsia" w:ascii="Times New Roman" w:hAnsi="Times New Roman"/>
          <w:sz w:val="22"/>
          <w:szCs w:val="22"/>
        </w:rPr>
        <w:t>Department of Building Environment and Energy Engineering, The Hong Kong Polytechnic University.</w:t>
      </w:r>
    </w:p>
    <w:p w14:paraId="3390DC4B">
      <w:pPr>
        <w:pStyle w:val="16"/>
        <w:spacing w:line="360" w:lineRule="auto"/>
        <w:ind w:left="440" w:hanging="440" w:hangingChars="200"/>
        <w:rPr>
          <w:rFonts w:ascii="Times New Roman" w:hAnsi="Times New Roman"/>
          <w:sz w:val="22"/>
          <w:szCs w:val="22"/>
        </w:rPr>
      </w:pPr>
      <w:r>
        <w:rPr>
          <w:rFonts w:hint="eastAsia" w:ascii="Times New Roman" w:hAnsi="Times New Roman"/>
          <w:sz w:val="22"/>
          <w:szCs w:val="22"/>
          <w:vertAlign w:val="superscript"/>
        </w:rPr>
        <w:t>2.</w:t>
      </w:r>
      <w:r>
        <w:rPr>
          <w:rFonts w:hint="eastAsia" w:ascii="Times New Roman" w:hAnsi="Times New Roman"/>
          <w:sz w:val="22"/>
          <w:szCs w:val="22"/>
          <w:vertAlign w:val="superscript"/>
        </w:rPr>
        <w:tab/>
      </w:r>
      <w:r>
        <w:rPr>
          <w:rFonts w:hint="eastAsia" w:ascii="Times New Roman" w:hAnsi="Times New Roman"/>
          <w:sz w:val="22"/>
          <w:szCs w:val="22"/>
        </w:rPr>
        <w:t>School of Architecture and design, Harbin Institute of Technology; Key Laboratory of Cold Region Urban and Rural Human Settlement Environment Science and Technology, Ministry of Industry and Information Technology.</w:t>
      </w:r>
    </w:p>
    <w:p w14:paraId="2AC8E3BF">
      <w:pPr>
        <w:pStyle w:val="16"/>
        <w:spacing w:line="360" w:lineRule="auto"/>
        <w:ind w:left="440" w:hanging="440" w:hangingChars="200"/>
        <w:rPr>
          <w:rFonts w:hint="eastAsia" w:ascii="Times New Roman" w:hAnsi="Times New Roman" w:eastAsiaTheme="minorEastAsia"/>
          <w:sz w:val="22"/>
          <w:szCs w:val="22"/>
          <w:lang w:val="en-US" w:eastAsia="zh-CN"/>
        </w:rPr>
      </w:pPr>
      <w:r>
        <w:rPr>
          <w:rFonts w:hint="eastAsia" w:ascii="Times New Roman" w:hAnsi="Times New Roman"/>
          <w:sz w:val="22"/>
          <w:szCs w:val="22"/>
          <w:vertAlign w:val="superscript"/>
        </w:rPr>
        <w:t>3.</w:t>
      </w:r>
      <w:r>
        <w:rPr>
          <w:rFonts w:hint="eastAsia" w:ascii="Times New Roman" w:hAnsi="Times New Roman"/>
          <w:sz w:val="22"/>
          <w:szCs w:val="22"/>
          <w:vertAlign w:val="superscript"/>
        </w:rPr>
        <w:tab/>
      </w:r>
      <w:r>
        <w:rPr>
          <w:rFonts w:hint="eastAsia" w:ascii="Times New Roman" w:hAnsi="Times New Roman"/>
          <w:sz w:val="22"/>
          <w:szCs w:val="22"/>
        </w:rPr>
        <w:t>School of Mechanical Engineering, Southwest Jiaotong University, Chengdu 610031, Chin</w:t>
      </w:r>
      <w:r>
        <w:rPr>
          <w:rFonts w:hint="eastAsia" w:ascii="Times New Roman" w:hAnsi="Times New Roman"/>
          <w:sz w:val="22"/>
          <w:szCs w:val="22"/>
          <w:lang w:val="en-US" w:eastAsia="zh-CN"/>
        </w:rPr>
        <w:t>a.</w:t>
      </w:r>
    </w:p>
    <w:p w14:paraId="6C88CB08">
      <w:pPr>
        <w:pStyle w:val="16"/>
        <w:spacing w:before="312" w:beforeLines="100" w:after="624" w:afterLines="200" w:line="480" w:lineRule="auto"/>
        <w:rPr>
          <w:rStyle w:val="9"/>
        </w:rPr>
      </w:pPr>
      <w:r>
        <w:rPr>
          <w:rFonts w:hint="eastAsia" w:ascii="Times New Roman" w:hAnsi="Times New Roman"/>
          <w:sz w:val="22"/>
          <w:szCs w:val="22"/>
        </w:rPr>
        <w:t xml:space="preserve">*Corresponding authors: </w:t>
      </w:r>
      <w:r>
        <w:fldChar w:fldCharType="begin"/>
      </w:r>
      <w:r>
        <w:instrText xml:space="preserve"> HYPERLINK "mailto:vivien.lu@polyu.edu.hk" </w:instrText>
      </w:r>
      <w:r>
        <w:fldChar w:fldCharType="separate"/>
      </w:r>
      <w:r>
        <w:rPr>
          <w:rStyle w:val="12"/>
          <w:rFonts w:hint="eastAsia" w:ascii="Times New Roman" w:hAnsi="Times New Roman"/>
          <w:sz w:val="22"/>
          <w:szCs w:val="22"/>
        </w:rPr>
        <w:t>vivien.lu@polyu.edu.hk</w:t>
      </w:r>
      <w:r>
        <w:rPr>
          <w:rStyle w:val="12"/>
          <w:rFonts w:hint="eastAsia" w:ascii="Times New Roman" w:hAnsi="Times New Roman"/>
          <w:sz w:val="22"/>
          <w:szCs w:val="22"/>
        </w:rPr>
        <w:fldChar w:fldCharType="end"/>
      </w:r>
      <w:r>
        <w:rPr>
          <w:rFonts w:hint="eastAsia" w:ascii="Times New Roman" w:hAnsi="Times New Roman"/>
          <w:sz w:val="22"/>
          <w:szCs w:val="22"/>
        </w:rPr>
        <w:t xml:space="preserve"> (Lin Lu), </w:t>
      </w:r>
      <w:r>
        <w:fldChar w:fldCharType="begin"/>
      </w:r>
      <w:r>
        <w:instrText xml:space="preserve"> HYPERLINK "mailto:chaoshen@hit.edu.cn" </w:instrText>
      </w:r>
      <w:r>
        <w:fldChar w:fldCharType="separate"/>
      </w:r>
      <w:r>
        <w:rPr>
          <w:rStyle w:val="12"/>
          <w:rFonts w:hint="eastAsia" w:ascii="Times New Roman" w:hAnsi="Times New Roman"/>
          <w:sz w:val="22"/>
          <w:szCs w:val="22"/>
        </w:rPr>
        <w:t>chaoshen@hit.edu.cn</w:t>
      </w:r>
      <w:r>
        <w:rPr>
          <w:rStyle w:val="12"/>
          <w:rFonts w:hint="eastAsia" w:ascii="Times New Roman" w:hAnsi="Times New Roman"/>
          <w:sz w:val="22"/>
          <w:szCs w:val="22"/>
        </w:rPr>
        <w:fldChar w:fldCharType="end"/>
      </w:r>
      <w:r>
        <w:rPr>
          <w:rFonts w:hint="eastAsia" w:ascii="Times New Roman" w:hAnsi="Times New Roman"/>
          <w:sz w:val="22"/>
          <w:szCs w:val="22"/>
        </w:rPr>
        <w:t xml:space="preserve"> (Chao Shen)</w:t>
      </w:r>
    </w:p>
    <w:p w14:paraId="1037402A">
      <w:pPr>
        <w:rPr>
          <w:rFonts w:ascii="Times New Roman" w:hAnsi="Times New Roman"/>
        </w:rPr>
      </w:pPr>
      <w:r>
        <w:rPr>
          <w:rFonts w:hint="eastAsia" w:ascii="Times New Roman" w:hAnsi="Times New Roman"/>
        </w:rPr>
        <w:br w:type="page"/>
      </w:r>
    </w:p>
    <w:p w14:paraId="5DA6E2E3">
      <w:pPr>
        <w:pStyle w:val="5"/>
        <w:widowControl/>
        <w:spacing w:beforeAutospacing="0" w:after="312" w:afterLines="100" w:afterAutospacing="0" w:line="480" w:lineRule="auto"/>
        <w:jc w:val="both"/>
        <w:rPr>
          <w:rFonts w:ascii="Times New Roman" w:hAnsi="Times New Roman" w:eastAsia="宋体"/>
          <w:b/>
          <w:bCs/>
        </w:rPr>
      </w:pPr>
      <w:r>
        <w:rPr>
          <w:rFonts w:ascii="Times New Roman" w:hAnsi="Times New Roman" w:eastAsia="sans-serif"/>
          <w:b/>
          <w:bCs/>
          <w:shd w:val="clear" w:color="auto" w:fill="FFFFFF"/>
        </w:rPr>
        <w:t>Supplementary</w:t>
      </w:r>
      <w:r>
        <w:rPr>
          <w:rFonts w:hint="eastAsia" w:ascii="Times New Roman" w:hAnsi="Times New Roman" w:eastAsia="宋体"/>
          <w:b/>
          <w:bCs/>
          <w:shd w:val="clear" w:color="auto" w:fill="FFFFFF"/>
        </w:rPr>
        <w:t xml:space="preserve"> Notes</w:t>
      </w:r>
    </w:p>
    <w:p w14:paraId="597311E3">
      <w:pPr>
        <w:pStyle w:val="5"/>
        <w:widowControl/>
        <w:spacing w:beforeAutospacing="0" w:after="312" w:afterLines="100" w:afterAutospacing="0" w:line="480" w:lineRule="auto"/>
        <w:jc w:val="both"/>
        <w:rPr>
          <w:rFonts w:ascii="Times New Roman" w:hAnsi="Times New Roman"/>
          <w:b/>
          <w:bCs/>
        </w:rPr>
      </w:pPr>
      <w:r>
        <w:rPr>
          <w:rFonts w:hint="eastAsia" w:ascii="Times New Roman" w:hAnsi="Times New Roman"/>
          <w:b/>
          <w:bCs/>
        </w:rPr>
        <w:t>Supplementary Note 1. Details of the Liquids used in the JD window</w:t>
      </w:r>
    </w:p>
    <w:p w14:paraId="3EE977BD">
      <w:pPr>
        <w:pStyle w:val="5"/>
        <w:widowControl/>
        <w:spacing w:beforeAutospacing="0" w:after="312" w:afterLines="100" w:afterAutospacing="0" w:line="480" w:lineRule="auto"/>
        <w:jc w:val="both"/>
        <w:rPr>
          <w:rFonts w:ascii="Times New Roman" w:hAnsi="Times New Roman"/>
          <w:bCs/>
        </w:rPr>
      </w:pPr>
      <w:r>
        <w:rPr>
          <w:rFonts w:hint="eastAsia" w:ascii="Times New Roman" w:hAnsi="Times New Roman"/>
          <w:bCs/>
        </w:rPr>
        <w:t>In the fabricated JD window, t</w:t>
      </w:r>
      <w:r>
        <w:rPr>
          <w:rFonts w:ascii="Times New Roman" w:hAnsi="Times New Roman"/>
          <w:bCs/>
        </w:rPr>
        <w:t xml:space="preserve">he </w:t>
      </w:r>
      <w:r>
        <w:rPr>
          <w:rFonts w:hint="eastAsia" w:ascii="Times New Roman" w:hAnsi="Times New Roman"/>
          <w:bCs/>
        </w:rPr>
        <w:t>liquid paraffin (</w:t>
      </w:r>
      <w:r>
        <w:rPr>
          <w:rFonts w:ascii="Times New Roman" w:hAnsi="Times New Roman"/>
          <w:bCs/>
        </w:rPr>
        <w:t>L</w:t>
      </w:r>
      <w:r>
        <w:rPr>
          <w:rFonts w:hint="eastAsia" w:ascii="Times New Roman" w:hAnsi="Times New Roman"/>
          <w:bCs/>
        </w:rPr>
        <w:t>L)</w:t>
      </w:r>
      <w:r>
        <w:rPr>
          <w:rFonts w:ascii="Times New Roman" w:hAnsi="Times New Roman"/>
          <w:bCs/>
        </w:rPr>
        <w:t xml:space="preserve"> was purchased from Huangjia Biotechnology Co., Ltd., with the executive standards of Q/HHL01-98.</w:t>
      </w:r>
      <w:r>
        <w:rPr>
          <w:rFonts w:hint="eastAsia" w:ascii="Times New Roman" w:hAnsi="Times New Roman"/>
          <w:bCs/>
        </w:rPr>
        <w:t xml:space="preserve"> </w:t>
      </w:r>
      <w:r>
        <w:rPr>
          <w:rFonts w:ascii="Times New Roman" w:hAnsi="Times New Roman"/>
          <w:bCs/>
        </w:rPr>
        <w:t xml:space="preserve">The raw material of </w:t>
      </w:r>
      <w:r>
        <w:rPr>
          <w:rFonts w:hint="eastAsia" w:ascii="Times New Roman" w:hAnsi="Times New Roman"/>
          <w:bCs/>
        </w:rPr>
        <w:t>CD</w:t>
      </w:r>
      <w:r>
        <w:rPr>
          <w:rFonts w:ascii="Times New Roman" w:hAnsi="Times New Roman"/>
          <w:bCs/>
        </w:rPr>
        <w:t xml:space="preserve"> (standard: GB26687-2011; manufacture: Kirui Biotechnology Co., Ltd), copper sulfate (purity: 99.9%; manufacture: Xilong-Scientific), and Polysorbate-80 (manufacture: Shijieer) were used without further purification to prepare the </w:t>
      </w:r>
      <w:r>
        <w:rPr>
          <w:rFonts w:hint="eastAsia" w:ascii="Times New Roman" w:hAnsi="Times New Roman"/>
          <w:bCs/>
        </w:rPr>
        <w:t>HL</w:t>
      </w:r>
      <w:r>
        <w:rPr>
          <w:rFonts w:ascii="Times New Roman" w:hAnsi="Times New Roman"/>
          <w:bCs/>
        </w:rPr>
        <w:t>. The</w:t>
      </w:r>
      <w:r>
        <w:rPr>
          <w:rFonts w:hint="eastAsia" w:ascii="Times New Roman" w:hAnsi="Times New Roman"/>
          <w:bCs/>
        </w:rPr>
        <w:t xml:space="preserve"> </w:t>
      </w:r>
      <w:r>
        <w:rPr>
          <w:rFonts w:ascii="Times New Roman" w:hAnsi="Times New Roman"/>
          <w:bCs/>
        </w:rPr>
        <w:t xml:space="preserve">PMMA panes used in fabricating the </w:t>
      </w:r>
      <w:r>
        <w:rPr>
          <w:rFonts w:hint="eastAsia" w:ascii="Times New Roman" w:hAnsi="Times New Roman"/>
          <w:bCs/>
        </w:rPr>
        <w:t xml:space="preserve">JD </w:t>
      </w:r>
      <w:r>
        <w:rPr>
          <w:rFonts w:ascii="Times New Roman" w:hAnsi="Times New Roman"/>
          <w:bCs/>
        </w:rPr>
        <w:t xml:space="preserve">window sample were provided by SAYS Co., Ltd, and their spectral </w:t>
      </w:r>
      <w:r>
        <w:rPr>
          <w:rFonts w:ascii="Times New Roman" w:hAnsi="Times New Roman"/>
        </w:rPr>
        <w:t>transmittance</w:t>
      </w:r>
      <w:r>
        <w:rPr>
          <w:rFonts w:ascii="Times New Roman" w:hAnsi="Times New Roman"/>
          <w:bCs/>
        </w:rPr>
        <w:t>.</w:t>
      </w:r>
      <w:r>
        <w:rPr>
          <w:rFonts w:hint="eastAsia" w:ascii="Times New Roman" w:hAnsi="Times New Roman"/>
          <w:bCs/>
        </w:rPr>
        <w:t xml:space="preserve"> </w:t>
      </w:r>
      <w:r>
        <w:rPr>
          <w:rFonts w:ascii="Times New Roman" w:hAnsi="Times New Roman"/>
          <w:bCs/>
        </w:rPr>
        <w:t xml:space="preserve">When blending the copper sulfate and </w:t>
      </w:r>
      <w:r>
        <w:rPr>
          <w:rFonts w:hint="eastAsia" w:ascii="Times New Roman" w:hAnsi="Times New Roman"/>
          <w:b/>
        </w:rPr>
        <w:t xml:space="preserve">CD </w:t>
      </w:r>
      <w:r>
        <w:rPr>
          <w:rFonts w:ascii="Times New Roman" w:hAnsi="Times New Roman"/>
          <w:bCs/>
        </w:rPr>
        <w:t>together, it is important to note that the Cu</w:t>
      </w:r>
      <w:r>
        <w:rPr>
          <w:rFonts w:ascii="Times New Roman" w:hAnsi="Times New Roman"/>
          <w:bCs/>
          <w:vertAlign w:val="superscript"/>
        </w:rPr>
        <w:t>2+</w:t>
      </w:r>
      <w:r>
        <w:rPr>
          <w:rFonts w:ascii="Times New Roman" w:hAnsi="Times New Roman"/>
          <w:bCs/>
        </w:rPr>
        <w:t xml:space="preserve"> leads to the ionization of water, resulting in a weakly acidic solution. However, the </w:t>
      </w:r>
      <w:r>
        <w:rPr>
          <w:rFonts w:hint="eastAsia" w:ascii="Times New Roman" w:hAnsi="Times New Roman"/>
          <w:bCs/>
        </w:rPr>
        <w:t xml:space="preserve">CD </w:t>
      </w:r>
      <w:r>
        <w:rPr>
          <w:rFonts w:ascii="Times New Roman" w:hAnsi="Times New Roman"/>
          <w:bCs/>
        </w:rPr>
        <w:t xml:space="preserve">molecules tend to agglomerate into small particles in acidic environments. </w:t>
      </w:r>
      <w:r>
        <w:rPr>
          <w:rFonts w:hint="eastAsia" w:ascii="Times New Roman" w:hAnsi="Times New Roman"/>
          <w:bCs/>
        </w:rPr>
        <w:t>A</w:t>
      </w:r>
      <w:r>
        <w:rPr>
          <w:rFonts w:ascii="Times New Roman" w:hAnsi="Times New Roman"/>
          <w:bCs/>
        </w:rPr>
        <w:t xml:space="preserve"> solution prepared by simply dissolving </w:t>
      </w:r>
      <w:r>
        <w:rPr>
          <w:rFonts w:hint="eastAsia" w:ascii="Times New Roman" w:hAnsi="Times New Roman"/>
          <w:bCs/>
        </w:rPr>
        <w:t xml:space="preserve">CD </w:t>
      </w:r>
      <w:r>
        <w:rPr>
          <w:rFonts w:ascii="Times New Roman" w:hAnsi="Times New Roman"/>
          <w:bCs/>
        </w:rPr>
        <w:t>and Cu</w:t>
      </w:r>
      <w:r>
        <w:rPr>
          <w:rFonts w:ascii="Times New Roman" w:hAnsi="Times New Roman"/>
          <w:bCs/>
          <w:vertAlign w:val="superscript"/>
        </w:rPr>
        <w:t>2+</w:t>
      </w:r>
      <w:r>
        <w:rPr>
          <w:rFonts w:ascii="Times New Roman" w:hAnsi="Times New Roman"/>
          <w:bCs/>
        </w:rPr>
        <w:t xml:space="preserve"> together in water is unstable. To ensure long-term optical stability of the blended solution, polysorbate-80 was employed in the preparation process. The detailed preparing process can be divided into three stages:</w:t>
      </w:r>
    </w:p>
    <w:p w14:paraId="568AE6B9">
      <w:pPr>
        <w:pStyle w:val="5"/>
        <w:widowControl/>
        <w:spacing w:beforeAutospacing="0" w:after="312" w:afterLines="100" w:afterAutospacing="0" w:line="480" w:lineRule="auto"/>
        <w:jc w:val="both"/>
        <w:rPr>
          <w:rFonts w:ascii="Times New Roman" w:hAnsi="Times New Roman"/>
        </w:rPr>
      </w:pPr>
      <w:r>
        <w:rPr>
          <w:rFonts w:hint="eastAsia" w:ascii="Times New Roman" w:hAnsi="Times New Roman"/>
          <w:vertAlign w:val="superscript"/>
        </w:rPr>
        <w:t>1.</w:t>
      </w:r>
      <w:r>
        <w:rPr>
          <w:rFonts w:ascii="Times New Roman" w:hAnsi="Times New Roman"/>
        </w:rPr>
        <w:t xml:space="preserve">Preparation of highly concentrated (1wt%) </w:t>
      </w:r>
      <w:r>
        <w:rPr>
          <w:rFonts w:hint="eastAsia" w:ascii="Times New Roman" w:hAnsi="Times New Roman"/>
        </w:rPr>
        <w:t xml:space="preserve">CD </w:t>
      </w:r>
      <w:r>
        <w:rPr>
          <w:rFonts w:ascii="Times New Roman" w:hAnsi="Times New Roman"/>
        </w:rPr>
        <w:t>emulsion:</w:t>
      </w:r>
      <w:r>
        <w:rPr>
          <w:rFonts w:ascii="Times New Roman" w:hAnsi="Times New Roman"/>
          <w:b/>
          <w:bCs/>
        </w:rPr>
        <w:t xml:space="preserve"> </w:t>
      </w:r>
      <w:r>
        <w:rPr>
          <w:rFonts w:ascii="Times New Roman" w:hAnsi="Times New Roman"/>
        </w:rPr>
        <w:t xml:space="preserve">120 g of Polysorbate-80 and 177 ml of deionized (DI) water were mixed in a 75℃-water bath for 1 hour. Then, 3 g of </w:t>
      </w:r>
      <w:r>
        <w:rPr>
          <w:rFonts w:hint="eastAsia" w:ascii="Times New Roman" w:hAnsi="Times New Roman"/>
        </w:rPr>
        <w:t xml:space="preserve">CD </w:t>
      </w:r>
      <w:r>
        <w:rPr>
          <w:rFonts w:ascii="Times New Roman" w:hAnsi="Times New Roman"/>
        </w:rPr>
        <w:t>powder was dissolved in the Polysorbate-80/water mixture using a magnetic stirrer for 120 minutes at room temperature.</w:t>
      </w:r>
    </w:p>
    <w:p w14:paraId="0E3CF17A">
      <w:pPr>
        <w:pStyle w:val="5"/>
        <w:widowControl/>
        <w:spacing w:beforeAutospacing="0" w:after="312" w:afterLines="100" w:afterAutospacing="0" w:line="480" w:lineRule="auto"/>
        <w:jc w:val="both"/>
        <w:rPr>
          <w:rFonts w:ascii="Times New Roman" w:hAnsi="Times New Roman"/>
        </w:rPr>
      </w:pPr>
      <w:r>
        <w:rPr>
          <w:rFonts w:hint="eastAsia" w:ascii="Times New Roman" w:hAnsi="Times New Roman"/>
          <w:vertAlign w:val="superscript"/>
        </w:rPr>
        <w:t>2.</w:t>
      </w:r>
      <w:r>
        <w:rPr>
          <w:rFonts w:ascii="Times New Roman" w:hAnsi="Times New Roman"/>
        </w:rPr>
        <w:t>Preparation of the CuSO</w:t>
      </w:r>
      <w:r>
        <w:rPr>
          <w:rFonts w:ascii="Times New Roman" w:hAnsi="Times New Roman"/>
          <w:vertAlign w:val="subscript"/>
        </w:rPr>
        <w:t>4</w:t>
      </w:r>
      <w:r>
        <w:rPr>
          <w:rFonts w:ascii="Times New Roman" w:hAnsi="Times New Roman"/>
        </w:rPr>
        <w:t xml:space="preserve"> solution: CuSO</w:t>
      </w:r>
      <w:r>
        <w:rPr>
          <w:rFonts w:ascii="Times New Roman" w:hAnsi="Times New Roman"/>
          <w:vertAlign w:val="subscript"/>
        </w:rPr>
        <w:t>4</w:t>
      </w:r>
      <w:r>
        <w:rPr>
          <w:rFonts w:ascii="Times New Roman" w:hAnsi="Times New Roman"/>
        </w:rPr>
        <w:t xml:space="preserve"> solution was prepared by directly dissolving CuSO</w:t>
      </w:r>
      <w:r>
        <w:rPr>
          <w:rFonts w:ascii="Times New Roman" w:hAnsi="Times New Roman"/>
          <w:vertAlign w:val="subscript"/>
        </w:rPr>
        <w:t>4</w:t>
      </w:r>
      <w:r>
        <w:rPr>
          <w:rFonts w:ascii="Times New Roman" w:hAnsi="Times New Roman"/>
        </w:rPr>
        <w:t>·5H</w:t>
      </w:r>
      <w:r>
        <w:rPr>
          <w:rFonts w:ascii="Times New Roman" w:hAnsi="Times New Roman"/>
          <w:vertAlign w:val="subscript"/>
        </w:rPr>
        <w:t>2</w:t>
      </w:r>
      <w:r>
        <w:rPr>
          <w:rFonts w:ascii="Times New Roman" w:hAnsi="Times New Roman"/>
        </w:rPr>
        <w:t>O into DI water, with magnetic stirrer for 120 minutes at room temperature.</w:t>
      </w:r>
    </w:p>
    <w:p w14:paraId="43941A5D">
      <w:pPr>
        <w:pStyle w:val="5"/>
        <w:widowControl/>
        <w:spacing w:beforeAutospacing="0" w:after="312" w:afterLines="100" w:afterAutospacing="0" w:line="480" w:lineRule="auto"/>
        <w:jc w:val="both"/>
        <w:rPr>
          <w:rFonts w:ascii="Times New Roman" w:hAnsi="Times New Roman"/>
        </w:rPr>
      </w:pPr>
      <w:r>
        <w:rPr>
          <w:rFonts w:hint="eastAsia" w:ascii="Times New Roman" w:hAnsi="Times New Roman"/>
          <w:vertAlign w:val="superscript"/>
        </w:rPr>
        <w:t>3.</w:t>
      </w:r>
      <w:r>
        <w:rPr>
          <w:rFonts w:ascii="Times New Roman" w:hAnsi="Times New Roman"/>
        </w:rPr>
        <w:t xml:space="preserve">Preparation of the </w:t>
      </w:r>
      <w:r>
        <w:rPr>
          <w:rFonts w:hint="eastAsia" w:ascii="Times New Roman" w:hAnsi="Times New Roman"/>
        </w:rPr>
        <w:t>CD</w:t>
      </w:r>
      <w:r>
        <w:rPr>
          <w:rFonts w:ascii="Times New Roman" w:hAnsi="Times New Roman"/>
        </w:rPr>
        <w:t>/CuSO</w:t>
      </w:r>
      <w:r>
        <w:rPr>
          <w:rFonts w:ascii="Times New Roman" w:hAnsi="Times New Roman"/>
          <w:vertAlign w:val="subscript"/>
        </w:rPr>
        <w:t>4</w:t>
      </w:r>
      <w:r>
        <w:rPr>
          <w:rFonts w:ascii="Times New Roman" w:hAnsi="Times New Roman"/>
        </w:rPr>
        <w:t xml:space="preserve"> blended solution (</w:t>
      </w:r>
      <w:r>
        <w:rPr>
          <w:rFonts w:hint="eastAsia" w:ascii="Times New Roman" w:hAnsi="Times New Roman"/>
        </w:rPr>
        <w:t>HL</w:t>
      </w:r>
      <w:r>
        <w:rPr>
          <w:rFonts w:ascii="Times New Roman" w:hAnsi="Times New Roman"/>
        </w:rPr>
        <w:t xml:space="preserve">): The blended solution was prepared by mixing the highly concentrated </w:t>
      </w:r>
      <w:r>
        <w:rPr>
          <w:rFonts w:hint="eastAsia" w:ascii="Times New Roman" w:hAnsi="Times New Roman"/>
        </w:rPr>
        <w:t xml:space="preserve">CD </w:t>
      </w:r>
      <w:r>
        <w:rPr>
          <w:rFonts w:ascii="Times New Roman" w:hAnsi="Times New Roman"/>
        </w:rPr>
        <w:t>solution and CuSO</w:t>
      </w:r>
      <w:r>
        <w:rPr>
          <w:rFonts w:ascii="Times New Roman" w:hAnsi="Times New Roman"/>
          <w:vertAlign w:val="subscript"/>
        </w:rPr>
        <w:t>4</w:t>
      </w:r>
      <w:r>
        <w:rPr>
          <w:rFonts w:ascii="Times New Roman" w:hAnsi="Times New Roman"/>
        </w:rPr>
        <w:t xml:space="preserve"> solution, followed by the addition of water to dilute the solution.</w:t>
      </w:r>
    </w:p>
    <w:p w14:paraId="142DF833">
      <w:pPr>
        <w:rPr>
          <w:rFonts w:ascii="Times New Roman" w:hAnsi="Times New Roman" w:cs="Times New Roman"/>
          <w:sz w:val="24"/>
        </w:rPr>
      </w:pPr>
      <w:r>
        <w:rPr>
          <w:rFonts w:ascii="Times New Roman" w:hAnsi="Times New Roman" w:cs="Times New Roman"/>
          <w:sz w:val="24"/>
        </w:rPr>
        <w:br w:type="page"/>
      </w:r>
    </w:p>
    <w:p w14:paraId="34585D4C">
      <w:pPr>
        <w:pStyle w:val="5"/>
        <w:widowControl/>
        <w:spacing w:beforeAutospacing="0" w:after="312" w:afterLines="100" w:afterAutospacing="0" w:line="480" w:lineRule="auto"/>
        <w:jc w:val="both"/>
        <w:rPr>
          <w:rFonts w:ascii="Times New Roman" w:hAnsi="Times New Roman"/>
          <w:b/>
          <w:bCs/>
        </w:rPr>
      </w:pPr>
      <w:r>
        <w:rPr>
          <w:rFonts w:hint="eastAsia" w:ascii="Times New Roman" w:hAnsi="Times New Roman"/>
          <w:b/>
          <w:bCs/>
        </w:rPr>
        <w:t xml:space="preserve">Supplementary Note 2. Detailed Explanation for AgNW/PET optical simulation </w:t>
      </w:r>
    </w:p>
    <w:p w14:paraId="51527126">
      <w:pPr>
        <w:pStyle w:val="5"/>
        <w:widowControl/>
        <w:spacing w:beforeAutospacing="0" w:after="312" w:afterLines="100" w:afterAutospacing="0" w:line="480" w:lineRule="auto"/>
        <w:jc w:val="both"/>
        <w:rPr>
          <w:rFonts w:ascii="Times New Roman" w:hAnsi="Times New Roman"/>
        </w:rPr>
      </w:pPr>
      <w:r>
        <w:rPr>
          <w:rFonts w:ascii="Times New Roman" w:hAnsi="Times New Roman"/>
        </w:rPr>
        <w:t>The infrared optical properties of AgNW</w:t>
      </w:r>
      <w:r>
        <w:rPr>
          <w:rFonts w:hint="eastAsia" w:ascii="Times New Roman" w:hAnsi="Times New Roman"/>
        </w:rPr>
        <w:t xml:space="preserve"> </w:t>
      </w:r>
      <w:r>
        <w:rPr>
          <w:rFonts w:ascii="Times New Roman" w:hAnsi="Times New Roman"/>
        </w:rPr>
        <w:t>PET substrates were modeled using the Electromagnetic Waves, Frequency Domain</w:t>
      </w:r>
      <w:r>
        <w:rPr>
          <w:rFonts w:hint="eastAsia" w:ascii="Times New Roman" w:hAnsi="Times New Roman"/>
        </w:rPr>
        <w:t xml:space="preserve"> (ewfd)</w:t>
      </w:r>
      <w:r>
        <w:rPr>
          <w:rFonts w:ascii="Times New Roman" w:hAnsi="Times New Roman"/>
        </w:rPr>
        <w:t xml:space="preserve"> interface in COMSOL Multi-physics. </w:t>
      </w:r>
      <w:r>
        <w:rPr>
          <w:rFonts w:hint="eastAsia" w:ascii="Times New Roman" w:hAnsi="Times New Roman"/>
        </w:rPr>
        <w:t>A</w:t>
      </w:r>
      <w:r>
        <w:rPr>
          <w:rFonts w:ascii="Times New Roman" w:hAnsi="Times New Roman"/>
        </w:rPr>
        <w:t xml:space="preserve"> reduced-order periodic unit cell approach</w:t>
      </w:r>
      <w:r>
        <w:rPr>
          <w:rFonts w:hint="eastAsia" w:ascii="Times New Roman" w:hAnsi="Times New Roman"/>
        </w:rPr>
        <w:t xml:space="preserve"> was</w:t>
      </w:r>
      <w:r>
        <w:rPr>
          <w:rFonts w:ascii="Times New Roman" w:hAnsi="Times New Roman"/>
        </w:rPr>
        <w:t xml:space="preserve"> implemented</w:t>
      </w:r>
      <w:r>
        <w:rPr>
          <w:rFonts w:hint="eastAsia" w:ascii="Times New Roman" w:hAnsi="Times New Roman"/>
        </w:rPr>
        <w:t>, t</w:t>
      </w:r>
      <w:r>
        <w:rPr>
          <w:rFonts w:ascii="Times New Roman" w:hAnsi="Times New Roman"/>
        </w:rPr>
        <w:t>o efficiently simulate the randomly oriented nanowire network while maintaining computational tractability. Each unit cell consisted of two intersecting nanowires</w:t>
      </w:r>
      <w:r>
        <w:rPr>
          <w:rFonts w:hint="eastAsia" w:ascii="Times New Roman" w:hAnsi="Times New Roman"/>
        </w:rPr>
        <w:t xml:space="preserve"> (</w:t>
      </w:r>
      <w:r>
        <w:rPr>
          <w:rFonts w:hint="eastAsia" w:ascii="Times New Roman" w:hAnsi="Times New Roman"/>
          <w:b/>
          <w:bCs/>
          <w:color w:val="0000FF"/>
        </w:rPr>
        <w:t>Fig</w:t>
      </w:r>
      <w:r>
        <w:rPr>
          <w:rFonts w:hint="eastAsia" w:ascii="Times New Roman" w:hAnsi="Times New Roman"/>
          <w:b/>
          <w:bCs/>
          <w:color w:val="0000FF"/>
          <w:lang w:val="en-US" w:eastAsia="zh-CN"/>
        </w:rPr>
        <w:t>.</w:t>
      </w:r>
      <w:r>
        <w:rPr>
          <w:rFonts w:hint="eastAsia" w:ascii="Times New Roman" w:hAnsi="Times New Roman"/>
          <w:b/>
          <w:bCs/>
          <w:color w:val="0000FF"/>
        </w:rPr>
        <w:t xml:space="preserve"> S1</w:t>
      </w:r>
      <w:r>
        <w:rPr>
          <w:rFonts w:hint="eastAsia" w:ascii="Times New Roman" w:hAnsi="Times New Roman"/>
          <w:b/>
          <w:bCs/>
          <w:color w:val="0000FF"/>
          <w:lang w:val="en-US" w:eastAsia="zh-CN"/>
        </w:rPr>
        <w:t>2</w:t>
      </w:r>
      <w:r>
        <w:rPr>
          <w:rFonts w:hint="eastAsia" w:ascii="Times New Roman" w:hAnsi="Times New Roman"/>
        </w:rPr>
        <w:t>)</w:t>
      </w:r>
      <w:r>
        <w:rPr>
          <w:rFonts w:ascii="Times New Roman" w:hAnsi="Times New Roman"/>
        </w:rPr>
        <w:t xml:space="preserve"> forming a parallelogram configuration, with the intersection angle varied parametrically from </w:t>
      </w:r>
      <w:r>
        <w:rPr>
          <w:rFonts w:hint="eastAsia" w:ascii="Times New Roman" w:hAnsi="Times New Roman"/>
        </w:rPr>
        <w:t>0</w:t>
      </w:r>
      <w:r>
        <w:rPr>
          <w:rFonts w:ascii="Times New Roman" w:hAnsi="Times New Roman"/>
        </w:rPr>
        <w:t>° to 90° to represent the statistical distribution of nanowire orientations observed in experimental samples.</w:t>
      </w:r>
    </w:p>
    <w:p w14:paraId="6B4011F7">
      <w:pPr>
        <w:pStyle w:val="5"/>
        <w:widowControl/>
        <w:spacing w:beforeAutospacing="0" w:after="312" w:afterLines="100" w:afterAutospacing="0" w:line="480" w:lineRule="auto"/>
        <w:jc w:val="both"/>
        <w:rPr>
          <w:rFonts w:ascii="Times New Roman" w:hAnsi="Times New Roman"/>
        </w:rPr>
      </w:pPr>
      <w:r>
        <w:rPr>
          <w:rFonts w:ascii="Times New Roman" w:hAnsi="Times New Roman"/>
        </w:rPr>
        <w:t>Considering the propagation characteristics of plane waves in a periodic structure, periodic boundary conditions are applied to the edges of the air layer, PET layer, and PML (Perfectly Matched Layer), a virtual matching layer used in simulations. During the simulation process, the intrinsic optical constants of Ag and PET are taken from the data reported by Arkadiusz et al.</w:t>
      </w:r>
      <w:r>
        <w:rPr>
          <w:rFonts w:hint="eastAsia" w:ascii="Times New Roman" w:hAnsi="Times New Roman"/>
          <w:b/>
          <w:bCs/>
          <w:color w:val="0000FF"/>
        </w:rPr>
        <w:t xml:space="preserve"> </w:t>
      </w:r>
      <w:r>
        <w:rPr>
          <w:rFonts w:hint="eastAsia" w:ascii="Times New Roman" w:hAnsi="Times New Roman"/>
          <w:b/>
          <w:bCs/>
          <w:color w:val="0000FF"/>
        </w:rPr>
        <w:fldChar w:fldCharType="begin"/>
      </w:r>
      <w:r>
        <w:rPr>
          <w:rFonts w:hint="eastAsia" w:ascii="Times New Roman" w:hAnsi="Times New Roman"/>
          <w:b/>
          <w:bCs/>
          <w:color w:val="0000FF"/>
        </w:rPr>
        <w:instrText xml:space="preserve"> ADDIN EN.CITE &lt;EndNote&gt;&lt;Cite&gt;&lt;Author&gt;Ciesielski&lt;/Author&gt;&lt;Year&gt;2017&lt;/Year&gt;&lt;RecNum&gt;1143&lt;/RecNum&gt;&lt;DisplayText&gt;[1]&lt;/DisplayText&gt;&lt;record&gt;&lt;rec-number&gt;1143&lt;/rec-number&gt;&lt;foreign-keys&gt;&lt;key app="EN" db-id="paaztsr04trapte5f9cpv9ss0fav5erzzr9a" timestamp="1757906405"&gt;1143&lt;/key&gt;&lt;/foreign-keys&gt;&lt;ref-type name="Journal Article"&gt;17&lt;/ref-type&gt;&lt;contributors&gt;&lt;authors&gt;&lt;author&gt;Ciesielski, Arkadiusz&lt;/author&gt;&lt;author&gt;Skowronski, Lukasz&lt;/author&gt;&lt;author&gt;Trzcinski, Marek&lt;/author&gt;&lt;author&gt;Szoplik, Tomasz&lt;/author&gt;&lt;/authors&gt;&lt;/contributors&gt;&lt;titles&gt;&lt;title&gt;Controlling the optical parameters of self-assembled silver films with wetting layers and annealing&lt;/title&gt;&lt;secondary-title&gt;Applied Surface Science&lt;/secondary-title&gt;&lt;/titles&gt;&lt;periodical&gt;&lt;full-title&gt;Applied Surface Science&lt;/full-title&gt;&lt;/periodical&gt;&lt;pages&gt;349-356&lt;/pages&gt;&lt;volume&gt;421&lt;/volume&gt;&lt;keywords&gt;&lt;keyword&gt;Silver&lt;/keyword&gt;&lt;keyword&gt;Thin films&lt;/keyword&gt;&lt;keyword&gt;Self-assembly&lt;/keyword&gt;&lt;keyword&gt;Permittivity, ellipsometry&lt;/keyword&gt;&lt;keyword&gt;Percolation&lt;/keyword&gt;&lt;keyword&gt;Wetting layers&lt;/keyword&gt;&lt;keyword&gt;Annealing&lt;/keyword&gt;&lt;keyword&gt;Segregation&lt;/keyword&gt;&lt;/keywords&gt;&lt;dates&gt;&lt;year&gt;2017&lt;/year&gt;&lt;pub-dates&gt;&lt;date&gt;2017/11/01/&lt;/date&gt;&lt;/pub-dates&gt;&lt;/dates&gt;&lt;isbn&gt;0169-4332&lt;/isbn&gt;&lt;urls&gt;&lt;related-urls&gt;&lt;url&gt;https://www.sciencedirect.com/science/article/pii/S0169433217300399&lt;/url&gt;&lt;/related-urls&gt;&lt;/urls&gt;&lt;electronic-resource-num&gt;https://doi.org/10.1016/j.apsusc.2017.01.039&lt;/electronic-resource-num&gt;&lt;/record&gt;&lt;/Cite&gt;&lt;/EndNote&gt;</w:instrText>
      </w:r>
      <w:r>
        <w:rPr>
          <w:rFonts w:hint="eastAsia" w:ascii="Times New Roman" w:hAnsi="Times New Roman"/>
          <w:b/>
          <w:bCs/>
          <w:color w:val="0000FF"/>
        </w:rPr>
        <w:fldChar w:fldCharType="separate"/>
      </w:r>
      <w:r>
        <w:rPr>
          <w:rFonts w:hint="eastAsia" w:ascii="Times New Roman" w:hAnsi="Times New Roman"/>
          <w:b/>
          <w:bCs/>
          <w:color w:val="0000FF"/>
        </w:rPr>
        <w:t>[1]</w:t>
      </w:r>
      <w:r>
        <w:rPr>
          <w:rFonts w:hint="eastAsia" w:ascii="Times New Roman" w:hAnsi="Times New Roman"/>
          <w:b/>
          <w:bCs/>
          <w:color w:val="0000FF"/>
        </w:rPr>
        <w:fldChar w:fldCharType="end"/>
      </w:r>
      <w:r>
        <w:rPr>
          <w:rFonts w:hint="eastAsia" w:ascii="Times New Roman" w:hAnsi="Times New Roman"/>
          <w:b/>
          <w:bCs/>
          <w:color w:val="0000FF"/>
        </w:rPr>
        <w:t xml:space="preserve"> </w:t>
      </w:r>
      <w:r>
        <w:rPr>
          <w:rFonts w:ascii="Times New Roman" w:hAnsi="Times New Roman"/>
        </w:rPr>
        <w:t>and Zhang et al.</w:t>
      </w:r>
      <w:r>
        <w:rPr>
          <w:rFonts w:hint="eastAsia" w:ascii="Times New Roman" w:hAnsi="Times New Roman"/>
        </w:rPr>
        <w:t xml:space="preserve"> </w:t>
      </w:r>
      <w:r>
        <w:rPr>
          <w:rFonts w:hint="eastAsia" w:ascii="Times New Roman" w:hAnsi="Times New Roman"/>
          <w:b/>
          <w:bCs/>
          <w:color w:val="0000FF"/>
        </w:rPr>
        <w:fldChar w:fldCharType="begin"/>
      </w:r>
      <w:r>
        <w:rPr>
          <w:rFonts w:hint="eastAsia" w:ascii="Times New Roman" w:hAnsi="Times New Roman"/>
          <w:b/>
          <w:bCs/>
          <w:color w:val="0000FF"/>
        </w:rPr>
        <w:instrText xml:space="preserve"> ADDIN EN.CITE &lt;EndNote&gt;&lt;Cite&gt;&lt;Author&gt;Zhang&lt;/Author&gt;&lt;Year&gt;2020&lt;/Year&gt;&lt;RecNum&gt;1144&lt;/RecNum&gt;&lt;DisplayText&gt;[2]&lt;/DisplayText&gt;&lt;record&gt;&lt;rec-number&gt;1144&lt;/rec-number&gt;&lt;foreign-keys&gt;&lt;key app="EN" db-id="paaztsr04trapte5f9cpv9ss0fav5erzzr9a" timestamp="1757906514"&gt;1144&lt;/key&gt;&lt;/foreign-keys&gt;&lt;ref-type name="Journal Article"&gt;17&lt;/ref-type&gt;&lt;contributors&gt;&lt;authors&gt;&lt;author&gt;Zhang, Xiaoning&lt;/author&gt;&lt;author&gt;Qiu, Jun&lt;/author&gt;&lt;author&gt;Li, Xingcan&lt;/author&gt;&lt;author&gt;Zhao, Junming&lt;/author&gt;&lt;author&gt;Liu, Linhua&lt;/author&gt;&lt;/authors&gt;&lt;/contributors&gt;&lt;titles&gt;&lt;title&gt;Complex refractive indices measurements of polymers in visible and near-infrared bands&lt;/title&gt;&lt;secondary-title&gt;Applied optics&lt;/secondary-title&gt;&lt;/titles&gt;&lt;periodical&gt;&lt;full-title&gt;Applied Optics&lt;/full-title&gt;&lt;abbr-1&gt;Appl. Opt.&lt;/abbr-1&gt;&lt;/periodical&gt;&lt;pages&gt;2337-2344&lt;/pages&gt;&lt;volume&gt;59&lt;/volume&gt;&lt;number&gt;8&lt;/number&gt;&lt;dates&gt;&lt;year&gt;2020&lt;/year&gt;&lt;/dates&gt;&lt;isbn&gt;1559-128X&lt;/isbn&gt;&lt;urls&gt;&lt;/urls&gt;&lt;/record&gt;&lt;/Cite&gt;&lt;/EndNote&gt;</w:instrText>
      </w:r>
      <w:r>
        <w:rPr>
          <w:rFonts w:hint="eastAsia" w:ascii="Times New Roman" w:hAnsi="Times New Roman"/>
          <w:b/>
          <w:bCs/>
          <w:color w:val="0000FF"/>
        </w:rPr>
        <w:fldChar w:fldCharType="separate"/>
      </w:r>
      <w:r>
        <w:rPr>
          <w:rFonts w:hint="eastAsia" w:ascii="Times New Roman" w:hAnsi="Times New Roman"/>
          <w:b/>
          <w:bCs/>
          <w:color w:val="0000FF"/>
        </w:rPr>
        <w:t>[2]</w:t>
      </w:r>
      <w:r>
        <w:rPr>
          <w:rFonts w:hint="eastAsia" w:ascii="Times New Roman" w:hAnsi="Times New Roman"/>
          <w:b/>
          <w:bCs/>
          <w:color w:val="0000FF"/>
        </w:rPr>
        <w:fldChar w:fldCharType="end"/>
      </w:r>
      <w:r>
        <w:rPr>
          <w:rFonts w:hint="eastAsia" w:ascii="Times New Roman" w:hAnsi="Times New Roman"/>
        </w:rPr>
        <w:t xml:space="preserve">, </w:t>
      </w:r>
      <w:r>
        <w:rPr>
          <w:rFonts w:ascii="Times New Roman" w:hAnsi="Times New Roman"/>
        </w:rPr>
        <w:t>as shown in</w:t>
      </w:r>
      <w:r>
        <w:rPr>
          <w:rFonts w:hint="eastAsia" w:ascii="Times New Roman" w:hAnsi="Times New Roman"/>
        </w:rPr>
        <w:t xml:space="preserve"> </w:t>
      </w:r>
      <w:r>
        <w:rPr>
          <w:rFonts w:hint="eastAsia" w:ascii="Times New Roman" w:hAnsi="Times New Roman"/>
          <w:b/>
          <w:bCs/>
          <w:color w:val="0000FF"/>
        </w:rPr>
        <w:t>Fig</w:t>
      </w:r>
      <w:r>
        <w:rPr>
          <w:rFonts w:hint="eastAsia" w:ascii="Times New Roman" w:hAnsi="Times New Roman"/>
          <w:b/>
          <w:bCs/>
          <w:color w:val="0000FF"/>
          <w:lang w:val="en-US" w:eastAsia="zh-CN"/>
        </w:rPr>
        <w:t xml:space="preserve">. </w:t>
      </w:r>
      <w:r>
        <w:rPr>
          <w:rFonts w:hint="eastAsia" w:ascii="Times New Roman" w:hAnsi="Times New Roman"/>
          <w:b/>
          <w:bCs/>
          <w:color w:val="0000FF"/>
        </w:rPr>
        <w:t>S1</w:t>
      </w:r>
      <w:r>
        <w:rPr>
          <w:rFonts w:hint="eastAsia" w:ascii="Times New Roman" w:hAnsi="Times New Roman"/>
          <w:b/>
          <w:bCs/>
          <w:color w:val="0000FF"/>
          <w:lang w:val="en-US" w:eastAsia="zh-CN"/>
        </w:rPr>
        <w:t>3</w:t>
      </w:r>
      <w:r>
        <w:rPr>
          <w:rFonts w:hint="eastAsia" w:ascii="Times New Roman" w:hAnsi="Times New Roman"/>
        </w:rPr>
        <w:t>.</w:t>
      </w:r>
    </w:p>
    <w:p w14:paraId="57E33A72">
      <w:pPr>
        <w:pStyle w:val="5"/>
        <w:widowControl/>
        <w:spacing w:beforeAutospacing="0" w:after="312" w:afterLines="100" w:afterAutospacing="0" w:line="480" w:lineRule="auto"/>
        <w:jc w:val="both"/>
        <w:rPr>
          <w:rFonts w:ascii="Times New Roman" w:hAnsi="Times New Roman"/>
        </w:rPr>
      </w:pPr>
      <w:r>
        <w:rPr>
          <w:rStyle w:val="9"/>
          <w:rFonts w:ascii="Times New Roman" w:hAnsi="Times New Roman" w:eastAsia="宋体"/>
          <w:b w:val="0"/>
        </w:rPr>
        <w:t>To reveal the electromagnetic properties of AgNWs, the electric field distribution at a height equal to the AgNW diameter (</w:t>
      </w:r>
      <w:r>
        <w:rPr>
          <w:rStyle w:val="9"/>
          <w:rFonts w:ascii="Times New Roman" w:hAnsi="Times New Roman" w:eastAsia="宋体"/>
          <w:b w:val="0"/>
          <w:i/>
          <w:iCs/>
        </w:rPr>
        <w:t>d</w:t>
      </w:r>
      <w:r>
        <w:rPr>
          <w:rStyle w:val="9"/>
          <w:rFonts w:ascii="Times New Roman" w:hAnsi="Times New Roman" w:eastAsia="宋体"/>
          <w:b w:val="0"/>
        </w:rPr>
        <w:t xml:space="preserve">) above the PET film surface was simulated. </w:t>
      </w:r>
      <w:r>
        <w:rPr>
          <w:rStyle w:val="9"/>
          <w:rFonts w:ascii="Times New Roman" w:hAnsi="Times New Roman"/>
          <w:b w:val="0"/>
        </w:rPr>
        <w:t>The electric field distribution for a unit cell with different intersection angles (</w:t>
      </w:r>
      <w:r>
        <w:rPr>
          <w:rFonts w:ascii="Times New Roman" w:hAnsi="Times New Roman"/>
          <w:b/>
          <w:bCs/>
          <w:i/>
          <w:iCs/>
        </w:rPr>
        <w:t>ξ</w:t>
      </w:r>
      <w:r>
        <w:rPr>
          <w:rStyle w:val="9"/>
          <w:rFonts w:ascii="Times New Roman" w:hAnsi="Times New Roman"/>
          <w:b w:val="0"/>
        </w:rPr>
        <w:t>)</w:t>
      </w:r>
      <w:r>
        <w:rPr>
          <w:rFonts w:ascii="Times New Roman" w:hAnsi="Times New Roman"/>
        </w:rPr>
        <w:t>, under incident light with a wavelength of 10 μm, is shown in</w:t>
      </w:r>
      <w:r>
        <w:rPr>
          <w:rFonts w:ascii="Times New Roman" w:hAnsi="Times New Roman"/>
          <w:b/>
          <w:bCs/>
          <w:color w:val="0000FF"/>
        </w:rPr>
        <w:t xml:space="preserve"> </w:t>
      </w:r>
      <w:r>
        <w:rPr>
          <w:rFonts w:hint="eastAsia" w:ascii="Times New Roman" w:hAnsi="Times New Roman"/>
          <w:b/>
          <w:bCs/>
          <w:color w:val="0000FF"/>
        </w:rPr>
        <w:t>Fig</w:t>
      </w:r>
      <w:r>
        <w:rPr>
          <w:rFonts w:hint="eastAsia" w:ascii="Times New Roman" w:hAnsi="Times New Roman"/>
          <w:b/>
          <w:bCs/>
          <w:color w:val="0000FF"/>
          <w:lang w:val="en-US" w:eastAsia="zh-CN"/>
        </w:rPr>
        <w:t>.</w:t>
      </w:r>
      <w:r>
        <w:rPr>
          <w:rFonts w:hint="eastAsia" w:ascii="Times New Roman" w:hAnsi="Times New Roman"/>
          <w:b/>
          <w:bCs/>
          <w:color w:val="0000FF"/>
        </w:rPr>
        <w:t xml:space="preserve"> S1</w:t>
      </w:r>
      <w:r>
        <w:rPr>
          <w:rFonts w:hint="eastAsia" w:ascii="Times New Roman" w:hAnsi="Times New Roman"/>
          <w:b/>
          <w:bCs/>
          <w:color w:val="0000FF"/>
          <w:lang w:val="en-US" w:eastAsia="zh-CN"/>
        </w:rPr>
        <w:t>4</w:t>
      </w:r>
      <w:r>
        <w:rPr>
          <w:rFonts w:ascii="Times New Roman" w:hAnsi="Times New Roman"/>
        </w:rPr>
        <w:t xml:space="preserve">. </w:t>
      </w:r>
      <w:r>
        <w:rPr>
          <w:rFonts w:hint="eastAsia" w:ascii="Times New Roman" w:hAnsi="Times New Roman"/>
        </w:rPr>
        <w:t>S</w:t>
      </w:r>
      <w:r>
        <w:rPr>
          <w:rStyle w:val="9"/>
          <w:rFonts w:ascii="Times New Roman" w:hAnsi="Times New Roman"/>
          <w:b w:val="0"/>
        </w:rPr>
        <w:t xml:space="preserve">maller </w:t>
      </w:r>
      <w:r>
        <w:rPr>
          <w:rFonts w:ascii="Times New Roman" w:hAnsi="Times New Roman"/>
          <w:b/>
          <w:bCs/>
          <w:i/>
          <w:iCs/>
        </w:rPr>
        <w:t>ξ</w:t>
      </w:r>
      <w:r>
        <w:rPr>
          <w:rFonts w:ascii="Times New Roman" w:hAnsi="Times New Roman"/>
        </w:rPr>
        <w:t xml:space="preserve"> leads to a stronger electric field</w:t>
      </w:r>
      <w:r>
        <w:rPr>
          <w:rFonts w:hint="eastAsia" w:ascii="Times New Roman" w:hAnsi="Times New Roman"/>
        </w:rPr>
        <w:t>,</w:t>
      </w:r>
      <w:r>
        <w:rPr>
          <w:rFonts w:ascii="Times New Roman" w:hAnsi="Times New Roman"/>
        </w:rPr>
        <w:t xml:space="preserve"> primarily because </w:t>
      </w:r>
      <w:r>
        <w:rPr>
          <w:rStyle w:val="9"/>
          <w:rFonts w:ascii="Times New Roman" w:hAnsi="Times New Roman"/>
          <w:b w:val="0"/>
        </w:rPr>
        <w:t>smaller spacing between nanowires enhances near-field radiation effects</w:t>
      </w:r>
      <w:r>
        <w:rPr>
          <w:rFonts w:ascii="Times New Roman" w:hAnsi="Times New Roman"/>
        </w:rPr>
        <w:t xml:space="preserve">, thereby strengthening the optical absorption of the nanowires. </w:t>
      </w:r>
      <w:r>
        <w:rPr>
          <w:rFonts w:hint="eastAsia" w:ascii="Times New Roman" w:hAnsi="Times New Roman"/>
          <w:b/>
          <w:bCs/>
          <w:color w:val="0000FF"/>
        </w:rPr>
        <w:t>Fig</w:t>
      </w:r>
      <w:r>
        <w:rPr>
          <w:rFonts w:hint="eastAsia" w:ascii="Times New Roman" w:hAnsi="Times New Roman"/>
          <w:b/>
          <w:bCs/>
          <w:color w:val="0000FF"/>
          <w:lang w:val="en-US" w:eastAsia="zh-CN"/>
        </w:rPr>
        <w:t>.</w:t>
      </w:r>
      <w:r>
        <w:rPr>
          <w:rFonts w:hint="eastAsia" w:ascii="Times New Roman" w:hAnsi="Times New Roman"/>
          <w:b/>
          <w:bCs/>
          <w:color w:val="0000FF"/>
        </w:rPr>
        <w:t xml:space="preserve"> S1</w:t>
      </w:r>
      <w:r>
        <w:rPr>
          <w:rFonts w:hint="eastAsia" w:ascii="Times New Roman" w:hAnsi="Times New Roman"/>
          <w:b/>
          <w:bCs/>
          <w:color w:val="0000FF"/>
          <w:lang w:val="en-US" w:eastAsia="zh-CN"/>
        </w:rPr>
        <w:t>5</w:t>
      </w:r>
      <w:r>
        <w:rPr>
          <w:rFonts w:ascii="Times New Roman" w:hAnsi="Times New Roman"/>
        </w:rPr>
        <w:t xml:space="preserve"> presents the simulated </w:t>
      </w:r>
      <w:r>
        <w:rPr>
          <w:rStyle w:val="9"/>
          <w:rFonts w:ascii="Times New Roman" w:hAnsi="Times New Roman"/>
          <w:b w:val="0"/>
        </w:rPr>
        <w:t xml:space="preserve">infrared emissivity of the AgNW/PET film at different </w:t>
      </w:r>
      <w:r>
        <w:rPr>
          <w:rFonts w:ascii="Times New Roman" w:hAnsi="Times New Roman"/>
          <w:i/>
          <w:iCs/>
        </w:rPr>
        <w:t>ξ</w:t>
      </w:r>
      <w:r>
        <w:rPr>
          <w:rStyle w:val="9"/>
          <w:rFonts w:ascii="Times New Roman" w:hAnsi="Times New Roman"/>
          <w:b w:val="0"/>
        </w:rPr>
        <w:t xml:space="preserve"> angles</w:t>
      </w:r>
      <w:r>
        <w:rPr>
          <w:rFonts w:ascii="Times New Roman" w:hAnsi="Times New Roman"/>
        </w:rPr>
        <w:t xml:space="preserve">. As </w:t>
      </w:r>
      <w:r>
        <w:rPr>
          <w:rFonts w:ascii="Times New Roman" w:hAnsi="Times New Roman"/>
          <w:i/>
          <w:iCs/>
        </w:rPr>
        <w:t>ξ</w:t>
      </w:r>
      <w:r>
        <w:rPr>
          <w:rStyle w:val="9"/>
          <w:rFonts w:ascii="Times New Roman" w:hAnsi="Times New Roman"/>
          <w:b w:val="0"/>
        </w:rPr>
        <w:t xml:space="preserve"> increases</w:t>
      </w:r>
      <w:r>
        <w:rPr>
          <w:rFonts w:ascii="Times New Roman" w:hAnsi="Times New Roman"/>
        </w:rPr>
        <w:t xml:space="preserve">, the </w:t>
      </w:r>
      <w:r>
        <w:rPr>
          <w:rStyle w:val="9"/>
          <w:rFonts w:ascii="Times New Roman" w:hAnsi="Times New Roman"/>
          <w:b w:val="0"/>
        </w:rPr>
        <w:t>emissivity shows an overall decreasing trend</w:t>
      </w:r>
      <w:r>
        <w:rPr>
          <w:rFonts w:ascii="Times New Roman" w:hAnsi="Times New Roman"/>
        </w:rPr>
        <w:t xml:space="preserve">. </w:t>
      </w:r>
    </w:p>
    <w:p w14:paraId="7C3B9452">
      <w:pPr>
        <w:pStyle w:val="5"/>
        <w:widowControl/>
        <w:spacing w:beforeAutospacing="0" w:after="312" w:afterLines="100" w:afterAutospacing="0" w:line="480" w:lineRule="auto"/>
        <w:jc w:val="both"/>
        <w:rPr>
          <w:rFonts w:ascii="Times New Roman" w:hAnsi="Times New Roman"/>
        </w:rPr>
      </w:pPr>
      <w:r>
        <w:rPr>
          <w:rFonts w:hint="eastAsia" w:ascii="Times New Roman" w:hAnsi="Times New Roman"/>
        </w:rPr>
        <w:t xml:space="preserve">In practical situations, the silver nanowires are randomly arranged on the PET film. Therefore, the overall emissivity of the silver nanowires can be determined by calculating the area-weighted average of the emissivities of AgNW/PET films at various </w:t>
      </w:r>
      <w:r>
        <w:rPr>
          <w:rFonts w:ascii="Times New Roman" w:hAnsi="Times New Roman"/>
          <w:i/>
          <w:iCs/>
        </w:rPr>
        <w:t xml:space="preserve">ξ </w:t>
      </w:r>
      <w:r>
        <w:rPr>
          <w:rFonts w:ascii="Times New Roman" w:hAnsi="Times New Roman"/>
        </w:rPr>
        <w:t>angles ranging from 0° to 90°</w:t>
      </w:r>
      <w:r>
        <w:rPr>
          <w:rFonts w:hint="eastAsia" w:ascii="Times New Roman" w:hAnsi="Times New Roman"/>
        </w:rPr>
        <w:t xml:space="preserve">, as shown in </w:t>
      </w:r>
      <w:r>
        <w:rPr>
          <w:rFonts w:ascii="Times New Roman" w:hAnsi="Times New Roman"/>
          <w:b/>
          <w:bCs/>
          <w:color w:val="0000FF"/>
        </w:rPr>
        <w:t>Equation (</w:t>
      </w:r>
      <w:r>
        <w:rPr>
          <w:rFonts w:hint="eastAsia" w:ascii="Times New Roman" w:hAnsi="Times New Roman"/>
          <w:b/>
          <w:bCs/>
          <w:color w:val="0000FF"/>
        </w:rPr>
        <w:t>1</w:t>
      </w:r>
      <w:r>
        <w:rPr>
          <w:rFonts w:ascii="Times New Roman" w:hAnsi="Times New Roman"/>
          <w:b/>
          <w:bCs/>
          <w:color w:val="0000FF"/>
        </w:rPr>
        <w:t>)</w:t>
      </w:r>
      <w:r>
        <w:rPr>
          <w:rFonts w:ascii="Times New Roman" w:hAnsi="Times New Roman"/>
        </w:rPr>
        <w:t>.</w:t>
      </w:r>
    </w:p>
    <w:p w14:paraId="052208F4">
      <w:pPr>
        <w:tabs>
          <w:tab w:val="center" w:pos="4515"/>
          <w:tab w:val="right" w:pos="9030"/>
        </w:tabs>
        <w:spacing w:after="312" w:afterLines="100"/>
        <w:rPr>
          <w:rFonts w:ascii="Times New Roman" w:hAnsi="Times New Roman"/>
          <w:bCs/>
          <w:position w:val="-44"/>
          <w:sz w:val="24"/>
        </w:rPr>
      </w:pPr>
      <w:r>
        <w:rPr>
          <w:rFonts w:hint="eastAsia" w:ascii="Times New Roman" w:hAnsi="Times New Roman"/>
          <w:bCs/>
          <w:position w:val="-44"/>
          <w:sz w:val="24"/>
        </w:rPr>
        <w:tab/>
      </w:r>
      <w:r>
        <w:rPr>
          <w:rFonts w:ascii="Times New Roman" w:hAnsi="Times New Roman"/>
          <w:bCs/>
          <w:position w:val="-44"/>
          <w:sz w:val="24"/>
        </w:rPr>
        <w:object>
          <v:shape id="_x0000_i1025" o:spt="75" type="#_x0000_t75" style="height:48.6pt;width:121.55pt;" o:ole="t" filled="f" o:preferrelative="t" stroked="f" coordsize="21600,21600">
            <v:path/>
            <v:fill on="f" focussize="0,0"/>
            <v:stroke on="f" joinstyle="miter"/>
            <v:imagedata r:id="rId5" o:title=""/>
            <o:lock v:ext="edit" aspectratio="t"/>
            <w10:wrap type="none"/>
            <w10:anchorlock/>
          </v:shape>
          <o:OLEObject Type="Embed" ProgID="Equation.DSMT4" ShapeID="_x0000_i1025" DrawAspect="Content" ObjectID="_1468075725" r:id="rId4">
            <o:LockedField>false</o:LockedField>
          </o:OLEObject>
        </w:object>
      </w:r>
      <w:r>
        <w:rPr>
          <w:rFonts w:hint="eastAsia" w:ascii="Times New Roman" w:hAnsi="Times New Roman"/>
          <w:bCs/>
          <w:position w:val="-44"/>
          <w:sz w:val="24"/>
        </w:rPr>
        <w:tab/>
      </w:r>
      <w:r>
        <w:rPr>
          <w:rFonts w:hint="eastAsia" w:ascii="Times New Roman" w:hAnsi="Times New Roman" w:eastAsia="宋体" w:cs="Times New Roman"/>
          <w:bCs/>
          <w:sz w:val="24"/>
        </w:rPr>
        <w:t>(</w:t>
      </w:r>
      <w:r>
        <w:rPr>
          <w:rFonts w:ascii="Times New Roman" w:hAnsi="Times New Roman" w:eastAsia="宋体" w:cs="Times New Roman"/>
          <w:bCs/>
          <w:sz w:val="24"/>
        </w:rPr>
        <w:fldChar w:fldCharType="begin"/>
      </w:r>
      <w:r>
        <w:rPr>
          <w:rFonts w:ascii="Times New Roman" w:hAnsi="Times New Roman" w:eastAsia="宋体" w:cs="Times New Roman"/>
          <w:bCs/>
          <w:sz w:val="24"/>
        </w:rPr>
        <w:instrText xml:space="preserve"> SEQ (7- \* ARABIC </w:instrText>
      </w:r>
      <w:r>
        <w:rPr>
          <w:rFonts w:ascii="Times New Roman" w:hAnsi="Times New Roman" w:eastAsia="宋体" w:cs="Times New Roman"/>
          <w:bCs/>
          <w:sz w:val="24"/>
        </w:rPr>
        <w:fldChar w:fldCharType="separate"/>
      </w:r>
      <w:r>
        <w:rPr>
          <w:rFonts w:ascii="Times New Roman" w:hAnsi="Times New Roman" w:eastAsia="宋体" w:cs="Times New Roman"/>
          <w:bCs/>
          <w:sz w:val="24"/>
        </w:rPr>
        <w:t>1</w:t>
      </w:r>
      <w:r>
        <w:rPr>
          <w:rFonts w:ascii="Times New Roman" w:hAnsi="Times New Roman" w:eastAsia="宋体" w:cs="Times New Roman"/>
          <w:bCs/>
          <w:sz w:val="24"/>
        </w:rPr>
        <w:fldChar w:fldCharType="end"/>
      </w:r>
      <w:r>
        <w:rPr>
          <w:rFonts w:hint="eastAsia" w:ascii="Times New Roman" w:hAnsi="Times New Roman" w:eastAsia="宋体" w:cs="Times New Roman"/>
          <w:bCs/>
          <w:sz w:val="24"/>
        </w:rPr>
        <w:t>)</w:t>
      </w:r>
    </w:p>
    <w:p w14:paraId="50F2BB2F">
      <w:pPr>
        <w:pStyle w:val="5"/>
        <w:widowControl/>
        <w:spacing w:beforeAutospacing="0" w:after="312" w:afterLines="100" w:afterAutospacing="0" w:line="480" w:lineRule="auto"/>
        <w:jc w:val="both"/>
        <w:rPr>
          <w:rStyle w:val="9"/>
          <w:rFonts w:ascii="Times New Roman" w:hAnsi="Times New Roman" w:eastAsia="宋体"/>
          <w:b w:val="0"/>
        </w:rPr>
      </w:pPr>
      <w:r>
        <w:rPr>
          <w:rStyle w:val="9"/>
          <w:rFonts w:ascii="Times New Roman" w:hAnsi="Times New Roman"/>
          <w:b w:val="0"/>
          <w:bCs/>
        </w:rPr>
        <w:t>W</w:t>
      </w:r>
      <w:r>
        <w:rPr>
          <w:rFonts w:ascii="Times New Roman" w:hAnsi="Times New Roman"/>
          <w:bCs/>
        </w:rPr>
        <w:t xml:space="preserve">hen simulating the emissivity of each AgNW/PET film configuration, this study used a </w:t>
      </w:r>
      <w:r>
        <w:rPr>
          <w:rStyle w:val="9"/>
          <w:rFonts w:ascii="Times New Roman" w:hAnsi="Times New Roman"/>
          <w:b w:val="0"/>
          <w:bCs/>
        </w:rPr>
        <w:t>5°</w:t>
      </w:r>
      <w:r>
        <w:rPr>
          <w:rFonts w:hint="eastAsia" w:ascii="Times New Roman" w:hAnsi="Times New Roman"/>
          <w:bCs/>
        </w:rPr>
        <w:t xml:space="preserve">, and the simulated </w:t>
      </w:r>
      <w:r>
        <w:rPr>
          <w:rFonts w:ascii="Times New Roman" w:hAnsi="Times New Roman"/>
        </w:rPr>
        <w:t xml:space="preserve">emissivity </w:t>
      </w:r>
      <w:r>
        <w:rPr>
          <w:rFonts w:hint="eastAsia" w:ascii="Times New Roman" w:hAnsi="Times New Roman"/>
        </w:rPr>
        <w:t xml:space="preserve">of </w:t>
      </w:r>
      <w:r>
        <w:rPr>
          <w:rFonts w:ascii="Times New Roman" w:hAnsi="Times New Roman"/>
          <w:bCs/>
        </w:rPr>
        <w:t>AgNW/PET film</w:t>
      </w:r>
      <w:r>
        <w:rPr>
          <w:rFonts w:hint="eastAsia" w:ascii="Times New Roman" w:hAnsi="Times New Roman"/>
          <w:bCs/>
        </w:rPr>
        <w:t xml:space="preserve"> with different nanowire diameter (</w:t>
      </w:r>
      <w:r>
        <w:rPr>
          <w:rStyle w:val="9"/>
          <w:rFonts w:hint="eastAsia" w:ascii="Times New Roman" w:hAnsi="Times New Roman" w:eastAsia="宋体"/>
          <w:i/>
          <w:iCs/>
        </w:rPr>
        <w:t>d</w:t>
      </w:r>
      <w:r>
        <w:rPr>
          <w:rFonts w:hint="eastAsia" w:ascii="Times New Roman" w:hAnsi="Times New Roman"/>
          <w:bCs/>
        </w:rPr>
        <w:t xml:space="preserve">) and </w:t>
      </w:r>
      <w:r>
        <w:rPr>
          <w:rStyle w:val="9"/>
          <w:rFonts w:ascii="Times New Roman" w:hAnsi="Times New Roman"/>
          <w:b w:val="0"/>
        </w:rPr>
        <w:t>inter-nanowire spacing (</w:t>
      </w:r>
      <w:r>
        <w:rPr>
          <w:rStyle w:val="9"/>
          <w:rFonts w:ascii="Times New Roman" w:hAnsi="Times New Roman"/>
          <w:i/>
          <w:iCs/>
        </w:rPr>
        <w:t>w</w:t>
      </w:r>
      <w:r>
        <w:rPr>
          <w:rStyle w:val="9"/>
          <w:rFonts w:ascii="Times New Roman" w:hAnsi="Times New Roman"/>
          <w:b w:val="0"/>
        </w:rPr>
        <w:t>)</w:t>
      </w:r>
      <w:r>
        <w:rPr>
          <w:rStyle w:val="9"/>
          <w:rFonts w:hint="eastAsia" w:ascii="Times New Roman" w:hAnsi="Times New Roman"/>
          <w:b w:val="0"/>
        </w:rPr>
        <w:t xml:space="preserve"> are shown in</w:t>
      </w:r>
      <w:r>
        <w:rPr>
          <w:rFonts w:hint="eastAsia" w:ascii="Times New Roman" w:hAnsi="Times New Roman"/>
          <w:b/>
          <w:bCs/>
          <w:color w:val="0000FF"/>
        </w:rPr>
        <w:t xml:space="preserve"> Fig</w:t>
      </w:r>
      <w:r>
        <w:rPr>
          <w:rFonts w:hint="eastAsia" w:ascii="Times New Roman" w:hAnsi="Times New Roman"/>
          <w:b/>
          <w:bCs/>
          <w:color w:val="0000FF"/>
          <w:lang w:val="en-US" w:eastAsia="zh-CN"/>
        </w:rPr>
        <w:t>.</w:t>
      </w:r>
      <w:r>
        <w:rPr>
          <w:rStyle w:val="9"/>
          <w:rFonts w:hint="eastAsia" w:ascii="Times New Roman" w:hAnsi="Times New Roman"/>
          <w:b w:val="0"/>
        </w:rPr>
        <w:t xml:space="preserve"> </w:t>
      </w:r>
      <w:r>
        <w:rPr>
          <w:rFonts w:hint="eastAsia" w:ascii="Times New Roman" w:hAnsi="Times New Roman"/>
          <w:b/>
          <w:bCs/>
          <w:color w:val="0000FF"/>
        </w:rPr>
        <w:t>S1</w:t>
      </w:r>
      <w:r>
        <w:rPr>
          <w:rFonts w:hint="eastAsia" w:ascii="Times New Roman" w:hAnsi="Times New Roman"/>
          <w:b/>
          <w:bCs/>
          <w:color w:val="0000FF"/>
          <w:lang w:val="en-US" w:eastAsia="zh-CN"/>
        </w:rPr>
        <w:t>6</w:t>
      </w:r>
      <w:r>
        <w:rPr>
          <w:rFonts w:hint="eastAsia" w:ascii="Times New Roman" w:hAnsi="Times New Roman"/>
          <w:b/>
          <w:bCs/>
          <w:color w:val="0000FF"/>
        </w:rPr>
        <w:t>a</w:t>
      </w:r>
      <w:r>
        <w:rPr>
          <w:rFonts w:hint="eastAsia" w:ascii="Times New Roman" w:hAnsi="Times New Roman"/>
        </w:rPr>
        <w:t>.</w:t>
      </w:r>
      <w:r>
        <w:rPr>
          <w:rFonts w:hint="eastAsia" w:ascii="Times New Roman" w:hAnsi="Times New Roman"/>
          <w:b/>
          <w:bCs/>
          <w:color w:val="0000FF"/>
        </w:rPr>
        <w:t xml:space="preserve"> </w:t>
      </w:r>
      <w:r>
        <w:rPr>
          <w:rFonts w:ascii="Times New Roman" w:hAnsi="Times New Roman"/>
        </w:rPr>
        <w:t>The results indicate</w:t>
      </w:r>
      <w:r>
        <w:rPr>
          <w:rFonts w:hint="eastAsia" w:ascii="Times New Roman" w:hAnsi="Times New Roman"/>
        </w:rPr>
        <w:t xml:space="preserve"> </w:t>
      </w:r>
      <w:r>
        <w:rPr>
          <w:rStyle w:val="9"/>
          <w:rFonts w:ascii="Times New Roman" w:hAnsi="Times New Roman"/>
          <w:b w:val="0"/>
        </w:rPr>
        <w:t>the infrared emissivity of the material can be tuned by adjusting the filling factor of AgNWs</w:t>
      </w:r>
      <w:r>
        <w:rPr>
          <w:rFonts w:ascii="Times New Roman" w:hAnsi="Times New Roman"/>
        </w:rPr>
        <w:t xml:space="preserve">, by </w:t>
      </w:r>
      <w:r>
        <w:rPr>
          <w:rStyle w:val="9"/>
          <w:rFonts w:ascii="Times New Roman" w:hAnsi="Times New Roman"/>
          <w:b w:val="0"/>
        </w:rPr>
        <w:t>modifying the density or diameter of AgNW</w:t>
      </w:r>
      <w:r>
        <w:rPr>
          <w:rFonts w:ascii="Times New Roman" w:hAnsi="Times New Roman"/>
        </w:rPr>
        <w:t>.</w:t>
      </w:r>
      <w:r>
        <w:rPr>
          <w:rFonts w:hint="eastAsia" w:ascii="Times New Roman" w:hAnsi="Times New Roman"/>
        </w:rPr>
        <w:t xml:space="preserve"> We identified a feasible set of geometric parameters, with </w:t>
      </w:r>
      <w:r>
        <w:rPr>
          <w:rFonts w:hint="eastAsia" w:ascii="Times New Roman" w:hAnsi="Times New Roman"/>
          <w:i/>
          <w:iCs/>
        </w:rPr>
        <w:t>d</w:t>
      </w:r>
      <w:r>
        <w:rPr>
          <w:rFonts w:hint="eastAsia" w:ascii="Times New Roman" w:hAnsi="Times New Roman"/>
        </w:rPr>
        <w:t xml:space="preserve"> = 20 nm and </w:t>
      </w:r>
      <w:r>
        <w:rPr>
          <w:rFonts w:hint="eastAsia" w:ascii="Times New Roman" w:hAnsi="Times New Roman"/>
          <w:i/>
          <w:iCs/>
        </w:rPr>
        <w:t>w</w:t>
      </w:r>
      <w:r>
        <w:rPr>
          <w:rFonts w:hint="eastAsia" w:ascii="Times New Roman" w:hAnsi="Times New Roman"/>
        </w:rPr>
        <w:t xml:space="preserve"> = 100 nm, suitable for the JD window application. With this configuration, </w:t>
      </w:r>
      <w:r>
        <w:rPr>
          <w:rFonts w:hint="eastAsia" w:ascii="Times New Roman" w:hAnsi="Times New Roman" w:eastAsia="宋体"/>
        </w:rPr>
        <w:t>the</w:t>
      </w:r>
      <w:r>
        <w:rPr>
          <w:rFonts w:ascii="Times New Roman" w:hAnsi="Times New Roman"/>
        </w:rPr>
        <w:t xml:space="preserve"> </w:t>
      </w:r>
      <w:r>
        <w:rPr>
          <w:rStyle w:val="9"/>
          <w:rFonts w:ascii="Times New Roman" w:hAnsi="Times New Roman"/>
          <w:b w:val="0"/>
        </w:rPr>
        <w:t>infrared emissivity</w:t>
      </w:r>
      <w:r>
        <w:rPr>
          <w:rStyle w:val="9"/>
          <w:rFonts w:hint="eastAsia" w:ascii="Times New Roman" w:hAnsi="Times New Roman"/>
          <w:b w:val="0"/>
        </w:rPr>
        <w:t xml:space="preserve"> and solar transmittance</w:t>
      </w:r>
      <w:r>
        <w:rPr>
          <w:rStyle w:val="9"/>
          <w:rFonts w:ascii="Times New Roman" w:hAnsi="Times New Roman"/>
          <w:b w:val="0"/>
        </w:rPr>
        <w:t xml:space="preserve"> </w:t>
      </w:r>
      <w:r>
        <w:rPr>
          <w:rFonts w:ascii="Times New Roman" w:hAnsi="Times New Roman"/>
        </w:rPr>
        <w:t>of the AgNW/PET film</w:t>
      </w:r>
      <w:r>
        <w:rPr>
          <w:rFonts w:hint="eastAsia" w:ascii="Times New Roman" w:hAnsi="Times New Roman"/>
        </w:rPr>
        <w:t xml:space="preserve"> are illustrated in</w:t>
      </w:r>
      <w:r>
        <w:rPr>
          <w:rFonts w:ascii="Times New Roman" w:hAnsi="Times New Roman"/>
        </w:rPr>
        <w:t xml:space="preserve"> </w:t>
      </w:r>
      <w:r>
        <w:rPr>
          <w:rFonts w:ascii="Times New Roman" w:hAnsi="Times New Roman"/>
          <w:b/>
          <w:bCs/>
          <w:color w:val="0000FF"/>
        </w:rPr>
        <w:t>Fig</w:t>
      </w:r>
      <w:r>
        <w:rPr>
          <w:rFonts w:hint="eastAsia" w:ascii="Times New Roman" w:hAnsi="Times New Roman"/>
          <w:b/>
          <w:bCs/>
          <w:color w:val="0000FF"/>
          <w:lang w:val="en-US" w:eastAsia="zh-CN"/>
        </w:rPr>
        <w:t>.</w:t>
      </w:r>
      <w:r>
        <w:rPr>
          <w:rFonts w:ascii="Times New Roman" w:hAnsi="Times New Roman"/>
          <w:b/>
          <w:bCs/>
          <w:color w:val="0000FF"/>
        </w:rPr>
        <w:t xml:space="preserve"> </w:t>
      </w:r>
      <w:r>
        <w:rPr>
          <w:rFonts w:hint="eastAsia" w:ascii="Times New Roman" w:hAnsi="Times New Roman"/>
          <w:b/>
          <w:bCs/>
          <w:color w:val="0000FF"/>
        </w:rPr>
        <w:t>S1</w:t>
      </w:r>
      <w:r>
        <w:rPr>
          <w:rFonts w:hint="eastAsia" w:ascii="Times New Roman" w:hAnsi="Times New Roman"/>
          <w:b/>
          <w:bCs/>
          <w:color w:val="0000FF"/>
          <w:lang w:val="en-US" w:eastAsia="zh-CN"/>
        </w:rPr>
        <w:t>7</w:t>
      </w:r>
      <w:r>
        <w:rPr>
          <w:rStyle w:val="9"/>
          <w:rFonts w:hint="eastAsia" w:ascii="Times New Roman" w:hAnsi="Times New Roman" w:eastAsia="宋体"/>
          <w:color w:val="0070C0"/>
        </w:rPr>
        <w:t xml:space="preserve"> </w:t>
      </w:r>
      <w:r>
        <w:rPr>
          <w:rStyle w:val="9"/>
          <w:rFonts w:hint="eastAsia" w:ascii="Times New Roman" w:hAnsi="Times New Roman" w:eastAsia="宋体"/>
          <w:b w:val="0"/>
        </w:rPr>
        <w:t xml:space="preserve">and </w:t>
      </w:r>
      <w:r>
        <w:rPr>
          <w:rFonts w:hint="eastAsia" w:ascii="Times New Roman" w:hAnsi="Times New Roman"/>
          <w:b/>
          <w:bCs/>
          <w:color w:val="0000FF"/>
        </w:rPr>
        <w:t>Fig</w:t>
      </w:r>
      <w:r>
        <w:rPr>
          <w:rFonts w:hint="eastAsia" w:ascii="Times New Roman" w:hAnsi="Times New Roman"/>
          <w:b/>
          <w:bCs/>
          <w:color w:val="0000FF"/>
          <w:lang w:val="en-US" w:eastAsia="zh-CN"/>
        </w:rPr>
        <w:t>.</w:t>
      </w:r>
      <w:r>
        <w:rPr>
          <w:rFonts w:hint="eastAsia" w:ascii="Times New Roman" w:hAnsi="Times New Roman"/>
          <w:b/>
          <w:bCs/>
          <w:color w:val="0000FF"/>
        </w:rPr>
        <w:t xml:space="preserve"> S1</w:t>
      </w:r>
      <w:r>
        <w:rPr>
          <w:rFonts w:hint="eastAsia" w:ascii="Times New Roman" w:hAnsi="Times New Roman"/>
          <w:b/>
          <w:bCs/>
          <w:color w:val="0000FF"/>
          <w:lang w:val="en-US" w:eastAsia="zh-CN"/>
        </w:rPr>
        <w:t>8</w:t>
      </w:r>
      <w:r>
        <w:rPr>
          <w:rStyle w:val="9"/>
          <w:rFonts w:hint="eastAsia" w:ascii="Times New Roman" w:hAnsi="Times New Roman" w:eastAsia="宋体"/>
          <w:b w:val="0"/>
        </w:rPr>
        <w:t>.</w:t>
      </w:r>
      <w:r>
        <w:rPr>
          <w:rStyle w:val="9"/>
          <w:rFonts w:ascii="Times New Roman" w:hAnsi="Times New Roman" w:eastAsia="宋体"/>
          <w:b w:val="0"/>
        </w:rPr>
        <w:t xml:space="preserve"> </w:t>
      </w:r>
    </w:p>
    <w:p w14:paraId="0D464899">
      <w:pPr>
        <w:rPr>
          <w:rStyle w:val="9"/>
          <w:rFonts w:ascii="Times New Roman" w:hAnsi="Times New Roman" w:eastAsia="宋体" w:cs="Times New Roman"/>
          <w:b w:val="0"/>
          <w:sz w:val="24"/>
        </w:rPr>
      </w:pPr>
      <w:r>
        <w:rPr>
          <w:rStyle w:val="9"/>
          <w:rFonts w:ascii="Times New Roman" w:hAnsi="Times New Roman" w:eastAsia="宋体" w:cs="Times New Roman"/>
          <w:b w:val="0"/>
          <w:sz w:val="24"/>
        </w:rPr>
        <w:br w:type="page"/>
      </w:r>
    </w:p>
    <w:p w14:paraId="5634F35C">
      <w:pPr>
        <w:pStyle w:val="5"/>
        <w:widowControl/>
        <w:spacing w:beforeAutospacing="0" w:after="312" w:afterLines="100" w:afterAutospacing="0" w:line="480" w:lineRule="auto"/>
        <w:jc w:val="both"/>
        <w:rPr>
          <w:rFonts w:ascii="Times New Roman" w:hAnsi="Times New Roman"/>
          <w:b/>
          <w:bCs/>
        </w:rPr>
      </w:pPr>
      <w:r>
        <w:rPr>
          <w:rFonts w:hint="eastAsia" w:ascii="Times New Roman" w:hAnsi="Times New Roman"/>
          <w:b/>
          <w:bCs/>
        </w:rPr>
        <w:t>Supplementary Note 3. Detailed explanation of the optical simulation for PDMS</w:t>
      </w:r>
    </w:p>
    <w:p w14:paraId="26D43D07">
      <w:pPr>
        <w:pStyle w:val="5"/>
        <w:widowControl/>
        <w:spacing w:beforeAutospacing="0" w:after="312" w:afterLines="100" w:afterAutospacing="0" w:line="480" w:lineRule="auto"/>
        <w:jc w:val="both"/>
        <w:rPr>
          <w:rFonts w:ascii="Times New Roman" w:hAnsi="Times New Roman"/>
          <w:bCs/>
        </w:rPr>
      </w:pPr>
      <w:r>
        <w:rPr>
          <w:rFonts w:ascii="Times New Roman" w:hAnsi="Times New Roman"/>
          <w:bCs/>
        </w:rPr>
        <w:t xml:space="preserve">The infrared emissivity of the PDMS film is affected by its thickness. With a specific thickness, the film becomes completely opaque to infrared radiation, and its emissivity is then determined by the interfacial reflection at the material's </w:t>
      </w:r>
      <w:r>
        <w:rPr>
          <w:rFonts w:ascii="Times New Roman" w:hAnsi="Times New Roman"/>
        </w:rPr>
        <w:t>surface</w:t>
      </w:r>
      <w:r>
        <w:rPr>
          <w:rFonts w:ascii="Times New Roman" w:hAnsi="Times New Roman"/>
          <w:bCs/>
        </w:rPr>
        <w:t>. The absorption (emissivity) and reflectance of the material can be calculated by its intrinsic refractive index (</w:t>
      </w:r>
      <w:r>
        <w:rPr>
          <w:rFonts w:ascii="Times New Roman" w:hAnsi="Times New Roman"/>
          <w:b/>
          <w:i/>
          <w:iCs/>
        </w:rPr>
        <w:t>n</w:t>
      </w:r>
      <w:r>
        <w:rPr>
          <w:rFonts w:ascii="Times New Roman" w:hAnsi="Times New Roman"/>
          <w:bCs/>
        </w:rPr>
        <w:t>) and extinction coefficient (</w:t>
      </w:r>
      <w:r>
        <w:rPr>
          <w:rFonts w:ascii="Times New Roman" w:hAnsi="Times New Roman"/>
          <w:b/>
          <w:i/>
          <w:iCs/>
        </w:rPr>
        <w:t>k</w:t>
      </w:r>
      <w:r>
        <w:rPr>
          <w:rFonts w:ascii="Times New Roman" w:hAnsi="Times New Roman"/>
          <w:bCs/>
        </w:rPr>
        <w:t xml:space="preserve">). In this study, the optical constants of PDMS reported by Zhang et al. </w:t>
      </w:r>
      <w:r>
        <w:rPr>
          <w:rFonts w:hint="eastAsia" w:ascii="Times New Roman" w:hAnsi="Times New Roman"/>
          <w:b/>
          <w:bCs/>
          <w:color w:val="0000FF"/>
        </w:rPr>
        <w:fldChar w:fldCharType="begin"/>
      </w:r>
      <w:r>
        <w:rPr>
          <w:rFonts w:hint="eastAsia" w:ascii="Times New Roman" w:hAnsi="Times New Roman"/>
          <w:b/>
          <w:bCs/>
          <w:color w:val="0000FF"/>
        </w:rPr>
        <w:instrText xml:space="preserve"> ADDIN EN.CITE &lt;EndNote&gt;&lt;Cite&gt;&lt;Author&gt;Zhang&lt;/Author&gt;&lt;Year&gt;2020&lt;/Year&gt;&lt;RecNum&gt;1144&lt;/RecNum&gt;&lt;DisplayText&gt;[2]&lt;/DisplayText&gt;&lt;record&gt;&lt;rec-number&gt;1144&lt;/rec-number&gt;&lt;foreign-keys&gt;&lt;key app="EN" db-id="paaztsr04trapte5f9cpv9ss0fav5erzzr9a" timestamp="1757906514"&gt;1144&lt;/key&gt;&lt;/foreign-keys&gt;&lt;ref-type name="Journal Article"&gt;17&lt;/ref-type&gt;&lt;contributors&gt;&lt;authors&gt;&lt;author&gt;Zhang, Xiaoning&lt;/author&gt;&lt;author&gt;Qiu, Jun&lt;/author&gt;&lt;author&gt;Li, Xingcan&lt;/author&gt;&lt;author&gt;Zhao, Junming&lt;/author&gt;&lt;author&gt;Liu, Linhua&lt;/author&gt;&lt;/authors&gt;&lt;/contributors&gt;&lt;titles&gt;&lt;title&gt;Complex refractive indices measurements of polymers in visible and near-infrared bands&lt;/title&gt;&lt;secondary-title&gt;Applied optics&lt;/secondary-title&gt;&lt;/titles&gt;&lt;periodical&gt;&lt;full-title&gt;Applied Optics&lt;/full-title&gt;&lt;abbr-1&gt;Appl. Opt.&lt;/abbr-1&gt;&lt;/periodical&gt;&lt;pages&gt;2337-2344&lt;/pages&gt;&lt;volume&gt;59&lt;/volume&gt;&lt;number&gt;8&lt;/number&gt;&lt;dates&gt;&lt;year&gt;2020&lt;/year&gt;&lt;/dates&gt;&lt;isbn&gt;1559-128X&lt;/isbn&gt;&lt;urls&gt;&lt;/urls&gt;&lt;/record&gt;&lt;/Cite&gt;&lt;/EndNote&gt;</w:instrText>
      </w:r>
      <w:r>
        <w:rPr>
          <w:rFonts w:hint="eastAsia" w:ascii="Times New Roman" w:hAnsi="Times New Roman"/>
          <w:b/>
          <w:bCs/>
          <w:color w:val="0000FF"/>
        </w:rPr>
        <w:fldChar w:fldCharType="separate"/>
      </w:r>
      <w:r>
        <w:rPr>
          <w:rFonts w:hint="eastAsia" w:ascii="Times New Roman" w:hAnsi="Times New Roman"/>
          <w:b/>
          <w:bCs/>
          <w:color w:val="0000FF"/>
        </w:rPr>
        <w:t>[2]</w:t>
      </w:r>
      <w:r>
        <w:rPr>
          <w:rFonts w:hint="eastAsia" w:ascii="Times New Roman" w:hAnsi="Times New Roman"/>
          <w:b/>
          <w:bCs/>
          <w:color w:val="0000FF"/>
        </w:rPr>
        <w:fldChar w:fldCharType="end"/>
      </w:r>
      <w:r>
        <w:rPr>
          <w:rFonts w:ascii="Times New Roman" w:hAnsi="Times New Roman"/>
          <w:bCs/>
        </w:rPr>
        <w:t xml:space="preserve"> (see</w:t>
      </w:r>
      <w:r>
        <w:rPr>
          <w:rFonts w:ascii="Times New Roman" w:hAnsi="Times New Roman"/>
          <w:b/>
          <w:bCs/>
          <w:color w:val="0000FF"/>
        </w:rPr>
        <w:t xml:space="preserve"> Fig</w:t>
      </w:r>
      <w:r>
        <w:rPr>
          <w:rFonts w:hint="eastAsia" w:ascii="Times New Roman" w:hAnsi="Times New Roman"/>
          <w:b/>
          <w:bCs/>
          <w:color w:val="0000FF"/>
          <w:lang w:val="en-US" w:eastAsia="zh-CN"/>
        </w:rPr>
        <w:t>.</w:t>
      </w:r>
      <w:r>
        <w:rPr>
          <w:rFonts w:ascii="Times New Roman" w:hAnsi="Times New Roman"/>
          <w:b/>
          <w:bCs/>
          <w:color w:val="0000FF"/>
        </w:rPr>
        <w:t xml:space="preserve"> </w:t>
      </w:r>
      <w:r>
        <w:rPr>
          <w:rFonts w:hint="eastAsia" w:ascii="Times New Roman" w:hAnsi="Times New Roman"/>
          <w:b/>
          <w:bCs/>
          <w:color w:val="0000FF"/>
        </w:rPr>
        <w:t>S2</w:t>
      </w:r>
      <w:r>
        <w:rPr>
          <w:rFonts w:hint="eastAsia" w:ascii="Times New Roman" w:hAnsi="Times New Roman"/>
          <w:b/>
          <w:bCs/>
          <w:color w:val="0000FF"/>
          <w:lang w:val="en-US" w:eastAsia="zh-CN"/>
        </w:rPr>
        <w:t>0</w:t>
      </w:r>
      <w:r>
        <w:rPr>
          <w:rFonts w:ascii="Times New Roman" w:hAnsi="Times New Roman"/>
          <w:bCs/>
        </w:rPr>
        <w:t>) were collected and used, to calculate the reflectance and absorption (emissivity) of PDMS.</w:t>
      </w:r>
    </w:p>
    <w:p w14:paraId="0C4F8610">
      <w:pPr>
        <w:pStyle w:val="5"/>
        <w:widowControl/>
        <w:spacing w:beforeAutospacing="0" w:after="312" w:afterLines="100" w:afterAutospacing="0" w:line="480" w:lineRule="auto"/>
        <w:jc w:val="both"/>
        <w:rPr>
          <w:rFonts w:ascii="Times New Roman" w:hAnsi="Times New Roman"/>
          <w:bCs/>
        </w:rPr>
      </w:pPr>
      <w:r>
        <w:rPr>
          <w:rFonts w:hint="eastAsia" w:ascii="Times New Roman" w:hAnsi="Times New Roman"/>
          <w:bCs/>
        </w:rPr>
        <w:t xml:space="preserve">For the emit direction normal to the PDMS surface, the interfacial reflectance between PDMS and air can be calculated using </w:t>
      </w:r>
      <w:r>
        <w:rPr>
          <w:rFonts w:hint="eastAsia" w:ascii="Times New Roman" w:hAnsi="Times New Roman"/>
          <w:b/>
          <w:bCs/>
          <w:color w:val="0000FF"/>
        </w:rPr>
        <w:t>Equation (2)</w:t>
      </w:r>
      <w:r>
        <w:rPr>
          <w:rFonts w:hint="eastAsia" w:ascii="Times New Roman" w:hAnsi="Times New Roman"/>
          <w:bCs/>
        </w:rPr>
        <w:t xml:space="preserve">, and the emissivity can be calculated using </w:t>
      </w:r>
      <w:r>
        <w:rPr>
          <w:rFonts w:hint="eastAsia" w:ascii="Times New Roman" w:hAnsi="Times New Roman"/>
          <w:b/>
          <w:bCs/>
          <w:color w:val="0000FF"/>
        </w:rPr>
        <w:t>Equation (3)</w:t>
      </w:r>
      <w:r>
        <w:rPr>
          <w:rFonts w:hint="eastAsia" w:ascii="Times New Roman" w:hAnsi="Times New Roman"/>
          <w:bCs/>
        </w:rPr>
        <w:t>.</w:t>
      </w:r>
    </w:p>
    <w:p w14:paraId="27A1E9E6">
      <w:pPr>
        <w:tabs>
          <w:tab w:val="center" w:pos="4515"/>
          <w:tab w:val="right" w:pos="9030"/>
        </w:tabs>
        <w:spacing w:after="312" w:afterLines="100"/>
        <w:rPr>
          <w:rFonts w:ascii="Times New Roman" w:hAnsi="Times New Roman" w:eastAsia="宋体" w:cs="Times New Roman"/>
          <w:bCs/>
          <w:sz w:val="24"/>
        </w:rPr>
      </w:pPr>
      <w:r>
        <w:rPr>
          <w:rFonts w:hint="eastAsia" w:ascii="Times New Roman" w:hAnsi="Times New Roman" w:eastAsia="宋体"/>
          <w:bCs/>
          <w:position w:val="-30"/>
          <w:sz w:val="24"/>
        </w:rPr>
        <w:tab/>
      </w:r>
      <w:r>
        <w:rPr>
          <w:rFonts w:ascii="Times New Roman" w:hAnsi="Times New Roman" w:eastAsia="宋体"/>
          <w:bCs/>
          <w:position w:val="-30"/>
          <w:sz w:val="24"/>
        </w:rPr>
        <w:object>
          <v:shape id="_x0000_i1026" o:spt="75" type="#_x0000_t75" style="height:39.75pt;width:202.9pt;" o:ole="t" filled="f" o:preferrelative="t" stroked="f" coordsize="21600,21600">
            <v:path/>
            <v:fill on="f" focussize="0,0"/>
            <v:stroke on="f" joinstyle="miter"/>
            <v:imagedata r:id="rId7" o:title=""/>
            <o:lock v:ext="edit" aspectratio="t"/>
            <w10:wrap type="none"/>
            <w10:anchorlock/>
          </v:shape>
          <o:OLEObject Type="Embed" ProgID="Equation.DSMT4" ShapeID="_x0000_i1026" DrawAspect="Content" ObjectID="_1468075726" r:id="rId6">
            <o:LockedField>false</o:LockedField>
          </o:OLEObject>
        </w:object>
      </w:r>
      <w:r>
        <w:rPr>
          <w:rFonts w:hint="eastAsia" w:ascii="Times New Roman" w:hAnsi="Times New Roman" w:eastAsia="宋体"/>
          <w:bCs/>
          <w:sz w:val="24"/>
        </w:rPr>
        <w:tab/>
      </w:r>
      <w:r>
        <w:rPr>
          <w:rFonts w:ascii="Times New Roman" w:hAnsi="Times New Roman" w:eastAsia="宋体" w:cs="Times New Roman"/>
          <w:bCs/>
          <w:sz w:val="24"/>
        </w:rPr>
        <w:t>(</w:t>
      </w:r>
      <w:r>
        <w:rPr>
          <w:rFonts w:ascii="Times New Roman" w:hAnsi="Times New Roman" w:eastAsia="宋体" w:cs="Times New Roman"/>
          <w:bCs/>
          <w:sz w:val="24"/>
        </w:rPr>
        <w:fldChar w:fldCharType="begin"/>
      </w:r>
      <w:r>
        <w:rPr>
          <w:rFonts w:ascii="Times New Roman" w:hAnsi="Times New Roman" w:eastAsia="宋体" w:cs="Times New Roman"/>
          <w:bCs/>
          <w:sz w:val="24"/>
        </w:rPr>
        <w:instrText xml:space="preserve"> SEQ (7- \* ARABIC </w:instrText>
      </w:r>
      <w:r>
        <w:rPr>
          <w:rFonts w:ascii="Times New Roman" w:hAnsi="Times New Roman" w:eastAsia="宋体" w:cs="Times New Roman"/>
          <w:bCs/>
          <w:sz w:val="24"/>
        </w:rPr>
        <w:fldChar w:fldCharType="separate"/>
      </w:r>
      <w:r>
        <w:rPr>
          <w:rFonts w:ascii="Times New Roman" w:hAnsi="Times New Roman" w:eastAsia="宋体" w:cs="Times New Roman"/>
          <w:bCs/>
          <w:sz w:val="24"/>
        </w:rPr>
        <w:t>2</w:t>
      </w:r>
      <w:r>
        <w:rPr>
          <w:rFonts w:ascii="Times New Roman" w:hAnsi="Times New Roman" w:eastAsia="宋体" w:cs="Times New Roman"/>
          <w:bCs/>
          <w:sz w:val="24"/>
        </w:rPr>
        <w:fldChar w:fldCharType="end"/>
      </w:r>
      <w:r>
        <w:rPr>
          <w:rFonts w:ascii="Times New Roman" w:hAnsi="Times New Roman" w:eastAsia="宋体" w:cs="Times New Roman"/>
          <w:bCs/>
          <w:sz w:val="24"/>
        </w:rPr>
        <w:t>)</w:t>
      </w:r>
    </w:p>
    <w:p w14:paraId="72E649EC">
      <w:pPr>
        <w:tabs>
          <w:tab w:val="center" w:pos="4515"/>
          <w:tab w:val="right" w:pos="9030"/>
        </w:tabs>
        <w:spacing w:after="312" w:afterLines="100"/>
        <w:rPr>
          <w:rFonts w:ascii="Times New Roman" w:hAnsi="Times New Roman" w:eastAsia="宋体" w:cs="Times New Roman"/>
          <w:bCs/>
          <w:sz w:val="24"/>
        </w:rPr>
      </w:pPr>
      <w:r>
        <w:rPr>
          <w:rFonts w:ascii="Times New Roman" w:hAnsi="Times New Roman" w:eastAsia="宋体" w:cs="Times New Roman"/>
          <w:bCs/>
          <w:sz w:val="24"/>
        </w:rPr>
        <w:tab/>
      </w:r>
      <w:r>
        <w:rPr>
          <w:rFonts w:ascii="Times New Roman" w:hAnsi="Times New Roman" w:eastAsia="宋体" w:cs="Times New Roman"/>
          <w:bCs/>
          <w:sz w:val="24"/>
        </w:rPr>
        <w:object>
          <v:shape id="_x0000_i1027" o:spt="75" type="#_x0000_t75" style="height:39.75pt;width:247.3pt;" o:ole="t" filled="f" o:preferrelative="t" stroked="f" coordsize="21600,21600">
            <v:path/>
            <v:fill on="f" focussize="0,0"/>
            <v:stroke on="f" joinstyle="miter"/>
            <v:imagedata r:id="rId9" o:title=""/>
            <o:lock v:ext="edit" aspectratio="t"/>
            <w10:wrap type="none"/>
            <w10:anchorlock/>
          </v:shape>
          <o:OLEObject Type="Embed" ProgID="Equation.DSMT4" ShapeID="_x0000_i1027" DrawAspect="Content" ObjectID="_1468075727" r:id="rId8">
            <o:LockedField>false</o:LockedField>
          </o:OLEObject>
        </w:object>
      </w:r>
      <w:r>
        <w:rPr>
          <w:rFonts w:ascii="Times New Roman" w:hAnsi="Times New Roman" w:eastAsia="宋体" w:cs="Times New Roman"/>
          <w:bCs/>
          <w:sz w:val="24"/>
        </w:rPr>
        <w:tab/>
      </w:r>
      <w:r>
        <w:rPr>
          <w:rFonts w:ascii="Times New Roman" w:hAnsi="Times New Roman" w:eastAsia="宋体" w:cs="Times New Roman"/>
          <w:bCs/>
          <w:sz w:val="24"/>
        </w:rPr>
        <w:t>(</w:t>
      </w:r>
      <w:r>
        <w:rPr>
          <w:rFonts w:ascii="Times New Roman" w:hAnsi="Times New Roman" w:eastAsia="宋体" w:cs="Times New Roman"/>
          <w:bCs/>
          <w:sz w:val="24"/>
        </w:rPr>
        <w:fldChar w:fldCharType="begin"/>
      </w:r>
      <w:r>
        <w:rPr>
          <w:rFonts w:ascii="Times New Roman" w:hAnsi="Times New Roman" w:eastAsia="宋体" w:cs="Times New Roman"/>
          <w:bCs/>
          <w:sz w:val="24"/>
        </w:rPr>
        <w:instrText xml:space="preserve"> SEQ (7- \* ARABIC </w:instrText>
      </w:r>
      <w:r>
        <w:rPr>
          <w:rFonts w:ascii="Times New Roman" w:hAnsi="Times New Roman" w:eastAsia="宋体" w:cs="Times New Roman"/>
          <w:bCs/>
          <w:sz w:val="24"/>
        </w:rPr>
        <w:fldChar w:fldCharType="separate"/>
      </w:r>
      <w:r>
        <w:rPr>
          <w:rFonts w:ascii="Times New Roman" w:hAnsi="Times New Roman" w:eastAsia="宋体" w:cs="Times New Roman"/>
          <w:bCs/>
          <w:sz w:val="24"/>
        </w:rPr>
        <w:t>3</w:t>
      </w:r>
      <w:r>
        <w:rPr>
          <w:rFonts w:ascii="Times New Roman" w:hAnsi="Times New Roman" w:eastAsia="宋体" w:cs="Times New Roman"/>
          <w:bCs/>
          <w:sz w:val="24"/>
        </w:rPr>
        <w:fldChar w:fldCharType="end"/>
      </w:r>
      <w:r>
        <w:rPr>
          <w:rFonts w:ascii="Times New Roman" w:hAnsi="Times New Roman" w:eastAsia="宋体" w:cs="Times New Roman"/>
          <w:bCs/>
          <w:sz w:val="24"/>
        </w:rPr>
        <w:t>)</w:t>
      </w:r>
    </w:p>
    <w:p w14:paraId="3BE2FC41">
      <w:pPr>
        <w:tabs>
          <w:tab w:val="left" w:pos="567"/>
        </w:tabs>
        <w:spacing w:line="360" w:lineRule="auto"/>
        <w:rPr>
          <w:rFonts w:ascii="Times New Roman" w:hAnsi="Times New Roman" w:eastAsia="宋体" w:cs="Times New Roman"/>
          <w:bCs/>
          <w:sz w:val="24"/>
        </w:rPr>
      </w:pPr>
      <w:r>
        <w:rPr>
          <w:rFonts w:ascii="Times New Roman" w:hAnsi="Times New Roman" w:eastAsia="宋体" w:cs="Times New Roman"/>
          <w:bCs/>
          <w:sz w:val="24"/>
        </w:rPr>
        <w:t>Where</w:t>
      </w:r>
      <w:r>
        <w:rPr>
          <w:rFonts w:ascii="Times New Roman" w:hAnsi="Times New Roman" w:eastAsia="宋体" w:cs="Times New Roman"/>
          <w:bCs/>
          <w:sz w:val="24"/>
        </w:rPr>
        <w:tab/>
      </w:r>
      <w:r>
        <w:rPr>
          <w:rFonts w:ascii="Symbol" w:hAnsi="Symbol" w:eastAsia="宋体" w:cs="Times New Roman"/>
          <w:b/>
          <w:i/>
          <w:iCs/>
          <w:sz w:val="24"/>
        </w:rPr>
        <w:t></w:t>
      </w:r>
      <w:r>
        <w:rPr>
          <w:rFonts w:ascii="Times New Roman" w:hAnsi="Times New Roman" w:eastAsia="宋体" w:cs="Times New Roman"/>
          <w:b/>
          <w:i/>
          <w:iCs/>
          <w:sz w:val="24"/>
          <w:vertAlign w:val="subscript"/>
        </w:rPr>
        <w:t>a-PDMS</w:t>
      </w:r>
      <w:r>
        <w:rPr>
          <w:rFonts w:ascii="Times New Roman" w:hAnsi="Times New Roman" w:eastAsia="宋体" w:cs="Times New Roman"/>
          <w:bCs/>
          <w:sz w:val="24"/>
        </w:rPr>
        <w:t xml:space="preserve"> (dimensionless) is the reflectance at the air-to-PDMS interface; </w:t>
      </w:r>
    </w:p>
    <w:p w14:paraId="515A20CB">
      <w:pPr>
        <w:tabs>
          <w:tab w:val="left" w:pos="567"/>
        </w:tabs>
        <w:spacing w:after="156" w:afterLines="50" w:line="360" w:lineRule="auto"/>
        <w:ind w:left="420" w:firstLine="420"/>
        <w:rPr>
          <w:rFonts w:ascii="Times New Roman" w:hAnsi="Times New Roman" w:eastAsia="宋体" w:cs="Times New Roman"/>
          <w:bCs/>
          <w:sz w:val="24"/>
        </w:rPr>
      </w:pPr>
      <w:r>
        <w:rPr>
          <w:rFonts w:ascii="Symbol" w:hAnsi="Symbol" w:eastAsia="宋体" w:cs="Times New Roman"/>
          <w:bCs/>
          <w:sz w:val="24"/>
        </w:rPr>
        <w:t></w:t>
      </w:r>
      <w:r>
        <w:rPr>
          <w:rFonts w:ascii="Times New Roman" w:hAnsi="Times New Roman" w:eastAsia="宋体" w:cs="Times New Roman"/>
          <w:bCs/>
          <w:i/>
          <w:iCs/>
          <w:sz w:val="24"/>
          <w:vertAlign w:val="subscript"/>
        </w:rPr>
        <w:t>PDMS</w:t>
      </w:r>
      <w:r>
        <w:rPr>
          <w:rFonts w:ascii="Times New Roman" w:hAnsi="Times New Roman" w:eastAsia="宋体" w:cs="Times New Roman"/>
          <w:bCs/>
          <w:sz w:val="24"/>
        </w:rPr>
        <w:t xml:space="preserve"> (μm) is the thickness of PDMS layer.</w:t>
      </w:r>
    </w:p>
    <w:p w14:paraId="5316B7AA">
      <w:pPr>
        <w:pStyle w:val="5"/>
        <w:widowControl/>
        <w:spacing w:beforeAutospacing="0" w:after="312" w:afterLines="100" w:afterAutospacing="0" w:line="480" w:lineRule="auto"/>
        <w:jc w:val="both"/>
        <w:rPr>
          <w:rFonts w:ascii="Times New Roman" w:hAnsi="Times New Roman"/>
          <w:bCs/>
        </w:rPr>
      </w:pPr>
      <w:r>
        <w:rPr>
          <w:rFonts w:ascii="Times New Roman" w:hAnsi="Times New Roman"/>
          <w:bCs/>
        </w:rPr>
        <w:t>With tilted incident angle, the interfacial reflectance can be calculated by:</w:t>
      </w:r>
    </w:p>
    <w:p w14:paraId="1073ACE3">
      <w:pPr>
        <w:tabs>
          <w:tab w:val="center" w:pos="4515"/>
          <w:tab w:val="right" w:pos="9030"/>
        </w:tabs>
        <w:spacing w:after="312" w:afterLines="100"/>
        <w:rPr>
          <w:rFonts w:ascii="Times New Roman" w:hAnsi="Times New Roman" w:eastAsia="宋体" w:cs="Times New Roman"/>
          <w:bCs/>
          <w:sz w:val="24"/>
        </w:rPr>
      </w:pPr>
      <w:r>
        <w:rPr>
          <w:rFonts w:ascii="Times New Roman" w:hAnsi="Times New Roman" w:eastAsia="宋体" w:cs="Times New Roman"/>
          <w:bCs/>
          <w:position w:val="-34"/>
          <w:sz w:val="24"/>
        </w:rPr>
        <w:tab/>
      </w:r>
      <w:r>
        <w:rPr>
          <w:rFonts w:ascii="Times New Roman" w:hAnsi="Times New Roman" w:eastAsia="宋体" w:cs="Times New Roman"/>
          <w:bCs/>
          <w:position w:val="-34"/>
          <w:sz w:val="24"/>
        </w:rPr>
        <w:object>
          <v:shape id="_x0000_i1028" o:spt="75" type="#_x0000_t75" style="height:45.35pt;width:238.9pt;" o:ole="t" filled="f" o:preferrelative="t" stroked="f" coordsize="21600,21600">
            <v:path/>
            <v:fill on="f" focussize="0,0"/>
            <v:stroke on="f" joinstyle="miter"/>
            <v:imagedata r:id="rId11" o:title=""/>
            <o:lock v:ext="edit" aspectratio="t"/>
            <w10:wrap type="none"/>
            <w10:anchorlock/>
          </v:shape>
          <o:OLEObject Type="Embed" ProgID="Equation.DSMT4" ShapeID="_x0000_i1028" DrawAspect="Content" ObjectID="_1468075728" r:id="rId10">
            <o:LockedField>false</o:LockedField>
          </o:OLEObject>
        </w:object>
      </w:r>
      <w:r>
        <w:rPr>
          <w:rFonts w:ascii="Times New Roman" w:hAnsi="Times New Roman" w:eastAsia="宋体" w:cs="Times New Roman"/>
          <w:bCs/>
          <w:sz w:val="24"/>
        </w:rPr>
        <w:tab/>
      </w:r>
      <w:r>
        <w:rPr>
          <w:rFonts w:ascii="Times New Roman" w:hAnsi="Times New Roman" w:eastAsia="宋体" w:cs="Times New Roman"/>
          <w:bCs/>
          <w:sz w:val="24"/>
        </w:rPr>
        <w:t>(</w:t>
      </w:r>
      <w:r>
        <w:rPr>
          <w:rFonts w:ascii="Times New Roman" w:hAnsi="Times New Roman" w:eastAsia="宋体" w:cs="Times New Roman"/>
          <w:bCs/>
          <w:sz w:val="24"/>
        </w:rPr>
        <w:fldChar w:fldCharType="begin"/>
      </w:r>
      <w:r>
        <w:rPr>
          <w:rFonts w:ascii="Times New Roman" w:hAnsi="Times New Roman" w:eastAsia="宋体" w:cs="Times New Roman"/>
          <w:bCs/>
          <w:sz w:val="24"/>
        </w:rPr>
        <w:instrText xml:space="preserve"> SEQ (7- \* ARABIC </w:instrText>
      </w:r>
      <w:r>
        <w:rPr>
          <w:rFonts w:ascii="Times New Roman" w:hAnsi="Times New Roman" w:eastAsia="宋体" w:cs="Times New Roman"/>
          <w:bCs/>
          <w:sz w:val="24"/>
        </w:rPr>
        <w:fldChar w:fldCharType="separate"/>
      </w:r>
      <w:r>
        <w:rPr>
          <w:rFonts w:ascii="Times New Roman" w:hAnsi="Times New Roman" w:eastAsia="宋体" w:cs="Times New Roman"/>
          <w:bCs/>
          <w:sz w:val="24"/>
        </w:rPr>
        <w:t>4</w:t>
      </w:r>
      <w:r>
        <w:rPr>
          <w:rFonts w:ascii="Times New Roman" w:hAnsi="Times New Roman" w:eastAsia="宋体" w:cs="Times New Roman"/>
          <w:bCs/>
          <w:sz w:val="24"/>
        </w:rPr>
        <w:fldChar w:fldCharType="end"/>
      </w:r>
      <w:r>
        <w:rPr>
          <w:rFonts w:ascii="Times New Roman" w:hAnsi="Times New Roman" w:eastAsia="宋体" w:cs="Times New Roman"/>
          <w:bCs/>
          <w:sz w:val="24"/>
        </w:rPr>
        <w:t>)</w:t>
      </w:r>
    </w:p>
    <w:p w14:paraId="7F4FAF6B">
      <w:pPr>
        <w:tabs>
          <w:tab w:val="center" w:pos="4515"/>
          <w:tab w:val="right" w:pos="9030"/>
        </w:tabs>
        <w:spacing w:after="312" w:afterLines="100"/>
        <w:rPr>
          <w:rFonts w:ascii="Times New Roman" w:hAnsi="Times New Roman" w:eastAsia="宋体" w:cs="Times New Roman"/>
          <w:bCs/>
          <w:sz w:val="24"/>
        </w:rPr>
      </w:pPr>
      <w:r>
        <w:rPr>
          <w:rFonts w:ascii="Times New Roman" w:hAnsi="Times New Roman" w:eastAsia="宋体" w:cs="Times New Roman"/>
          <w:bCs/>
          <w:sz w:val="24"/>
        </w:rPr>
        <w:tab/>
      </w:r>
      <w:r>
        <w:rPr>
          <w:rFonts w:ascii="Times New Roman" w:hAnsi="Times New Roman" w:eastAsia="宋体" w:cs="Times New Roman"/>
          <w:bCs/>
          <w:sz w:val="24"/>
        </w:rPr>
        <w:object>
          <v:shape id="_x0000_i1029" o:spt="75" type="#_x0000_t75" style="height:45.35pt;width:239.85pt;" o:ole="t" filled="f" o:preferrelative="t" stroked="f" coordsize="21600,21600">
            <v:path/>
            <v:fill on="f" focussize="0,0"/>
            <v:stroke on="f" joinstyle="miter"/>
            <v:imagedata r:id="rId13" o:title=""/>
            <o:lock v:ext="edit" aspectratio="t"/>
            <w10:wrap type="none"/>
            <w10:anchorlock/>
          </v:shape>
          <o:OLEObject Type="Embed" ProgID="Equation.DSMT4" ShapeID="_x0000_i1029" DrawAspect="Content" ObjectID="_1468075729" r:id="rId12">
            <o:LockedField>false</o:LockedField>
          </o:OLEObject>
        </w:object>
      </w:r>
      <w:r>
        <w:rPr>
          <w:rFonts w:ascii="Times New Roman" w:hAnsi="Times New Roman" w:eastAsia="宋体" w:cs="Times New Roman"/>
          <w:bCs/>
          <w:sz w:val="24"/>
        </w:rPr>
        <w:tab/>
      </w:r>
      <w:r>
        <w:rPr>
          <w:rFonts w:ascii="Times New Roman" w:hAnsi="Times New Roman" w:eastAsia="宋体" w:cs="Times New Roman"/>
          <w:bCs/>
          <w:sz w:val="24"/>
        </w:rPr>
        <w:t>(</w:t>
      </w:r>
      <w:r>
        <w:rPr>
          <w:rFonts w:ascii="Times New Roman" w:hAnsi="Times New Roman" w:eastAsia="宋体" w:cs="Times New Roman"/>
          <w:bCs/>
          <w:sz w:val="24"/>
        </w:rPr>
        <w:fldChar w:fldCharType="begin"/>
      </w:r>
      <w:r>
        <w:rPr>
          <w:rFonts w:ascii="Times New Roman" w:hAnsi="Times New Roman" w:eastAsia="宋体" w:cs="Times New Roman"/>
          <w:bCs/>
          <w:sz w:val="24"/>
        </w:rPr>
        <w:instrText xml:space="preserve"> SEQ (7- \* ARABIC </w:instrText>
      </w:r>
      <w:r>
        <w:rPr>
          <w:rFonts w:ascii="Times New Roman" w:hAnsi="Times New Roman" w:eastAsia="宋体" w:cs="Times New Roman"/>
          <w:bCs/>
          <w:sz w:val="24"/>
        </w:rPr>
        <w:fldChar w:fldCharType="separate"/>
      </w:r>
      <w:r>
        <w:rPr>
          <w:rFonts w:ascii="Times New Roman" w:hAnsi="Times New Roman" w:eastAsia="宋体" w:cs="Times New Roman"/>
          <w:bCs/>
          <w:sz w:val="24"/>
        </w:rPr>
        <w:t>5</w:t>
      </w:r>
      <w:r>
        <w:rPr>
          <w:rFonts w:ascii="Times New Roman" w:hAnsi="Times New Roman" w:eastAsia="宋体" w:cs="Times New Roman"/>
          <w:bCs/>
          <w:sz w:val="24"/>
        </w:rPr>
        <w:fldChar w:fldCharType="end"/>
      </w:r>
      <w:r>
        <w:rPr>
          <w:rFonts w:ascii="Times New Roman" w:hAnsi="Times New Roman" w:eastAsia="宋体" w:cs="Times New Roman"/>
          <w:bCs/>
          <w:sz w:val="24"/>
        </w:rPr>
        <w:t>)</w:t>
      </w:r>
    </w:p>
    <w:p w14:paraId="5B1B5C97">
      <w:pPr>
        <w:tabs>
          <w:tab w:val="center" w:pos="4515"/>
          <w:tab w:val="right" w:pos="9030"/>
        </w:tabs>
        <w:spacing w:after="312" w:afterLines="100"/>
        <w:rPr>
          <w:rFonts w:ascii="Times New Roman" w:hAnsi="Times New Roman" w:eastAsia="宋体" w:cs="Times New Roman"/>
          <w:bCs/>
          <w:sz w:val="24"/>
        </w:rPr>
      </w:pPr>
      <w:r>
        <w:rPr>
          <w:rFonts w:ascii="Times New Roman" w:hAnsi="Times New Roman" w:eastAsia="宋体" w:cs="Times New Roman"/>
          <w:bCs/>
          <w:sz w:val="24"/>
        </w:rPr>
        <w:tab/>
      </w:r>
      <w:r>
        <w:rPr>
          <w:rFonts w:ascii="Times New Roman" w:hAnsi="Times New Roman" w:eastAsia="宋体" w:cs="Times New Roman"/>
          <w:bCs/>
          <w:sz w:val="24"/>
        </w:rPr>
        <w:object>
          <v:shape id="_x0000_i1030" o:spt="75" type="#_x0000_t75" style="height:42.55pt;width:155.2pt;" o:ole="t" filled="f" o:preferrelative="t" stroked="f" coordsize="21600,21600">
            <v:path/>
            <v:fill on="f" focussize="0,0"/>
            <v:stroke on="f" joinstyle="miter"/>
            <v:imagedata r:id="rId15" o:title=""/>
            <o:lock v:ext="edit" aspectratio="t"/>
            <w10:wrap type="none"/>
            <w10:anchorlock/>
          </v:shape>
          <o:OLEObject Type="Embed" ProgID="Equation.DSMT4" ShapeID="_x0000_i1030" DrawAspect="Content" ObjectID="_1468075730" r:id="rId14">
            <o:LockedField>false</o:LockedField>
          </o:OLEObject>
        </w:object>
      </w:r>
      <w:r>
        <w:rPr>
          <w:rFonts w:ascii="Times New Roman" w:hAnsi="Times New Roman" w:eastAsia="宋体" w:cs="Times New Roman"/>
          <w:bCs/>
          <w:sz w:val="24"/>
        </w:rPr>
        <w:tab/>
      </w:r>
      <w:r>
        <w:rPr>
          <w:rFonts w:ascii="Times New Roman" w:hAnsi="Times New Roman" w:eastAsia="宋体" w:cs="Times New Roman"/>
          <w:bCs/>
          <w:sz w:val="24"/>
        </w:rPr>
        <w:t>(</w:t>
      </w:r>
      <w:r>
        <w:rPr>
          <w:rFonts w:ascii="Times New Roman" w:hAnsi="Times New Roman" w:eastAsia="宋体" w:cs="Times New Roman"/>
          <w:bCs/>
          <w:sz w:val="24"/>
        </w:rPr>
        <w:fldChar w:fldCharType="begin"/>
      </w:r>
      <w:r>
        <w:rPr>
          <w:rFonts w:ascii="Times New Roman" w:hAnsi="Times New Roman" w:eastAsia="宋体" w:cs="Times New Roman"/>
          <w:bCs/>
          <w:sz w:val="24"/>
        </w:rPr>
        <w:instrText xml:space="preserve"> SEQ (7- \* ARABIC </w:instrText>
      </w:r>
      <w:r>
        <w:rPr>
          <w:rFonts w:ascii="Times New Roman" w:hAnsi="Times New Roman" w:eastAsia="宋体" w:cs="Times New Roman"/>
          <w:bCs/>
          <w:sz w:val="24"/>
        </w:rPr>
        <w:fldChar w:fldCharType="separate"/>
      </w:r>
      <w:r>
        <w:rPr>
          <w:rFonts w:ascii="Times New Roman" w:hAnsi="Times New Roman" w:eastAsia="宋体" w:cs="Times New Roman"/>
          <w:bCs/>
          <w:sz w:val="24"/>
        </w:rPr>
        <w:t>6</w:t>
      </w:r>
      <w:r>
        <w:rPr>
          <w:rFonts w:ascii="Times New Roman" w:hAnsi="Times New Roman" w:eastAsia="宋体" w:cs="Times New Roman"/>
          <w:bCs/>
          <w:sz w:val="24"/>
        </w:rPr>
        <w:fldChar w:fldCharType="end"/>
      </w:r>
      <w:r>
        <w:rPr>
          <w:rFonts w:ascii="Times New Roman" w:hAnsi="Times New Roman" w:eastAsia="宋体" w:cs="Times New Roman"/>
          <w:bCs/>
          <w:sz w:val="24"/>
        </w:rPr>
        <w:t>)</w:t>
      </w:r>
    </w:p>
    <w:p w14:paraId="7090D316">
      <w:pPr>
        <w:tabs>
          <w:tab w:val="center" w:pos="4515"/>
          <w:tab w:val="right" w:pos="9030"/>
        </w:tabs>
        <w:spacing w:after="312" w:afterLines="100"/>
        <w:rPr>
          <w:rFonts w:ascii="Times New Roman" w:hAnsi="Times New Roman" w:eastAsia="宋体" w:cs="Times New Roman"/>
          <w:bCs/>
          <w:sz w:val="24"/>
        </w:rPr>
      </w:pPr>
      <w:r>
        <w:rPr>
          <w:rFonts w:ascii="Times New Roman" w:hAnsi="Times New Roman" w:eastAsia="宋体" w:cs="Times New Roman"/>
          <w:bCs/>
          <w:sz w:val="24"/>
        </w:rPr>
        <w:tab/>
      </w:r>
      <w:r>
        <w:rPr>
          <w:rFonts w:ascii="Times New Roman" w:hAnsi="Times New Roman" w:eastAsia="宋体" w:cs="Times New Roman"/>
          <w:bCs/>
          <w:sz w:val="24"/>
        </w:rPr>
        <w:object>
          <v:shape id="_x0000_i1031" o:spt="75" type="#_x0000_t75" style="height:34.15pt;width:165.05pt;" o:ole="t" filled="f" o:preferrelative="t" stroked="f" coordsize="21600,21600">
            <v:path/>
            <v:fill on="f" focussize="0,0"/>
            <v:stroke on="f" joinstyle="miter"/>
            <v:imagedata r:id="rId17" o:title=""/>
            <o:lock v:ext="edit" aspectratio="t"/>
            <w10:wrap type="none"/>
            <w10:anchorlock/>
          </v:shape>
          <o:OLEObject Type="Embed" ProgID="Equation.DSMT4" ShapeID="_x0000_i1031" DrawAspect="Content" ObjectID="_1468075731" r:id="rId16">
            <o:LockedField>false</o:LockedField>
          </o:OLEObject>
        </w:object>
      </w:r>
      <w:r>
        <w:rPr>
          <w:rFonts w:ascii="Times New Roman" w:hAnsi="Times New Roman" w:eastAsia="宋体" w:cs="Times New Roman"/>
          <w:bCs/>
          <w:sz w:val="24"/>
        </w:rPr>
        <w:tab/>
      </w:r>
      <w:r>
        <w:rPr>
          <w:rFonts w:ascii="Times New Roman" w:hAnsi="Times New Roman" w:eastAsia="宋体" w:cs="Times New Roman"/>
          <w:bCs/>
          <w:sz w:val="24"/>
        </w:rPr>
        <w:t>(</w:t>
      </w:r>
      <w:r>
        <w:rPr>
          <w:rFonts w:ascii="Times New Roman" w:hAnsi="Times New Roman" w:eastAsia="宋体" w:cs="Times New Roman"/>
          <w:bCs/>
          <w:sz w:val="24"/>
        </w:rPr>
        <w:fldChar w:fldCharType="begin"/>
      </w:r>
      <w:r>
        <w:rPr>
          <w:rFonts w:ascii="Times New Roman" w:hAnsi="Times New Roman" w:eastAsia="宋体" w:cs="Times New Roman"/>
          <w:bCs/>
          <w:sz w:val="24"/>
        </w:rPr>
        <w:instrText xml:space="preserve"> SEQ (7- \* ARABIC </w:instrText>
      </w:r>
      <w:r>
        <w:rPr>
          <w:rFonts w:ascii="Times New Roman" w:hAnsi="Times New Roman" w:eastAsia="宋体" w:cs="Times New Roman"/>
          <w:bCs/>
          <w:sz w:val="24"/>
        </w:rPr>
        <w:fldChar w:fldCharType="separate"/>
      </w:r>
      <w:r>
        <w:rPr>
          <w:rFonts w:ascii="Times New Roman" w:hAnsi="Times New Roman" w:eastAsia="宋体" w:cs="Times New Roman"/>
          <w:bCs/>
          <w:sz w:val="24"/>
        </w:rPr>
        <w:t>7</w:t>
      </w:r>
      <w:r>
        <w:rPr>
          <w:rFonts w:ascii="Times New Roman" w:hAnsi="Times New Roman" w:eastAsia="宋体" w:cs="Times New Roman"/>
          <w:bCs/>
          <w:sz w:val="24"/>
        </w:rPr>
        <w:fldChar w:fldCharType="end"/>
      </w:r>
      <w:r>
        <w:rPr>
          <w:rFonts w:ascii="Times New Roman" w:hAnsi="Times New Roman" w:eastAsia="宋体" w:cs="Times New Roman"/>
          <w:bCs/>
          <w:sz w:val="24"/>
        </w:rPr>
        <w:t>)</w:t>
      </w:r>
    </w:p>
    <w:p w14:paraId="058C417E">
      <w:pPr>
        <w:pStyle w:val="5"/>
        <w:widowControl/>
        <w:spacing w:beforeAutospacing="0" w:after="312" w:afterLines="100" w:afterAutospacing="0" w:line="480" w:lineRule="auto"/>
        <w:jc w:val="both"/>
        <w:rPr>
          <w:rFonts w:ascii="Times New Roman" w:hAnsi="Times New Roman"/>
        </w:rPr>
      </w:pPr>
      <w:r>
        <w:rPr>
          <w:rFonts w:ascii="Times New Roman" w:hAnsi="Times New Roman"/>
        </w:rPr>
        <w:t>To verify the accuracy of the emissivity calculation, a comparison was conducted between the calculated values and the tested emissivity of a 10 mm-thick PDMS sample. In this study, the PDMS layer was created by mixing the main agent and curing agent at a 10:1 ratio.</w:t>
      </w:r>
      <w:r>
        <w:rPr>
          <w:rFonts w:ascii="Times New Roman" w:hAnsi="Times New Roman"/>
          <w:b/>
          <w:bCs/>
          <w:color w:val="0070C0"/>
        </w:rPr>
        <w:t xml:space="preserve"> </w:t>
      </w:r>
      <w:r>
        <w:rPr>
          <w:rFonts w:ascii="Times New Roman" w:hAnsi="Times New Roman"/>
          <w:b/>
          <w:bCs/>
          <w:color w:val="0000FF"/>
        </w:rPr>
        <w:t>Fig</w:t>
      </w:r>
      <w:r>
        <w:rPr>
          <w:rFonts w:hint="eastAsia" w:ascii="Times New Roman" w:hAnsi="Times New Roman"/>
          <w:b/>
          <w:bCs/>
          <w:color w:val="0000FF"/>
          <w:lang w:val="en-US" w:eastAsia="zh-CN"/>
        </w:rPr>
        <w:t>.</w:t>
      </w:r>
      <w:r>
        <w:rPr>
          <w:rFonts w:ascii="Times New Roman" w:hAnsi="Times New Roman"/>
          <w:b/>
          <w:bCs/>
          <w:color w:val="0000FF"/>
        </w:rPr>
        <w:t xml:space="preserve"> </w:t>
      </w:r>
      <w:r>
        <w:rPr>
          <w:rFonts w:hint="eastAsia" w:ascii="Times New Roman" w:hAnsi="Times New Roman"/>
          <w:b/>
          <w:bCs/>
          <w:color w:val="0000FF"/>
        </w:rPr>
        <w:t>S2</w:t>
      </w:r>
      <w:r>
        <w:rPr>
          <w:rFonts w:hint="eastAsia" w:ascii="Times New Roman" w:hAnsi="Times New Roman"/>
          <w:b/>
          <w:bCs/>
          <w:color w:val="0000FF"/>
          <w:lang w:val="en-US" w:eastAsia="zh-CN"/>
        </w:rPr>
        <w:t>1</w:t>
      </w:r>
      <w:r>
        <w:rPr>
          <w:rFonts w:hint="eastAsia" w:ascii="Times New Roman" w:hAnsi="Times New Roman"/>
          <w:b/>
          <w:bCs/>
          <w:color w:val="0000FF"/>
        </w:rPr>
        <w:t xml:space="preserve"> </w:t>
      </w:r>
      <w:r>
        <w:rPr>
          <w:rFonts w:ascii="Times New Roman" w:hAnsi="Times New Roman"/>
        </w:rPr>
        <w:t>depicts this comparison between the tested emissivity of PDMS and the calculated value. The results reveal a strong agreement between the two datasets, affirming the model's ability to accurately predict the emissivity of PDMS.</w:t>
      </w:r>
    </w:p>
    <w:p w14:paraId="0C73087F">
      <w:pPr>
        <w:pStyle w:val="5"/>
        <w:widowControl/>
        <w:spacing w:beforeAutospacing="0" w:after="312" w:afterLines="100" w:afterAutospacing="0" w:line="480" w:lineRule="auto"/>
        <w:jc w:val="both"/>
        <w:rPr>
          <w:rFonts w:ascii="Times New Roman" w:hAnsi="Times New Roman"/>
        </w:rPr>
      </w:pPr>
      <w:r>
        <w:rPr>
          <w:rFonts w:ascii="Times New Roman" w:hAnsi="Times New Roman"/>
        </w:rPr>
        <w:t xml:space="preserve">It is important to note that PDMS, as a coating layer on a glazing surface, is affected by interfacial Fresnel reflection, decreasing as the emission angle increases. </w:t>
      </w:r>
      <w:r>
        <w:rPr>
          <w:rFonts w:ascii="Times New Roman" w:hAnsi="Times New Roman"/>
          <w:b/>
          <w:bCs/>
          <w:color w:val="0000FF"/>
        </w:rPr>
        <w:t>Fig</w:t>
      </w:r>
      <w:r>
        <w:rPr>
          <w:rFonts w:hint="eastAsia" w:ascii="Times New Roman" w:hAnsi="Times New Roman"/>
          <w:b/>
          <w:bCs/>
          <w:color w:val="0000FF"/>
          <w:lang w:val="en-US" w:eastAsia="zh-CN"/>
        </w:rPr>
        <w:t>.</w:t>
      </w:r>
      <w:r>
        <w:rPr>
          <w:rFonts w:ascii="Times New Roman" w:hAnsi="Times New Roman"/>
          <w:b/>
          <w:bCs/>
          <w:color w:val="0000FF"/>
        </w:rPr>
        <w:t xml:space="preserve"> </w:t>
      </w:r>
      <w:r>
        <w:rPr>
          <w:rFonts w:hint="eastAsia" w:ascii="Times New Roman" w:hAnsi="Times New Roman"/>
          <w:b/>
          <w:bCs/>
          <w:color w:val="0000FF"/>
        </w:rPr>
        <w:t>2</w:t>
      </w:r>
      <w:r>
        <w:rPr>
          <w:rFonts w:hint="eastAsia" w:ascii="Times New Roman" w:hAnsi="Times New Roman"/>
          <w:b/>
          <w:bCs/>
          <w:color w:val="0000FF"/>
          <w:lang w:val="en-US" w:eastAsia="zh-CN"/>
        </w:rPr>
        <w:t>2</w:t>
      </w:r>
      <w:r>
        <w:rPr>
          <w:rFonts w:ascii="Times New Roman" w:hAnsi="Times New Roman"/>
          <w:b/>
          <w:bCs/>
          <w:color w:val="0000FF"/>
        </w:rPr>
        <w:t xml:space="preserve"> </w:t>
      </w:r>
      <w:r>
        <w:rPr>
          <w:rFonts w:ascii="Times New Roman" w:hAnsi="Times New Roman"/>
        </w:rPr>
        <w:t xml:space="preserve">shows the angularly averaged emissivity of a </w:t>
      </w:r>
      <w:r>
        <w:rPr>
          <w:rFonts w:hint="eastAsia" w:ascii="Times New Roman" w:hAnsi="Times New Roman"/>
          <w:lang w:val="en-US" w:eastAsia="zh-CN"/>
        </w:rPr>
        <w:t>2</w:t>
      </w:r>
      <w:r>
        <w:rPr>
          <w:rFonts w:ascii="Times New Roman" w:hAnsi="Times New Roman"/>
        </w:rPr>
        <w:t>00 μm-thick PDMS on vertical surface within the atmospheric window (8 to 13 μm). The emissivity is highest in the horizontal (normal) direction, reaching approximately 0.94. As the emission angle deviates from the normal direction, the emissivity gradually decreases, eventually dropping to zero in the vertical direction.</w:t>
      </w:r>
    </w:p>
    <w:p w14:paraId="4E1134EB">
      <w:pPr>
        <w:rPr>
          <w:rFonts w:ascii="Times New Roman" w:hAnsi="Times New Roman" w:cs="Times New Roman"/>
          <w:sz w:val="24"/>
        </w:rPr>
      </w:pPr>
      <w:r>
        <w:rPr>
          <w:rFonts w:ascii="Times New Roman" w:hAnsi="Times New Roman" w:cs="Times New Roman"/>
          <w:sz w:val="24"/>
        </w:rPr>
        <w:br w:type="page"/>
      </w:r>
    </w:p>
    <w:p w14:paraId="04CFC2B0">
      <w:pPr>
        <w:pStyle w:val="5"/>
        <w:widowControl/>
        <w:spacing w:beforeAutospacing="0" w:after="312" w:afterLines="100" w:afterAutospacing="0" w:line="480" w:lineRule="auto"/>
        <w:jc w:val="both"/>
        <w:rPr>
          <w:rFonts w:ascii="Times New Roman" w:hAnsi="Times New Roman"/>
          <w:b/>
          <w:bCs/>
        </w:rPr>
      </w:pPr>
      <w:r>
        <w:rPr>
          <w:rFonts w:hint="eastAsia" w:ascii="Times New Roman" w:hAnsi="Times New Roman"/>
          <w:b/>
          <w:bCs/>
        </w:rPr>
        <w:t>Supplementary Note 4. Detailed explanation of the building space heating and cooling load simulation</w:t>
      </w:r>
    </w:p>
    <w:p w14:paraId="51A6DF1B">
      <w:pPr>
        <w:pStyle w:val="5"/>
        <w:widowControl/>
        <w:spacing w:beforeAutospacing="0" w:after="312" w:afterLines="100" w:afterAutospacing="0" w:line="480" w:lineRule="auto"/>
        <w:jc w:val="both"/>
        <w:rPr>
          <w:rFonts w:ascii="Times New Roman" w:hAnsi="Times New Roman"/>
          <w:lang w:bidi="ar"/>
        </w:rPr>
      </w:pPr>
      <w:r>
        <w:rPr>
          <w:rFonts w:ascii="Times New Roman" w:hAnsi="Times New Roman"/>
          <w:lang w:bidi="ar"/>
        </w:rPr>
        <w:t xml:space="preserve">To validate and quantify the energy-saving potential of the </w:t>
      </w:r>
      <w:r>
        <w:rPr>
          <w:rFonts w:hint="eastAsia" w:ascii="Times New Roman" w:hAnsi="Times New Roman"/>
          <w:lang w:bidi="ar"/>
        </w:rPr>
        <w:t>JD</w:t>
      </w:r>
      <w:r>
        <w:rPr>
          <w:rFonts w:ascii="Times New Roman" w:hAnsi="Times New Roman"/>
          <w:lang w:bidi="ar"/>
        </w:rPr>
        <w:t xml:space="preserve"> window across different climate zones, this study conducted a comprehensive simulation based</w:t>
      </w:r>
      <w:r>
        <w:rPr>
          <w:rFonts w:hint="eastAsia" w:ascii="Times New Roman" w:hAnsi="Times New Roman"/>
          <w:lang w:bidi="ar"/>
        </w:rPr>
        <w:t xml:space="preserve"> through developing an</w:t>
      </w:r>
      <w:r>
        <w:rPr>
          <w:rFonts w:ascii="Times New Roman" w:hAnsi="Times New Roman"/>
          <w:lang w:bidi="ar"/>
        </w:rPr>
        <w:t xml:space="preserve"> optical transmission model and transient heat transfer model</w:t>
      </w:r>
      <w:r>
        <w:rPr>
          <w:rFonts w:hint="eastAsia" w:ascii="Times New Roman" w:hAnsi="Times New Roman"/>
          <w:lang w:bidi="ar"/>
        </w:rPr>
        <w:t xml:space="preserve"> for spectrally selective windows</w:t>
      </w:r>
      <w:r>
        <w:rPr>
          <w:rFonts w:ascii="Times New Roman" w:hAnsi="Times New Roman"/>
          <w:lang w:bidi="ar"/>
        </w:rPr>
        <w:t>.</w:t>
      </w:r>
    </w:p>
    <w:p w14:paraId="5BF24757">
      <w:pPr>
        <w:pStyle w:val="5"/>
        <w:widowControl/>
        <w:spacing w:beforeAutospacing="0" w:after="312" w:afterLines="100" w:afterAutospacing="0" w:line="480" w:lineRule="auto"/>
        <w:jc w:val="both"/>
        <w:rPr>
          <w:rFonts w:ascii="Times New Roman" w:hAnsi="Times New Roman"/>
          <w:i/>
          <w:iCs/>
          <w:lang w:bidi="ar"/>
        </w:rPr>
      </w:pPr>
      <w:r>
        <w:rPr>
          <w:rFonts w:hint="eastAsia" w:ascii="Times New Roman" w:hAnsi="Times New Roman"/>
          <w:i/>
          <w:iCs/>
          <w:lang w:bidi="ar"/>
        </w:rPr>
        <w:t>(1) Optical transmission/absorption model</w:t>
      </w:r>
    </w:p>
    <w:p w14:paraId="68F44B41">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 xml:space="preserve">In the optical transmission modeling of the JB window, it is essential to comprehensively account for both multi-layer absorption and multi-interface reflection phenomena. The JD window consists of six distinct optical media arranged in sequence: </w:t>
      </w:r>
      <w:r>
        <w:rPr>
          <w:rFonts w:ascii="Times New Roman" w:hAnsi="Times New Roman"/>
          <w:lang w:bidi="ar"/>
        </w:rPr>
        <w:t>“</w:t>
      </w:r>
      <w:r>
        <w:rPr>
          <w:rFonts w:hint="eastAsia" w:ascii="Times New Roman" w:hAnsi="Times New Roman"/>
          <w:lang w:bidi="ar"/>
        </w:rPr>
        <w:t xml:space="preserve">PDMS-glazing-filling fluids (HL or LL)-glazing-PET-AgNW”. Due to the similar refractive indices of PET film and glazing (both approximately 1.5) in solar spectrum, the interfacial reflection between PET and glazing can be considered negligible. Therefore, the PET film can be excluded from the optical model of the JB window in the simulation. Then the JB window can be considered as five optical media arranged in sequence: </w:t>
      </w:r>
      <w:r>
        <w:rPr>
          <w:rFonts w:ascii="Times New Roman" w:hAnsi="Times New Roman"/>
          <w:lang w:bidi="ar"/>
        </w:rPr>
        <w:t>“</w:t>
      </w:r>
      <w:r>
        <w:rPr>
          <w:rFonts w:hint="eastAsia" w:ascii="Times New Roman" w:hAnsi="Times New Roman"/>
          <w:lang w:bidi="ar"/>
        </w:rPr>
        <w:t>PDMS-glazing-filling fluids (HL or LL)-glazing-AgNW</w:t>
      </w:r>
      <w:r>
        <w:rPr>
          <w:rFonts w:ascii="Times New Roman" w:hAnsi="Times New Roman"/>
          <w:lang w:bidi="ar"/>
        </w:rPr>
        <w:t>”</w:t>
      </w:r>
      <w:r>
        <w:rPr>
          <w:rFonts w:hint="eastAsia" w:ascii="Times New Roman" w:hAnsi="Times New Roman"/>
          <w:lang w:bidi="ar"/>
        </w:rPr>
        <w:t>.</w:t>
      </w:r>
    </w:p>
    <w:p w14:paraId="118F77AD">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The optical transmission model incorporates the spectral absorption and reflection of each of the five media. Each layer</w:t>
      </w:r>
      <w:r>
        <w:rPr>
          <w:rFonts w:ascii="Times New Roman" w:hAnsi="Times New Roman"/>
          <w:lang w:bidi="ar"/>
        </w:rPr>
        <w:t>’</w:t>
      </w:r>
      <w:r>
        <w:rPr>
          <w:rFonts w:hint="eastAsia" w:ascii="Times New Roman" w:hAnsi="Times New Roman"/>
          <w:lang w:bidi="ar"/>
        </w:rPr>
        <w:t xml:space="preserve">s absorption and reflection coefficient is wavelength-dependent, and </w:t>
      </w:r>
      <w:r>
        <w:rPr>
          <w:rFonts w:hint="eastAsia" w:ascii="Times New Roman" w:hAnsi="Times New Roman"/>
        </w:rPr>
        <w:t xml:space="preserve">contributes </w:t>
      </w:r>
      <w:r>
        <w:rPr>
          <w:rFonts w:hint="eastAsia" w:ascii="Times New Roman" w:hAnsi="Times New Roman"/>
          <w:lang w:bidi="ar"/>
        </w:rPr>
        <w:t>to the overall attenuation of solar radiation. In these five media, the interfacial Fresnel reflections at five key optical boundaries include: Air-PDMS interface, PDMS-Glazing interface, Glazing-Fluid interface, Fluid-Glazing interface, Glazing-Fluid interface and Glazing-AgNW-Air interface.</w:t>
      </w:r>
    </w:p>
    <w:p w14:paraId="25859E5A">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The interfacial reflectance of Air-PDMS interface, PDMS-Glazing interface, Glazing-Fluid interface, Fluid-Glazing interface, Glazing-Fluid interface can be calculated by:</w:t>
      </w:r>
    </w:p>
    <w:p w14:paraId="2CB34DC9">
      <w:pPr>
        <w:tabs>
          <w:tab w:val="center" w:pos="4515"/>
          <w:tab w:val="right" w:pos="9030"/>
        </w:tabs>
        <w:spacing w:after="312" w:afterLines="100"/>
        <w:rPr>
          <w:rFonts w:eastAsia="宋体" w:cs="Times New Roman"/>
          <w:bCs/>
          <w:sz w:val="24"/>
        </w:rPr>
      </w:pPr>
      <w:r>
        <w:rPr>
          <w:rFonts w:hint="eastAsia"/>
          <w:bCs/>
          <w:position w:val="-34"/>
          <w:sz w:val="24"/>
        </w:rPr>
        <w:tab/>
      </w:r>
      <w:r>
        <w:rPr>
          <w:bCs/>
          <w:position w:val="-34"/>
          <w:sz w:val="24"/>
        </w:rPr>
        <w:object>
          <v:shape id="_x0000_i1032" o:spt="75" type="#_x0000_t75" style="height:45.35pt;width:376.85pt;" o:ole="t" filled="f" o:preferrelative="t" stroked="f" coordsize="21600,21600">
            <v:path/>
            <v:fill on="f" focussize="0,0"/>
            <v:stroke on="f" joinstyle="miter"/>
            <v:imagedata r:id="rId19" o:title=""/>
            <o:lock v:ext="edit" aspectratio="t"/>
            <w10:wrap type="none"/>
            <w10:anchorlock/>
          </v:shape>
          <o:OLEObject Type="Embed" ProgID="Equation.DSMT4" ShapeID="_x0000_i1032" DrawAspect="Content" ObjectID="_1468075732" r:id="rId18">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8</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F5295C0">
      <w:pPr>
        <w:tabs>
          <w:tab w:val="center" w:pos="4515"/>
          <w:tab w:val="right" w:pos="9030"/>
        </w:tabs>
        <w:spacing w:after="312" w:afterLines="100"/>
        <w:rPr>
          <w:rFonts w:eastAsia="宋体" w:cs="Times New Roman"/>
          <w:bCs/>
          <w:sz w:val="24"/>
        </w:rPr>
      </w:pPr>
      <w:r>
        <w:rPr>
          <w:rFonts w:hint="eastAsia"/>
          <w:bCs/>
          <w:position w:val="-38"/>
          <w:sz w:val="24"/>
        </w:rPr>
        <w:tab/>
      </w:r>
      <w:r>
        <w:rPr>
          <w:bCs/>
          <w:position w:val="-38"/>
          <w:sz w:val="24"/>
        </w:rPr>
        <w:object>
          <v:shape id="_x0000_i1033" o:spt="75" type="#_x0000_t75" style="height:48.15pt;width:372.15pt;" o:ole="t" filled="f" o:preferrelative="t" stroked="f" coordsize="21600,21600">
            <v:path/>
            <v:fill on="f" focussize="0,0"/>
            <v:stroke on="f" joinstyle="miter"/>
            <v:imagedata r:id="rId21" o:title=""/>
            <o:lock v:ext="edit" aspectratio="t"/>
            <w10:wrap type="none"/>
            <w10:anchorlock/>
          </v:shape>
          <o:OLEObject Type="Embed" ProgID="Equation.DSMT4" ShapeID="_x0000_i1033" DrawAspect="Content" ObjectID="_1468075733" r:id="rId20">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9</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23CDB96">
      <w:pPr>
        <w:tabs>
          <w:tab w:val="center" w:pos="4515"/>
          <w:tab w:val="right" w:pos="9030"/>
        </w:tabs>
        <w:spacing w:after="312" w:afterLines="100"/>
        <w:rPr>
          <w:rFonts w:eastAsia="宋体" w:cs="Times New Roman"/>
          <w:bCs/>
          <w:sz w:val="24"/>
        </w:rPr>
      </w:pPr>
      <w:r>
        <w:rPr>
          <w:rFonts w:hint="eastAsia"/>
          <w:bCs/>
          <w:position w:val="-38"/>
          <w:sz w:val="24"/>
        </w:rPr>
        <w:tab/>
      </w:r>
      <w:r>
        <w:rPr>
          <w:bCs/>
          <w:position w:val="-38"/>
          <w:sz w:val="24"/>
        </w:rPr>
        <w:object>
          <v:shape id="_x0000_i1034" o:spt="75" type="#_x0000_t75" style="height:45.35pt;width:351.6pt;" o:ole="t" filled="f" o:preferrelative="t" stroked="f" coordsize="21600,21600">
            <v:path/>
            <v:fill on="f" focussize="0,0"/>
            <v:stroke on="f" joinstyle="miter"/>
            <v:imagedata r:id="rId23" o:title=""/>
            <o:lock v:ext="edit" aspectratio="t"/>
            <w10:wrap type="none"/>
            <w10:anchorlock/>
          </v:shape>
          <o:OLEObject Type="Embed" ProgID="Equation.DSMT4" ShapeID="_x0000_i1034" DrawAspect="Content" ObjectID="_1468075734" r:id="rId22">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10</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1621575">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and the reflectance of Glazing-AgNW-Air interface is calculated by the COMSOL software.</w:t>
      </w:r>
    </w:p>
    <w:p w14:paraId="42F16BB5">
      <w:pPr>
        <w:pStyle w:val="5"/>
        <w:widowControl/>
        <w:spacing w:beforeAutospacing="0" w:after="312" w:afterLines="100" w:afterAutospacing="0" w:line="480" w:lineRule="auto"/>
        <w:jc w:val="both"/>
      </w:pPr>
      <w:r>
        <w:rPr>
          <w:rFonts w:hint="eastAsia" w:ascii="Times New Roman" w:hAnsi="Times New Roman"/>
          <w:lang w:bidi="ar"/>
        </w:rPr>
        <w:t>For the PDMS layer, when radiation incident from the air-PDMS interface, the reflectance can be calculated by:</w:t>
      </w:r>
    </w:p>
    <w:p w14:paraId="570B9B32">
      <w:pPr>
        <w:tabs>
          <w:tab w:val="center" w:pos="4515"/>
          <w:tab w:val="right" w:pos="9030"/>
        </w:tabs>
        <w:spacing w:after="312" w:afterLines="100"/>
        <w:rPr>
          <w:rFonts w:eastAsia="宋体"/>
          <w:bCs/>
          <w:sz w:val="24"/>
        </w:rPr>
      </w:pPr>
      <w:r>
        <w:rPr>
          <w:rFonts w:hint="eastAsia"/>
          <w:bCs/>
          <w:sz w:val="24"/>
        </w:rPr>
        <w:tab/>
      </w:r>
      <w:r>
        <w:rPr>
          <w:bCs/>
          <w:position w:val="-32"/>
          <w:sz w:val="24"/>
        </w:rPr>
        <w:object>
          <v:shape id="_x0000_i1035" o:spt="75" type="#_x0000_t75" style="height:39.75pt;width:243.6pt;" o:ole="t" filled="f" o:preferrelative="t" stroked="f" coordsize="21600,21600">
            <v:path/>
            <v:fill on="f" focussize="0,0"/>
            <v:stroke on="f" joinstyle="miter"/>
            <v:imagedata r:id="rId25" o:title=""/>
            <o:lock v:ext="edit" aspectratio="t"/>
            <w10:wrap type="none"/>
            <w10:anchorlock/>
          </v:shape>
          <o:OLEObject Type="Embed" ProgID="Equation.DSMT4" ShapeID="_x0000_i1035" DrawAspect="Content" ObjectID="_1468075735" r:id="rId24">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11</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2CF7920E">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When radiation incident from the glazing-PDMS interface, the reflectance can be calculated by:</w:t>
      </w:r>
    </w:p>
    <w:p w14:paraId="08129A7C">
      <w:pPr>
        <w:tabs>
          <w:tab w:val="center" w:pos="4515"/>
          <w:tab w:val="right" w:pos="9030"/>
        </w:tabs>
        <w:spacing w:after="312" w:afterLines="100"/>
        <w:rPr>
          <w:rFonts w:eastAsia="宋体"/>
          <w:bCs/>
          <w:sz w:val="24"/>
        </w:rPr>
      </w:pPr>
      <w:r>
        <w:rPr>
          <w:rFonts w:hint="eastAsia"/>
          <w:bCs/>
          <w:sz w:val="24"/>
        </w:rPr>
        <w:tab/>
      </w:r>
      <w:r>
        <w:rPr>
          <w:bCs/>
          <w:position w:val="-32"/>
          <w:sz w:val="24"/>
        </w:rPr>
        <w:object>
          <v:shape id="_x0000_i1036" o:spt="75" type="#_x0000_t75" style="height:39.75pt;width:243.6pt;" o:ole="t" filled="f" o:preferrelative="t" stroked="f" coordsize="21600,21600">
            <v:path/>
            <v:fill on="f" focussize="0,0"/>
            <v:stroke on="f" joinstyle="miter"/>
            <v:imagedata r:id="rId27" o:title=""/>
            <o:lock v:ext="edit" aspectratio="t"/>
            <w10:wrap type="none"/>
            <w10:anchorlock/>
          </v:shape>
          <o:OLEObject Type="Embed" ProgID="Equation.DSMT4" ShapeID="_x0000_i1036" DrawAspect="Content" ObjectID="_1468075736" r:id="rId26">
            <o:LockedField>false</o:LockedField>
          </o:OLEObject>
        </w:object>
      </w: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12</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AEE9E6C">
      <w:pPr>
        <w:tabs>
          <w:tab w:val="center" w:pos="4515"/>
          <w:tab w:val="right" w:pos="9030"/>
        </w:tabs>
        <w:spacing w:after="312" w:afterLines="100"/>
        <w:rPr>
          <w:rFonts w:eastAsia="宋体"/>
          <w:bCs/>
          <w:sz w:val="24"/>
        </w:rPr>
      </w:pPr>
      <w:r>
        <w:rPr>
          <w:rFonts w:hint="eastAsia"/>
          <w:bCs/>
          <w:position w:val="-18"/>
          <w:sz w:val="24"/>
        </w:rPr>
        <w:tab/>
      </w:r>
      <w:r>
        <w:rPr>
          <w:rFonts w:eastAsia="宋体" w:cs="Times New Roman"/>
          <w:bCs/>
          <w:position w:val="-32"/>
          <w:sz w:val="24"/>
        </w:rPr>
        <w:object>
          <v:shape id="_x0000_i1037" o:spt="75" type="#_x0000_t75" style="height:39.75pt;width:178.15pt;" o:ole="t" filled="f" o:preferrelative="t" stroked="f" coordsize="21600,21600">
            <v:path/>
            <v:fill on="f" focussize="0,0"/>
            <v:stroke on="f" joinstyle="miter"/>
            <v:imagedata r:id="rId29" o:title=""/>
            <o:lock v:ext="edit" aspectratio="t"/>
            <w10:wrap type="none"/>
            <w10:anchorlock/>
          </v:shape>
          <o:OLEObject Type="Embed" ProgID="Equation.DSMT4" ShapeID="_x0000_i1037" DrawAspect="Content" ObjectID="_1468075737" r:id="rId28">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13</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0D72A54">
      <w:pPr>
        <w:tabs>
          <w:tab w:val="center" w:pos="4116"/>
          <w:tab w:val="right" w:pos="8274"/>
        </w:tabs>
        <w:spacing w:after="312" w:afterLines="100" w:line="360" w:lineRule="auto"/>
        <w:rPr>
          <w:rFonts w:ascii="Times New Roman" w:hAnsi="Times New Roman" w:cs="Times New Roman"/>
          <w:kern w:val="0"/>
          <w:sz w:val="24"/>
          <w:lang w:bidi="ar"/>
        </w:rPr>
      </w:pPr>
      <w:r>
        <w:rPr>
          <w:rFonts w:hint="eastAsia" w:ascii="Times New Roman" w:hAnsi="Times New Roman" w:cs="Times New Roman"/>
          <w:kern w:val="0"/>
          <w:sz w:val="24"/>
          <w:lang w:bidi="ar"/>
        </w:rPr>
        <w:t>The transmittance of the PDMS layer can be calculated by:</w:t>
      </w:r>
    </w:p>
    <w:p w14:paraId="24D1E62F">
      <w:pPr>
        <w:tabs>
          <w:tab w:val="center" w:pos="4515"/>
          <w:tab w:val="right" w:pos="9030"/>
        </w:tabs>
        <w:spacing w:after="312" w:afterLines="100"/>
        <w:rPr>
          <w:rFonts w:eastAsia="宋体"/>
          <w:bCs/>
          <w:sz w:val="24"/>
        </w:rPr>
      </w:pPr>
      <w:r>
        <w:rPr>
          <w:rFonts w:hint="eastAsia" w:eastAsia="宋体" w:cs="Times New Roman"/>
          <w:bCs/>
          <w:position w:val="-30"/>
          <w:sz w:val="24"/>
        </w:rPr>
        <w:tab/>
      </w:r>
      <w:r>
        <w:rPr>
          <w:rFonts w:eastAsia="宋体" w:cs="Times New Roman"/>
          <w:bCs/>
          <w:position w:val="-32"/>
          <w:sz w:val="24"/>
        </w:rPr>
        <w:object>
          <v:shape id="_x0000_i1038" o:spt="75" type="#_x0000_t75" style="height:39.75pt;width:194.05pt;" o:ole="t" filled="f" o:preferrelative="t" stroked="f" coordsize="21600,21600">
            <v:path/>
            <v:fill on="f" focussize="0,0"/>
            <v:stroke on="f" joinstyle="miter"/>
            <v:imagedata r:id="rId31" o:title=""/>
            <o:lock v:ext="edit" aspectratio="t"/>
            <w10:wrap type="none"/>
            <w10:anchorlock/>
          </v:shape>
          <o:OLEObject Type="Embed" ProgID="Equation.DSMT4" ShapeID="_x0000_i1038" DrawAspect="Content" ObjectID="_1468075738" r:id="rId30">
            <o:LockedField>false</o:LockedField>
          </o:OLEObject>
        </w:object>
      </w: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14</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448A82CF">
      <w:pPr>
        <w:tabs>
          <w:tab w:val="center" w:pos="4116"/>
          <w:tab w:val="right" w:pos="8274"/>
        </w:tabs>
        <w:spacing w:after="312" w:afterLines="100" w:line="360" w:lineRule="auto"/>
        <w:rPr>
          <w:rFonts w:ascii="Times New Roman" w:hAnsi="Times New Roman" w:cs="Times New Roman"/>
          <w:kern w:val="0"/>
          <w:sz w:val="24"/>
          <w:lang w:bidi="ar"/>
        </w:rPr>
      </w:pPr>
      <w:r>
        <w:rPr>
          <w:rFonts w:hint="eastAsia" w:ascii="Times New Roman" w:hAnsi="Times New Roman" w:cs="Times New Roman"/>
          <w:kern w:val="0"/>
          <w:sz w:val="24"/>
          <w:lang w:bidi="ar"/>
        </w:rPr>
        <w:t>For the PDMS-glazing unit, the transmittance can be calculated by:</w:t>
      </w:r>
    </w:p>
    <w:p w14:paraId="08DA8797">
      <w:pPr>
        <w:tabs>
          <w:tab w:val="center" w:pos="4515"/>
          <w:tab w:val="right" w:pos="9030"/>
        </w:tabs>
        <w:spacing w:after="312" w:afterLines="100"/>
        <w:rPr>
          <w:rFonts w:eastAsia="宋体"/>
          <w:bCs/>
          <w:sz w:val="24"/>
        </w:rPr>
      </w:pPr>
      <w:r>
        <w:rPr>
          <w:rFonts w:hint="eastAsia" w:eastAsia="宋体" w:cs="Times New Roman"/>
          <w:bCs/>
          <w:position w:val="-30"/>
          <w:sz w:val="24"/>
        </w:rPr>
        <w:tab/>
      </w:r>
      <w:r>
        <w:rPr>
          <w:rFonts w:eastAsia="宋体" w:cs="Times New Roman"/>
          <w:bCs/>
          <w:position w:val="-32"/>
          <w:sz w:val="24"/>
        </w:rPr>
        <w:object>
          <v:shape id="_x0000_i1039" o:spt="75" type="#_x0000_t75" style="height:39.75pt;width:135.1pt;" o:ole="t" filled="f" o:preferrelative="t" stroked="f" coordsize="21600,21600">
            <v:path/>
            <v:fill on="f" focussize="0,0"/>
            <v:stroke on="f" joinstyle="miter"/>
            <v:imagedata r:id="rId33" o:title=""/>
            <o:lock v:ext="edit" aspectratio="t"/>
            <w10:wrap type="none"/>
            <w10:anchorlock/>
          </v:shape>
          <o:OLEObject Type="Embed" ProgID="Equation.DSMT4" ShapeID="_x0000_i1039" DrawAspect="Content" ObjectID="_1468075739" r:id="rId32">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15</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D5317B3">
      <w:pPr>
        <w:tabs>
          <w:tab w:val="center" w:pos="4515"/>
          <w:tab w:val="right" w:pos="9030"/>
        </w:tabs>
        <w:spacing w:after="312" w:afterLines="100"/>
        <w:rPr>
          <w:rFonts w:eastAsia="宋体"/>
          <w:bCs/>
          <w:sz w:val="24"/>
        </w:rPr>
      </w:pPr>
      <w:r>
        <w:rPr>
          <w:rFonts w:hint="eastAsia" w:eastAsia="宋体" w:cs="Times New Roman"/>
          <w:bCs/>
          <w:position w:val="-34"/>
          <w:sz w:val="24"/>
        </w:rPr>
        <w:tab/>
      </w:r>
      <w:r>
        <w:rPr>
          <w:rFonts w:eastAsia="宋体" w:cs="Times New Roman"/>
          <w:bCs/>
          <w:position w:val="-34"/>
          <w:sz w:val="24"/>
        </w:rPr>
        <w:object>
          <v:shape id="_x0000_i1040" o:spt="75" type="#_x0000_t75" style="height:39.75pt;width:125.75pt;" o:ole="t" filled="f" o:preferrelative="t" stroked="f" coordsize="21600,21600">
            <v:path/>
            <v:fill on="f" focussize="0,0"/>
            <v:stroke on="f" joinstyle="miter"/>
            <v:imagedata r:id="rId35" o:title=""/>
            <o:lock v:ext="edit" aspectratio="t"/>
            <w10:wrap type="none"/>
            <w10:anchorlock/>
          </v:shape>
          <o:OLEObject Type="Embed" ProgID="Equation.DSMT4" ShapeID="_x0000_i1040" DrawAspect="Content" ObjectID="_1468075740" r:id="rId34">
            <o:LockedField>false</o:LockedField>
          </o:OLEObject>
        </w:object>
      </w:r>
      <w:r>
        <w:rPr>
          <w:rFonts w:hint="eastAsia"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16</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209F52C9">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When radiation incident from the air-PDMS interface, the reflectance of the PDMS-glazing unit can be calculated by:</w:t>
      </w:r>
    </w:p>
    <w:p w14:paraId="3AA4EBA1">
      <w:pPr>
        <w:tabs>
          <w:tab w:val="center" w:pos="4515"/>
          <w:tab w:val="right" w:pos="9030"/>
        </w:tabs>
        <w:spacing w:after="312" w:afterLines="100"/>
        <w:rPr>
          <w:rFonts w:eastAsia="宋体"/>
          <w:bCs/>
          <w:sz w:val="24"/>
        </w:rPr>
      </w:pPr>
      <w:r>
        <w:rPr>
          <w:rFonts w:hint="eastAsia" w:eastAsia="宋体" w:cs="Times New Roman"/>
          <w:bCs/>
          <w:position w:val="-32"/>
          <w:sz w:val="24"/>
        </w:rPr>
        <w:tab/>
      </w:r>
      <w:r>
        <w:rPr>
          <w:rFonts w:eastAsia="宋体" w:cs="Times New Roman"/>
          <w:bCs/>
          <w:position w:val="-32"/>
          <w:sz w:val="24"/>
        </w:rPr>
        <w:object>
          <v:shape id="_x0000_i1041" o:spt="75" type="#_x0000_t75" style="height:39.75pt;width:180.45pt;" o:ole="t" filled="f" o:preferrelative="t" stroked="f" coordsize="21600,21600">
            <v:path/>
            <v:fill on="f" focussize="0,0"/>
            <v:stroke on="f" joinstyle="miter"/>
            <v:imagedata r:id="rId37" o:title=""/>
            <o:lock v:ext="edit" aspectratio="t"/>
            <w10:wrap type="none"/>
            <w10:anchorlock/>
          </v:shape>
          <o:OLEObject Type="Embed" ProgID="Equation.DSMT4" ShapeID="_x0000_i1041" DrawAspect="Content" ObjectID="_1468075741" r:id="rId36">
            <o:LockedField>false</o:LockedField>
          </o:OLEObject>
        </w:object>
      </w: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17</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3BFA60E8">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When radiation incident from the glazing-fluid interface, the reflectance can be calculated by:</w:t>
      </w:r>
    </w:p>
    <w:p w14:paraId="372C5C8C">
      <w:pPr>
        <w:tabs>
          <w:tab w:val="center" w:pos="4515"/>
          <w:tab w:val="right" w:pos="9030"/>
        </w:tabs>
        <w:spacing w:after="312" w:afterLines="100"/>
        <w:rPr>
          <w:rFonts w:eastAsia="宋体"/>
          <w:bCs/>
          <w:sz w:val="24"/>
        </w:rPr>
      </w:pPr>
      <w:r>
        <w:rPr>
          <w:rFonts w:hint="eastAsia" w:eastAsia="宋体" w:cs="Times New Roman"/>
          <w:bCs/>
          <w:position w:val="-32"/>
          <w:sz w:val="24"/>
        </w:rPr>
        <w:tab/>
      </w:r>
      <w:r>
        <w:rPr>
          <w:rFonts w:eastAsia="宋体" w:cs="Times New Roman"/>
          <w:bCs/>
          <w:position w:val="-32"/>
          <w:sz w:val="24"/>
        </w:rPr>
        <w:object>
          <v:shape id="_x0000_i1042" o:spt="75" type="#_x0000_t75" style="height:39.75pt;width:189.8pt;" o:ole="t" filled="f" o:preferrelative="t" stroked="f" coordsize="21600,21600">
            <v:path/>
            <v:fill on="f" focussize="0,0"/>
            <v:stroke on="f" joinstyle="miter"/>
            <v:imagedata r:id="rId39" o:title=""/>
            <o:lock v:ext="edit" aspectratio="t"/>
            <w10:wrap type="none"/>
            <w10:anchorlock/>
          </v:shape>
          <o:OLEObject Type="Embed" ProgID="Equation.DSMT4" ShapeID="_x0000_i1042" DrawAspect="Content" ObjectID="_1468075742" r:id="rId38">
            <o:LockedField>false</o:LockedField>
          </o:OLEObject>
        </w:object>
      </w: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18</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45F913D">
      <w:pPr>
        <w:pStyle w:val="5"/>
        <w:widowControl/>
        <w:spacing w:beforeAutospacing="0" w:after="312" w:afterLines="100" w:afterAutospacing="0" w:line="480" w:lineRule="auto"/>
        <w:jc w:val="both"/>
      </w:pPr>
      <w:r>
        <w:rPr>
          <w:rFonts w:hint="eastAsia" w:ascii="Times New Roman" w:hAnsi="Times New Roman"/>
          <w:lang w:bidi="ar"/>
        </w:rPr>
        <w:t>For the PDMS-glazing-fluid unit, the transmittance can be calculated by:</w:t>
      </w:r>
    </w:p>
    <w:p w14:paraId="13687A00">
      <w:pPr>
        <w:tabs>
          <w:tab w:val="center" w:pos="4515"/>
          <w:tab w:val="right" w:pos="9030"/>
        </w:tabs>
        <w:spacing w:after="312" w:afterLines="100"/>
        <w:rPr>
          <w:rFonts w:eastAsia="宋体"/>
          <w:bCs/>
          <w:sz w:val="24"/>
        </w:rPr>
      </w:pPr>
      <w:r>
        <w:rPr>
          <w:rFonts w:hint="eastAsia" w:eastAsia="宋体" w:cs="Times New Roman"/>
          <w:bCs/>
          <w:position w:val="-30"/>
          <w:sz w:val="24"/>
        </w:rPr>
        <w:tab/>
      </w:r>
      <w:r>
        <w:rPr>
          <w:rFonts w:eastAsia="宋体" w:cs="Times New Roman"/>
          <w:bCs/>
          <w:position w:val="-32"/>
          <w:sz w:val="24"/>
        </w:rPr>
        <w:object>
          <v:shape id="_x0000_i1043" o:spt="75" type="#_x0000_t75" style="height:39.75pt;width:153.8pt;" o:ole="t" filled="f" o:preferrelative="t" stroked="f" coordsize="21600,21600">
            <v:path/>
            <v:fill on="f" focussize="0,0"/>
            <v:stroke on="f" joinstyle="miter"/>
            <v:imagedata r:id="rId41" o:title=""/>
            <o:lock v:ext="edit" aspectratio="t"/>
            <w10:wrap type="none"/>
            <w10:anchorlock/>
          </v:shape>
          <o:OLEObject Type="Embed" ProgID="Equation.DSMT4" ShapeID="_x0000_i1043" DrawAspect="Content" ObjectID="_1468075743" r:id="rId40">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19</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AB13F33">
      <w:pPr>
        <w:tabs>
          <w:tab w:val="center" w:pos="4515"/>
          <w:tab w:val="right" w:pos="9030"/>
        </w:tabs>
        <w:spacing w:after="312" w:afterLines="100"/>
        <w:rPr>
          <w:rFonts w:eastAsia="宋体"/>
          <w:bCs/>
          <w:sz w:val="24"/>
        </w:rPr>
      </w:pPr>
      <w:r>
        <w:rPr>
          <w:rFonts w:hint="eastAsia" w:eastAsia="宋体" w:cs="Times New Roman"/>
          <w:bCs/>
          <w:position w:val="-34"/>
          <w:sz w:val="24"/>
        </w:rPr>
        <w:tab/>
      </w:r>
      <w:r>
        <w:rPr>
          <w:rFonts w:eastAsia="宋体" w:cs="Times New Roman"/>
          <w:bCs/>
          <w:position w:val="-34"/>
          <w:sz w:val="24"/>
        </w:rPr>
        <w:object>
          <v:shape id="_x0000_i1044" o:spt="75" type="#_x0000_t75" style="height:39.75pt;width:128.1pt;" o:ole="t" filled="f" o:preferrelative="t" stroked="f" coordsize="21600,21600">
            <v:path/>
            <v:fill on="f" focussize="0,0"/>
            <v:stroke on="f" joinstyle="miter"/>
            <v:imagedata r:id="rId43" o:title=""/>
            <o:lock v:ext="edit" aspectratio="t"/>
            <w10:wrap type="none"/>
            <w10:anchorlock/>
          </v:shape>
          <o:OLEObject Type="Embed" ProgID="Equation.DSMT4" ShapeID="_x0000_i1044" DrawAspect="Content" ObjectID="_1468075744" r:id="rId42">
            <o:LockedField>false</o:LockedField>
          </o:OLEObject>
        </w:object>
      </w:r>
      <w:r>
        <w:rPr>
          <w:rFonts w:hint="eastAsia"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20</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4B5FDC8C">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When radiation incident from the air-PDMS interface, the reflectance of the PDMS-glazing-fluid unit can be calculated by:</w:t>
      </w:r>
    </w:p>
    <w:p w14:paraId="10FE0352">
      <w:pPr>
        <w:tabs>
          <w:tab w:val="center" w:pos="4515"/>
          <w:tab w:val="right" w:pos="9030"/>
        </w:tabs>
        <w:spacing w:after="312" w:afterLines="100"/>
        <w:rPr>
          <w:rFonts w:eastAsia="宋体"/>
          <w:bCs/>
          <w:sz w:val="24"/>
        </w:rPr>
      </w:pPr>
      <w:r>
        <w:rPr>
          <w:rFonts w:hint="eastAsia" w:eastAsia="宋体" w:cs="Times New Roman"/>
          <w:bCs/>
          <w:position w:val="-32"/>
          <w:sz w:val="24"/>
        </w:rPr>
        <w:tab/>
      </w:r>
      <w:r>
        <w:rPr>
          <w:rFonts w:eastAsia="宋体" w:cs="Times New Roman"/>
          <w:bCs/>
          <w:position w:val="-32"/>
          <w:sz w:val="24"/>
        </w:rPr>
        <w:object>
          <v:shape id="_x0000_i1045" o:spt="75" type="#_x0000_t75" style="height:39.75pt;width:202.9pt;" o:ole="t" filled="f" o:preferrelative="t" stroked="f" coordsize="21600,21600">
            <v:path/>
            <v:fill on="f" focussize="0,0"/>
            <v:stroke on="f" joinstyle="miter"/>
            <v:imagedata r:id="rId45" o:title=""/>
            <o:lock v:ext="edit" aspectratio="t"/>
            <w10:wrap type="none"/>
            <w10:anchorlock/>
          </v:shape>
          <o:OLEObject Type="Embed" ProgID="Equation.DSMT4" ShapeID="_x0000_i1045" DrawAspect="Content" ObjectID="_1468075745" r:id="rId44">
            <o:LockedField>false</o:LockedField>
          </o:OLEObject>
        </w:object>
      </w:r>
      <w:r>
        <w:rPr>
          <w:rFonts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21</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01252EE1">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 xml:space="preserve">When radiation incident </w:t>
      </w:r>
      <w:r>
        <w:rPr>
          <w:rFonts w:hint="eastAsia" w:ascii="Times New Roman" w:hAnsi="Times New Roman"/>
        </w:rPr>
        <w:t xml:space="preserve">from </w:t>
      </w:r>
      <w:r>
        <w:rPr>
          <w:rFonts w:hint="eastAsia" w:ascii="Times New Roman" w:hAnsi="Times New Roman"/>
          <w:lang w:bidi="ar"/>
        </w:rPr>
        <w:t>the glazing-fluid interface, the reflectance can be calculated by:</w:t>
      </w:r>
    </w:p>
    <w:p w14:paraId="6C0F349A">
      <w:pPr>
        <w:tabs>
          <w:tab w:val="center" w:pos="4515"/>
          <w:tab w:val="right" w:pos="9030"/>
        </w:tabs>
        <w:spacing w:after="312" w:afterLines="100"/>
        <w:rPr>
          <w:rFonts w:eastAsia="宋体"/>
          <w:bCs/>
          <w:sz w:val="24"/>
        </w:rPr>
      </w:pPr>
      <w:r>
        <w:rPr>
          <w:rFonts w:hint="eastAsia" w:eastAsia="宋体" w:cs="Times New Roman"/>
          <w:bCs/>
          <w:position w:val="-32"/>
          <w:sz w:val="24"/>
        </w:rPr>
        <w:tab/>
      </w:r>
      <w:r>
        <w:rPr>
          <w:rFonts w:eastAsia="宋体" w:cs="Times New Roman"/>
          <w:bCs/>
          <w:position w:val="-32"/>
          <w:sz w:val="24"/>
        </w:rPr>
        <w:object>
          <v:shape id="_x0000_i1046" o:spt="75" type="#_x0000_t75" style="height:39.75pt;width:196.85pt;" o:ole="t" filled="f" o:preferrelative="t" stroked="f" coordsize="21600,21600">
            <v:path/>
            <v:fill on="f" focussize="0,0"/>
            <v:stroke on="f" joinstyle="miter"/>
            <v:imagedata r:id="rId47" o:title=""/>
            <o:lock v:ext="edit" aspectratio="t"/>
            <w10:wrap type="none"/>
            <w10:anchorlock/>
          </v:shape>
          <o:OLEObject Type="Embed" ProgID="Equation.DSMT4" ShapeID="_x0000_i1046" DrawAspect="Content" ObjectID="_1468075746" r:id="rId46">
            <o:LockedField>false</o:LockedField>
          </o:OLEObject>
        </w:object>
      </w:r>
      <w:r>
        <w:rPr>
          <w:rFonts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22</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3D1CE172">
      <w:pPr>
        <w:tabs>
          <w:tab w:val="center" w:pos="4116"/>
          <w:tab w:val="right" w:pos="8274"/>
        </w:tabs>
        <w:spacing w:after="312" w:afterLines="100" w:line="360" w:lineRule="auto"/>
        <w:rPr>
          <w:rFonts w:cs="Times New Roman"/>
          <w:sz w:val="24"/>
        </w:rPr>
      </w:pPr>
      <w:r>
        <w:rPr>
          <w:rFonts w:hint="eastAsia" w:ascii="Times New Roman" w:hAnsi="Times New Roman" w:cs="Times New Roman"/>
          <w:kern w:val="0"/>
          <w:sz w:val="24"/>
          <w:lang w:bidi="ar"/>
        </w:rPr>
        <w:t>For the JB window, the transmittance can be calculated by:</w:t>
      </w:r>
    </w:p>
    <w:p w14:paraId="2043356E">
      <w:pPr>
        <w:tabs>
          <w:tab w:val="center" w:pos="4515"/>
          <w:tab w:val="right" w:pos="9030"/>
        </w:tabs>
        <w:spacing w:after="312" w:afterLines="100"/>
        <w:rPr>
          <w:rFonts w:eastAsia="宋体"/>
          <w:bCs/>
          <w:sz w:val="24"/>
        </w:rPr>
      </w:pPr>
      <w:r>
        <w:rPr>
          <w:rFonts w:hint="eastAsia" w:eastAsia="宋体" w:cs="Times New Roman"/>
          <w:bCs/>
          <w:position w:val="-30"/>
          <w:sz w:val="24"/>
        </w:rPr>
        <w:tab/>
      </w:r>
      <w:r>
        <w:rPr>
          <w:rFonts w:eastAsia="宋体" w:cs="Times New Roman"/>
          <w:bCs/>
          <w:position w:val="-32"/>
          <w:sz w:val="24"/>
        </w:rPr>
        <w:object>
          <v:shape id="_x0000_i1047" o:spt="75" type="#_x0000_t75" style="height:39.75pt;width:145.85pt;" o:ole="t" filled="f" o:preferrelative="t" stroked="f" coordsize="21600,21600">
            <v:path/>
            <v:fill on="f" focussize="0,0"/>
            <v:stroke on="f" joinstyle="miter"/>
            <v:imagedata r:id="rId49" o:title=""/>
            <o:lock v:ext="edit" aspectratio="t"/>
            <w10:wrap type="none"/>
            <w10:anchorlock/>
          </v:shape>
          <o:OLEObject Type="Embed" ProgID="Equation.DSMT4" ShapeID="_x0000_i1047" DrawAspect="Content" ObjectID="_1468075747" r:id="rId48">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23</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A1EC9DE">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When radiation incident from the air-PDMS interface, the reflectance can be calculated by:</w:t>
      </w:r>
    </w:p>
    <w:p w14:paraId="19EC61B2">
      <w:pPr>
        <w:tabs>
          <w:tab w:val="center" w:pos="4515"/>
          <w:tab w:val="right" w:pos="9030"/>
        </w:tabs>
        <w:spacing w:after="312" w:afterLines="100"/>
        <w:rPr>
          <w:rFonts w:eastAsia="宋体"/>
          <w:bCs/>
          <w:sz w:val="24"/>
        </w:rPr>
      </w:pPr>
      <w:r>
        <w:rPr>
          <w:rFonts w:hint="eastAsia" w:eastAsia="宋体" w:cs="Times New Roman"/>
          <w:bCs/>
          <w:position w:val="-32"/>
          <w:sz w:val="24"/>
        </w:rPr>
        <w:tab/>
      </w:r>
      <w:r>
        <w:rPr>
          <w:rFonts w:eastAsia="宋体" w:cs="Times New Roman"/>
          <w:bCs/>
          <w:position w:val="-32"/>
          <w:sz w:val="24"/>
        </w:rPr>
        <w:object>
          <v:shape id="_x0000_i1048" o:spt="75" type="#_x0000_t75" style="height:39.75pt;width:213.2pt;" o:ole="t" filled="f" o:preferrelative="t" stroked="f" coordsize="21600,21600">
            <v:path/>
            <v:fill on="f" focussize="0,0"/>
            <v:stroke on="f" joinstyle="miter"/>
            <v:imagedata r:id="rId51" o:title=""/>
            <o:lock v:ext="edit" aspectratio="t"/>
            <w10:wrap type="none"/>
            <w10:anchorlock/>
          </v:shape>
          <o:OLEObject Type="Embed" ProgID="Equation.DSMT4" ShapeID="_x0000_i1048" DrawAspect="Content" ObjectID="_1468075748" r:id="rId50">
            <o:LockedField>false</o:LockedField>
          </o:OLEObject>
        </w:object>
      </w:r>
      <w:r>
        <w:rPr>
          <w:rFonts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24</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32B63C70">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When radiation incident from the air-AgNW interface, the reflectance can be calculated by:</w:t>
      </w:r>
    </w:p>
    <w:p w14:paraId="60B11C8A">
      <w:pPr>
        <w:tabs>
          <w:tab w:val="center" w:pos="4515"/>
          <w:tab w:val="right" w:pos="9030"/>
        </w:tabs>
        <w:spacing w:after="312" w:afterLines="100"/>
        <w:rPr>
          <w:rFonts w:eastAsia="宋体"/>
          <w:bCs/>
          <w:sz w:val="24"/>
        </w:rPr>
      </w:pPr>
      <w:r>
        <w:rPr>
          <w:rFonts w:hint="eastAsia" w:eastAsia="宋体" w:cs="Times New Roman"/>
          <w:bCs/>
          <w:position w:val="-32"/>
          <w:sz w:val="24"/>
        </w:rPr>
        <w:tab/>
      </w:r>
      <w:r>
        <w:rPr>
          <w:rFonts w:eastAsia="宋体" w:cs="Times New Roman"/>
          <w:bCs/>
          <w:position w:val="-32"/>
          <w:sz w:val="24"/>
        </w:rPr>
        <w:object>
          <v:shape id="_x0000_i1049" o:spt="75" type="#_x0000_t75" style="height:39.75pt;width:200.1pt;" o:ole="t" filled="f" o:preferrelative="t" stroked="f" coordsize="21600,21600">
            <v:path/>
            <v:fill on="f" focussize="0,0"/>
            <v:stroke on="f" joinstyle="miter"/>
            <v:imagedata r:id="rId53" o:title=""/>
            <o:lock v:ext="edit" aspectratio="t"/>
            <w10:wrap type="none"/>
            <w10:anchorlock/>
          </v:shape>
          <o:OLEObject Type="Embed" ProgID="Equation.DSMT4" ShapeID="_x0000_i1049" DrawAspect="Content" ObjectID="_1468075749" r:id="rId52">
            <o:LockedField>false</o:LockedField>
          </o:OLEObject>
        </w:object>
      </w: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25</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B332EDA">
      <w:pPr>
        <w:pStyle w:val="5"/>
        <w:widowControl/>
        <w:spacing w:beforeAutospacing="0" w:after="312" w:afterLines="100" w:afterAutospacing="0" w:line="480" w:lineRule="auto"/>
        <w:jc w:val="both"/>
        <w:rPr>
          <w:rFonts w:ascii="Times New Roman" w:hAnsi="Times New Roman"/>
          <w:i/>
          <w:iCs/>
          <w:lang w:bidi="ar"/>
        </w:rPr>
      </w:pPr>
      <w:r>
        <w:rPr>
          <w:rFonts w:hint="eastAsia" w:ascii="Times New Roman" w:hAnsi="Times New Roman"/>
          <w:i/>
          <w:iCs/>
          <w:lang w:bidi="ar"/>
        </w:rPr>
        <w:t>(2) Heat transfer model</w:t>
      </w:r>
    </w:p>
    <w:p w14:paraId="5CF4E9FA">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The thermal balance between the window, indoor environment and outdoor environment can be expressed by:</w:t>
      </w:r>
    </w:p>
    <w:p w14:paraId="4FFDDABB">
      <w:pPr>
        <w:tabs>
          <w:tab w:val="center" w:pos="4515"/>
          <w:tab w:val="right" w:pos="9030"/>
        </w:tabs>
        <w:spacing w:after="312" w:afterLines="100"/>
        <w:rPr>
          <w:rFonts w:ascii="Times New Roman" w:hAnsi="Times New Roman" w:cs="Times New Roman"/>
          <w:kern w:val="0"/>
          <w:sz w:val="24"/>
          <w:lang w:bidi="ar"/>
        </w:rPr>
      </w:pPr>
      <w:r>
        <w:rPr>
          <w:rFonts w:hint="eastAsia" w:eastAsia="宋体" w:cs="Times New Roman"/>
          <w:bCs/>
          <w:position w:val="-24"/>
          <w:sz w:val="24"/>
        </w:rPr>
        <w:tab/>
      </w:r>
      <w:r>
        <w:rPr>
          <w:rFonts w:eastAsia="宋体" w:cs="Times New Roman"/>
          <w:bCs/>
          <w:position w:val="-24"/>
          <w:sz w:val="24"/>
        </w:rPr>
        <w:object>
          <v:shape id="_x0000_i1050" o:spt="75" type="#_x0000_t75" style="height:34.15pt;width:212.25pt;" o:ole="t" filled="f" o:preferrelative="t" stroked="f" coordsize="21600,21600">
            <v:path/>
            <v:fill on="f" focussize="0,0"/>
            <v:stroke on="f" joinstyle="miter"/>
            <v:imagedata r:id="rId55" o:title=""/>
            <o:lock v:ext="edit" aspectratio="t"/>
            <w10:wrap type="none"/>
            <w10:anchorlock/>
          </v:shape>
          <o:OLEObject Type="Embed" ProgID="Equation.DSMT4" ShapeID="_x0000_i1050" DrawAspect="Content" ObjectID="_1468075750" r:id="rId54">
            <o:LockedField>false</o:LockedField>
          </o:OLEObject>
        </w:object>
      </w:r>
      <w:r>
        <w:rPr>
          <w:rFonts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26</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307D9547">
      <w:pPr>
        <w:tabs>
          <w:tab w:val="center" w:pos="4515"/>
          <w:tab w:val="right" w:pos="9030"/>
        </w:tabs>
        <w:spacing w:after="312" w:afterLines="100"/>
        <w:rPr>
          <w:rFonts w:ascii="Times New Roman" w:hAnsi="Times New Roman" w:cs="Times New Roman"/>
          <w:kern w:val="0"/>
          <w:sz w:val="24"/>
          <w:lang w:bidi="ar"/>
        </w:rPr>
      </w:pP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object>
          <v:shape id="_x0000_i1051" o:spt="75" type="#_x0000_t75" style="height:34.15pt;width:181.4pt;" o:ole="t" filled="f" o:preferrelative="t" stroked="f" coordsize="21600,21600">
            <v:path/>
            <v:fill on="f" focussize="0,0"/>
            <v:stroke on="f" joinstyle="miter"/>
            <v:imagedata r:id="rId57" o:title=""/>
            <o:lock v:ext="edit" aspectratio="t"/>
            <w10:wrap type="none"/>
            <w10:anchorlock/>
          </v:shape>
          <o:OLEObject Type="Embed" ProgID="Equation.DSMT4" ShapeID="_x0000_i1051" DrawAspect="Content" ObjectID="_1468075751" r:id="rId56">
            <o:LockedField>false</o:LockedField>
          </o:OLEObject>
        </w:object>
      </w: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27</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0BF2B80">
      <w:pPr>
        <w:tabs>
          <w:tab w:val="center" w:pos="4515"/>
          <w:tab w:val="right" w:pos="9030"/>
        </w:tabs>
        <w:spacing w:after="312" w:afterLines="100"/>
        <w:rPr>
          <w:rFonts w:ascii="Times New Roman" w:hAnsi="Times New Roman" w:cs="Times New Roman"/>
          <w:kern w:val="0"/>
          <w:sz w:val="24"/>
          <w:lang w:bidi="ar"/>
        </w:rPr>
      </w:pP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object>
          <v:shape id="_x0000_i1052" o:spt="75" type="#_x0000_t75" style="height:34.15pt;width:215.55pt;" o:ole="t" filled="f" o:preferrelative="t" stroked="f" coordsize="21600,21600">
            <v:path/>
            <v:fill on="f" focussize="0,0"/>
            <v:stroke on="f" joinstyle="miter"/>
            <v:imagedata r:id="rId59" o:title=""/>
            <o:lock v:ext="edit" aspectratio="t"/>
            <w10:wrap type="none"/>
            <w10:anchorlock/>
          </v:shape>
          <o:OLEObject Type="Embed" ProgID="Equation.DSMT4" ShapeID="_x0000_i1052" DrawAspect="Content" ObjectID="_1468075752" r:id="rId58">
            <o:LockedField>false</o:LockedField>
          </o:OLEObject>
        </w:object>
      </w: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28</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7BCCD322">
      <w:pPr>
        <w:tabs>
          <w:tab w:val="left" w:pos="567"/>
        </w:tabs>
        <w:spacing w:line="360" w:lineRule="auto"/>
        <w:rPr>
          <w:rFonts w:ascii="Times New Roman" w:hAnsi="Times New Roman" w:cs="Times New Roman"/>
          <w:bCs/>
          <w:sz w:val="24"/>
        </w:rPr>
      </w:pPr>
      <w:r>
        <w:rPr>
          <w:rFonts w:ascii="Times New Roman" w:hAnsi="Times New Roman" w:eastAsia="宋体" w:cs="Times New Roman"/>
          <w:bCs/>
          <w:sz w:val="24"/>
        </w:rPr>
        <w:t>where</w:t>
      </w:r>
      <w:r>
        <w:rPr>
          <w:rFonts w:ascii="Times New Roman" w:hAnsi="Times New Roman" w:eastAsia="宋体" w:cs="Times New Roman"/>
          <w:bCs/>
          <w:sz w:val="24"/>
        </w:rPr>
        <w:tab/>
      </w:r>
      <w:r>
        <w:rPr>
          <w:rFonts w:ascii="Times New Roman" w:hAnsi="Times New Roman" w:eastAsia="宋体" w:cs="Times New Roman"/>
          <w:b/>
          <w:i/>
          <w:iCs/>
          <w:sz w:val="24"/>
        </w:rPr>
        <w:t>c</w:t>
      </w:r>
      <w:r>
        <w:rPr>
          <w:rFonts w:ascii="Times New Roman" w:hAnsi="Times New Roman" w:eastAsia="宋体" w:cs="Times New Roman"/>
          <w:b/>
          <w:i/>
          <w:iCs/>
          <w:sz w:val="24"/>
          <w:vertAlign w:val="subscript"/>
        </w:rPr>
        <w:t>g</w:t>
      </w:r>
      <w:r>
        <w:rPr>
          <w:rFonts w:ascii="Times New Roman" w:hAnsi="Times New Roman" w:cs="Times New Roman"/>
          <w:bCs/>
          <w:sz w:val="24"/>
        </w:rPr>
        <w:t xml:space="preserve"> (J/kg·K) is the specific heat of the glazing;</w:t>
      </w:r>
    </w:p>
    <w:p w14:paraId="1C0260E1">
      <w:pPr>
        <w:tabs>
          <w:tab w:val="left" w:pos="567"/>
        </w:tabs>
        <w:spacing w:line="360" w:lineRule="auto"/>
        <w:ind w:left="420" w:firstLine="420"/>
        <w:rPr>
          <w:rFonts w:ascii="Times New Roman" w:hAnsi="Times New Roman" w:cs="Times New Roman"/>
          <w:bCs/>
          <w:sz w:val="24"/>
        </w:rPr>
      </w:pPr>
      <w:r>
        <w:rPr>
          <w:rFonts w:ascii="Times New Roman" w:hAnsi="Times New Roman" w:eastAsia="宋体" w:cs="Times New Roman"/>
          <w:b/>
          <w:i/>
          <w:iCs/>
          <w:sz w:val="24"/>
        </w:rPr>
        <w:t>c</w:t>
      </w:r>
      <w:r>
        <w:rPr>
          <w:rFonts w:ascii="Times New Roman" w:hAnsi="Times New Roman" w:eastAsia="宋体" w:cs="Times New Roman"/>
          <w:b/>
          <w:i/>
          <w:iCs/>
          <w:sz w:val="24"/>
          <w:vertAlign w:val="subscript"/>
        </w:rPr>
        <w:t>f</w:t>
      </w:r>
      <w:r>
        <w:rPr>
          <w:rFonts w:ascii="Times New Roman" w:hAnsi="Times New Roman" w:cs="Times New Roman"/>
          <w:bCs/>
          <w:sz w:val="24"/>
        </w:rPr>
        <w:t xml:space="preserve"> (J/kg·K) is the specific heat of the fluids (</w:t>
      </w:r>
      <w:r>
        <w:rPr>
          <w:rFonts w:hint="eastAsia" w:ascii="Times New Roman" w:hAnsi="Times New Roman" w:cs="Times New Roman"/>
          <w:bCs/>
          <w:sz w:val="24"/>
        </w:rPr>
        <w:t>HL</w:t>
      </w:r>
      <w:r>
        <w:rPr>
          <w:rFonts w:ascii="Times New Roman" w:hAnsi="Times New Roman" w:cs="Times New Roman"/>
          <w:bCs/>
          <w:sz w:val="24"/>
        </w:rPr>
        <w:t xml:space="preserve"> or L</w:t>
      </w:r>
      <w:r>
        <w:rPr>
          <w:rFonts w:hint="eastAsia" w:ascii="Times New Roman" w:hAnsi="Times New Roman" w:cs="Times New Roman"/>
          <w:bCs/>
          <w:sz w:val="24"/>
        </w:rPr>
        <w:t>L</w:t>
      </w:r>
      <w:r>
        <w:rPr>
          <w:rFonts w:ascii="Times New Roman" w:hAnsi="Times New Roman" w:cs="Times New Roman"/>
          <w:bCs/>
          <w:sz w:val="24"/>
        </w:rPr>
        <w:t>);</w:t>
      </w:r>
    </w:p>
    <w:p w14:paraId="689D7D23">
      <w:pPr>
        <w:tabs>
          <w:tab w:val="left" w:pos="567"/>
        </w:tabs>
        <w:spacing w:line="360" w:lineRule="auto"/>
        <w:ind w:left="420" w:firstLine="420"/>
        <w:rPr>
          <w:rFonts w:ascii="Times New Roman" w:hAnsi="Times New Roman" w:cs="Times New Roman"/>
          <w:bCs/>
          <w:sz w:val="24"/>
        </w:rPr>
      </w:pPr>
      <w:r>
        <w:rPr>
          <w:rFonts w:ascii="Times New Roman" w:hAnsi="Times New Roman" w:eastAsia="宋体" w:cs="Times New Roman"/>
          <w:b/>
          <w:i/>
          <w:iCs/>
          <w:sz w:val="24"/>
        </w:rPr>
        <w:t>m</w:t>
      </w:r>
      <w:r>
        <w:rPr>
          <w:rFonts w:ascii="Times New Roman" w:hAnsi="Times New Roman" w:eastAsia="宋体" w:cs="Times New Roman"/>
          <w:b/>
          <w:i/>
          <w:iCs/>
          <w:sz w:val="24"/>
          <w:vertAlign w:val="subscript"/>
        </w:rPr>
        <w:t>g</w:t>
      </w:r>
      <w:r>
        <w:rPr>
          <w:rFonts w:ascii="Times New Roman" w:hAnsi="Times New Roman" w:cs="Times New Roman"/>
          <w:b/>
          <w:sz w:val="24"/>
        </w:rPr>
        <w:t xml:space="preserve"> </w:t>
      </w:r>
      <w:r>
        <w:rPr>
          <w:rFonts w:ascii="Times New Roman" w:hAnsi="Times New Roman" w:cs="Times New Roman"/>
          <w:bCs/>
          <w:sz w:val="24"/>
        </w:rPr>
        <w:t>(kg) is the mass of the glazing;</w:t>
      </w:r>
    </w:p>
    <w:p w14:paraId="60A87AA6">
      <w:pPr>
        <w:tabs>
          <w:tab w:val="left" w:pos="567"/>
        </w:tabs>
        <w:spacing w:line="360" w:lineRule="auto"/>
        <w:ind w:left="420" w:firstLine="420"/>
        <w:rPr>
          <w:rFonts w:ascii="Times New Roman" w:hAnsi="Times New Roman" w:cs="Times New Roman"/>
          <w:bCs/>
          <w:sz w:val="24"/>
        </w:rPr>
      </w:pPr>
      <w:r>
        <w:rPr>
          <w:rFonts w:ascii="Times New Roman" w:hAnsi="Times New Roman" w:eastAsia="宋体" w:cs="Times New Roman"/>
          <w:b/>
          <w:i/>
          <w:iCs/>
          <w:sz w:val="24"/>
        </w:rPr>
        <w:t>m</w:t>
      </w:r>
      <w:r>
        <w:rPr>
          <w:rFonts w:ascii="Times New Roman" w:hAnsi="Times New Roman" w:eastAsia="宋体" w:cs="Times New Roman"/>
          <w:b/>
          <w:i/>
          <w:iCs/>
          <w:sz w:val="24"/>
          <w:vertAlign w:val="subscript"/>
        </w:rPr>
        <w:t>f</w:t>
      </w:r>
      <w:r>
        <w:rPr>
          <w:rFonts w:ascii="Times New Roman" w:hAnsi="Times New Roman" w:cs="Times New Roman"/>
          <w:b/>
          <w:sz w:val="24"/>
        </w:rPr>
        <w:t xml:space="preserve"> </w:t>
      </w:r>
      <w:r>
        <w:rPr>
          <w:rFonts w:ascii="Times New Roman" w:hAnsi="Times New Roman" w:cs="Times New Roman"/>
          <w:bCs/>
          <w:sz w:val="24"/>
        </w:rPr>
        <w:t>(kg) is the mass of the fluid;</w:t>
      </w:r>
    </w:p>
    <w:p w14:paraId="50F8DC59">
      <w:pPr>
        <w:tabs>
          <w:tab w:val="left" w:pos="567"/>
        </w:tabs>
        <w:spacing w:line="360" w:lineRule="auto"/>
        <w:ind w:left="420" w:firstLine="420"/>
        <w:rPr>
          <w:rFonts w:ascii="Times New Roman" w:hAnsi="Times New Roman" w:cs="Times New Roman"/>
          <w:bCs/>
          <w:sz w:val="24"/>
        </w:rPr>
      </w:pPr>
      <w:r>
        <w:rPr>
          <w:rFonts w:ascii="Times New Roman" w:hAnsi="Times New Roman" w:eastAsia="宋体" w:cs="Times New Roman"/>
          <w:b/>
          <w:i/>
          <w:iCs/>
          <w:sz w:val="24"/>
        </w:rPr>
        <w:t>T</w:t>
      </w:r>
      <w:r>
        <w:rPr>
          <w:rFonts w:ascii="Times New Roman" w:hAnsi="Times New Roman" w:eastAsia="宋体" w:cs="Times New Roman"/>
          <w:b/>
          <w:i/>
          <w:iCs/>
          <w:sz w:val="24"/>
          <w:vertAlign w:val="subscript"/>
        </w:rPr>
        <w:t>g</w:t>
      </w:r>
      <w:r>
        <w:rPr>
          <w:rFonts w:ascii="Times New Roman" w:hAnsi="Times New Roman" w:eastAsia="宋体" w:cs="Times New Roman"/>
          <w:b/>
          <w:sz w:val="24"/>
          <w:vertAlign w:val="subscript"/>
        </w:rPr>
        <w:t>1</w:t>
      </w:r>
      <w:r>
        <w:rPr>
          <w:rFonts w:ascii="Times New Roman" w:hAnsi="Times New Roman" w:cs="Times New Roman"/>
          <w:bCs/>
          <w:sz w:val="24"/>
        </w:rPr>
        <w:t xml:space="preserve"> (℃) is the temperature of the glazing 1;</w:t>
      </w:r>
    </w:p>
    <w:p w14:paraId="32C5E171">
      <w:pPr>
        <w:tabs>
          <w:tab w:val="left" w:pos="567"/>
        </w:tabs>
        <w:spacing w:line="360" w:lineRule="auto"/>
        <w:ind w:left="420" w:firstLine="420"/>
        <w:rPr>
          <w:rFonts w:ascii="Times New Roman" w:hAnsi="Times New Roman" w:cs="Times New Roman"/>
          <w:bCs/>
          <w:sz w:val="24"/>
        </w:rPr>
      </w:pPr>
      <w:r>
        <w:rPr>
          <w:rFonts w:ascii="Times New Roman" w:hAnsi="Times New Roman" w:eastAsia="宋体" w:cs="Times New Roman"/>
          <w:b/>
          <w:i/>
          <w:iCs/>
          <w:sz w:val="24"/>
        </w:rPr>
        <w:t>T</w:t>
      </w:r>
      <w:r>
        <w:rPr>
          <w:rFonts w:ascii="Times New Roman" w:hAnsi="Times New Roman" w:eastAsia="宋体" w:cs="Times New Roman"/>
          <w:b/>
          <w:i/>
          <w:iCs/>
          <w:sz w:val="24"/>
          <w:vertAlign w:val="subscript"/>
        </w:rPr>
        <w:t>g2</w:t>
      </w:r>
      <w:r>
        <w:rPr>
          <w:rFonts w:ascii="Times New Roman" w:hAnsi="Times New Roman" w:cs="Times New Roman"/>
          <w:bCs/>
          <w:sz w:val="24"/>
        </w:rPr>
        <w:t xml:space="preserve"> (℃) is the temperature of the glazing 2;</w:t>
      </w:r>
    </w:p>
    <w:p w14:paraId="24E912C8">
      <w:pPr>
        <w:tabs>
          <w:tab w:val="left" w:pos="567"/>
        </w:tabs>
        <w:spacing w:line="360" w:lineRule="auto"/>
        <w:ind w:left="420" w:firstLine="420"/>
        <w:rPr>
          <w:rFonts w:ascii="Times New Roman" w:hAnsi="Times New Roman" w:cs="Times New Roman"/>
          <w:bCs/>
          <w:sz w:val="24"/>
        </w:rPr>
      </w:pPr>
      <w:r>
        <w:rPr>
          <w:rFonts w:ascii="Times New Roman" w:hAnsi="Times New Roman" w:cs="Times New Roman"/>
          <w:b/>
          <w:i/>
          <w:iCs/>
          <w:sz w:val="24"/>
        </w:rPr>
        <w:t>Q</w:t>
      </w:r>
      <w:r>
        <w:rPr>
          <w:rFonts w:ascii="Times New Roman" w:hAnsi="Times New Roman" w:cs="Times New Roman"/>
          <w:b/>
          <w:i/>
          <w:iCs/>
          <w:sz w:val="24"/>
          <w:vertAlign w:val="subscript"/>
        </w:rPr>
        <w:t>h,out</w:t>
      </w:r>
      <w:r>
        <w:rPr>
          <w:rFonts w:ascii="Times New Roman" w:hAnsi="Times New Roman" w:cs="Times New Roman"/>
          <w:bCs/>
          <w:sz w:val="24"/>
        </w:rPr>
        <w:t xml:space="preserve"> (W) is the convective heat transfer to outdoor environment;</w:t>
      </w:r>
    </w:p>
    <w:p w14:paraId="3F7EBDD7">
      <w:pPr>
        <w:tabs>
          <w:tab w:val="left" w:pos="567"/>
        </w:tabs>
        <w:spacing w:line="360" w:lineRule="auto"/>
        <w:ind w:left="420" w:firstLine="420"/>
        <w:rPr>
          <w:rFonts w:ascii="Times New Roman" w:hAnsi="Times New Roman" w:cs="Times New Roman"/>
          <w:bCs/>
          <w:sz w:val="24"/>
        </w:rPr>
      </w:pPr>
      <w:r>
        <w:rPr>
          <w:rFonts w:ascii="Times New Roman" w:hAnsi="Times New Roman" w:cs="Times New Roman"/>
          <w:b/>
          <w:i/>
          <w:iCs/>
          <w:sz w:val="24"/>
        </w:rPr>
        <w:t>Q</w:t>
      </w:r>
      <w:r>
        <w:rPr>
          <w:rFonts w:ascii="Times New Roman" w:hAnsi="Times New Roman" w:cs="Times New Roman"/>
          <w:b/>
          <w:i/>
          <w:iCs/>
          <w:sz w:val="24"/>
          <w:vertAlign w:val="subscript"/>
        </w:rPr>
        <w:t>rsc</w:t>
      </w:r>
      <w:r>
        <w:rPr>
          <w:rFonts w:ascii="Times New Roman" w:hAnsi="Times New Roman" w:cs="Times New Roman"/>
          <w:b/>
          <w:sz w:val="24"/>
        </w:rPr>
        <w:t xml:space="preserve"> </w:t>
      </w:r>
      <w:r>
        <w:rPr>
          <w:rFonts w:ascii="Times New Roman" w:hAnsi="Times New Roman" w:cs="Times New Roman"/>
          <w:bCs/>
          <w:sz w:val="24"/>
        </w:rPr>
        <w:t>(W) is the radiative heat transfer from glazing to outdoor environment;</w:t>
      </w:r>
    </w:p>
    <w:p w14:paraId="33B615C2">
      <w:pPr>
        <w:tabs>
          <w:tab w:val="left" w:pos="567"/>
        </w:tabs>
        <w:spacing w:line="360" w:lineRule="auto"/>
        <w:ind w:left="420" w:firstLine="420"/>
        <w:rPr>
          <w:rFonts w:ascii="Times New Roman" w:hAnsi="Times New Roman" w:cs="Times New Roman"/>
          <w:bCs/>
          <w:sz w:val="24"/>
        </w:rPr>
      </w:pPr>
      <w:r>
        <w:rPr>
          <w:rFonts w:ascii="Times New Roman" w:hAnsi="Times New Roman" w:cs="Times New Roman"/>
          <w:b/>
          <w:i/>
          <w:iCs/>
          <w:sz w:val="24"/>
        </w:rPr>
        <w:t>Q</w:t>
      </w:r>
      <w:r>
        <w:rPr>
          <w:rFonts w:ascii="Times New Roman" w:hAnsi="Times New Roman" w:cs="Times New Roman"/>
          <w:b/>
          <w:i/>
          <w:iCs/>
          <w:sz w:val="24"/>
          <w:vertAlign w:val="subscript"/>
        </w:rPr>
        <w:t>c,g2</w:t>
      </w:r>
      <w:r>
        <w:rPr>
          <w:rFonts w:ascii="Times New Roman" w:hAnsi="Times New Roman" w:cs="Times New Roman"/>
          <w:bCs/>
          <w:sz w:val="24"/>
        </w:rPr>
        <w:t xml:space="preserve"> (W) is the conductive heat transfer from glazing to the clear glazing;</w:t>
      </w:r>
    </w:p>
    <w:p w14:paraId="5AE95CA2">
      <w:pPr>
        <w:tabs>
          <w:tab w:val="left" w:pos="567"/>
        </w:tabs>
        <w:spacing w:after="312" w:afterLines="100" w:line="360" w:lineRule="auto"/>
        <w:ind w:left="420" w:firstLine="420"/>
        <w:rPr>
          <w:rFonts w:ascii="Times New Roman" w:hAnsi="Times New Roman" w:cs="Times New Roman"/>
          <w:bCs/>
          <w:sz w:val="24"/>
        </w:rPr>
      </w:pPr>
      <w:r>
        <w:rPr>
          <w:rFonts w:ascii="Times New Roman" w:hAnsi="Times New Roman" w:cs="Times New Roman"/>
          <w:b/>
          <w:i/>
          <w:iCs/>
          <w:sz w:val="24"/>
        </w:rPr>
        <w:t>Q</w:t>
      </w:r>
      <w:r>
        <w:rPr>
          <w:rFonts w:ascii="Times New Roman" w:hAnsi="Times New Roman" w:cs="Times New Roman"/>
          <w:b/>
          <w:i/>
          <w:iCs/>
          <w:sz w:val="24"/>
          <w:vertAlign w:val="subscript"/>
        </w:rPr>
        <w:t>r,g2</w:t>
      </w:r>
      <w:r>
        <w:rPr>
          <w:rFonts w:ascii="Times New Roman" w:hAnsi="Times New Roman" w:cs="Times New Roman"/>
          <w:bCs/>
          <w:sz w:val="24"/>
        </w:rPr>
        <w:t xml:space="preserve"> (W) is the radiative heat transfer from the glazing to the clear glazing.</w:t>
      </w:r>
    </w:p>
    <w:p w14:paraId="6B2923C4">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The convective heat transfer can be calculated by:</w:t>
      </w:r>
    </w:p>
    <w:p w14:paraId="2930C15B">
      <w:pPr>
        <w:tabs>
          <w:tab w:val="center" w:pos="4515"/>
          <w:tab w:val="right" w:pos="9030"/>
        </w:tabs>
        <w:spacing w:after="312" w:afterLines="100"/>
        <w:rPr>
          <w:rFonts w:eastAsia="宋体" w:cs="Times New Roman"/>
          <w:bCs/>
          <w:sz w:val="24"/>
        </w:rPr>
      </w:pPr>
      <w:r>
        <w:rPr>
          <w:rFonts w:hint="eastAsia" w:eastAsia="宋体" w:cs="Times New Roman"/>
          <w:bCs/>
          <w:position w:val="-60"/>
          <w:sz w:val="24"/>
        </w:rPr>
        <w:tab/>
      </w:r>
      <w:r>
        <w:rPr>
          <w:rFonts w:eastAsia="宋体" w:cs="Times New Roman"/>
          <w:bCs/>
          <w:position w:val="-66"/>
          <w:sz w:val="24"/>
        </w:rPr>
        <w:object>
          <v:shape id="_x0000_i1053" o:spt="75" type="#_x0000_t75" style="height:51.45pt;width:137.45pt;" o:ole="t" filled="f" o:preferrelative="t" stroked="f" coordsize="21600,21600">
            <v:path/>
            <v:fill on="f" focussize="0,0"/>
            <v:stroke on="f" joinstyle="miter"/>
            <v:imagedata r:id="rId61" o:title=""/>
            <o:lock v:ext="edit" aspectratio="t"/>
            <w10:wrap type="none"/>
            <w10:anchorlock/>
          </v:shape>
          <o:OLEObject Type="Embed" ProgID="Equation.DSMT4" ShapeID="_x0000_i1053" DrawAspect="Content" ObjectID="_1468075753" r:id="rId60">
            <o:LockedField>false</o:LockedField>
          </o:OLEObject>
        </w:object>
      </w:r>
      <w:r>
        <w:rPr>
          <w:rFonts w:hint="eastAsia"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29</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378D208">
      <w:pPr>
        <w:tabs>
          <w:tab w:val="center" w:pos="4515"/>
          <w:tab w:val="right" w:pos="9030"/>
        </w:tabs>
        <w:spacing w:after="312" w:afterLines="100"/>
        <w:rPr>
          <w:rFonts w:eastAsia="宋体" w:cs="Times New Roman"/>
          <w:bCs/>
          <w:sz w:val="24"/>
        </w:rPr>
      </w:pPr>
      <w:r>
        <w:rPr>
          <w:rFonts w:hint="eastAsia" w:eastAsia="宋体" w:cs="Times New Roman"/>
          <w:bCs/>
          <w:position w:val="-66"/>
          <w:sz w:val="24"/>
        </w:rPr>
        <w:tab/>
      </w:r>
      <w:r>
        <w:rPr>
          <w:rFonts w:eastAsia="宋体" w:cs="Times New Roman"/>
          <w:bCs/>
          <w:position w:val="-66"/>
          <w:sz w:val="24"/>
        </w:rPr>
        <w:object>
          <v:shape id="_x0000_i1054" o:spt="75" type="#_x0000_t75" style="height:50.95pt;width:134.2pt;" o:ole="t" filled="f" o:preferrelative="t" stroked="f" coordsize="21600,21600">
            <v:path/>
            <v:fill on="f" focussize="0,0"/>
            <v:stroke on="f" joinstyle="miter"/>
            <v:imagedata r:id="rId63" o:title=""/>
            <o:lock v:ext="edit" aspectratio="t"/>
            <w10:wrap type="none"/>
            <w10:anchorlock/>
          </v:shape>
          <o:OLEObject Type="Embed" ProgID="Equation.DSMT4" ShapeID="_x0000_i1054" DrawAspect="Content" ObjectID="_1468075754" r:id="rId62">
            <o:LockedField>false</o:LockedField>
          </o:OLEObject>
        </w:object>
      </w:r>
      <w:r>
        <w:rPr>
          <w:rFonts w:hint="eastAsia"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30</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6B7E8FBD">
      <w:pPr>
        <w:tabs>
          <w:tab w:val="left" w:pos="567"/>
        </w:tabs>
        <w:spacing w:line="360" w:lineRule="auto"/>
        <w:rPr>
          <w:rFonts w:ascii="Times New Roman" w:hAnsi="Times New Roman" w:cs="Times New Roman"/>
          <w:sz w:val="24"/>
        </w:rPr>
      </w:pPr>
      <w:r>
        <w:rPr>
          <w:rFonts w:ascii="Times New Roman" w:hAnsi="Times New Roman" w:cs="Times New Roman"/>
          <w:sz w:val="24"/>
        </w:rPr>
        <w:t xml:space="preserve">where </w:t>
      </w:r>
      <w:r>
        <w:rPr>
          <w:rFonts w:ascii="Times New Roman" w:hAnsi="Times New Roman" w:cs="Times New Roman"/>
          <w:sz w:val="24"/>
        </w:rPr>
        <w:tab/>
      </w:r>
      <w:r>
        <w:rPr>
          <w:rFonts w:ascii="Symbol" w:hAnsi="Symbol" w:cs="Symbol"/>
          <w:b/>
          <w:bCs/>
          <w:i/>
          <w:iCs/>
          <w:sz w:val="24"/>
        </w:rPr>
        <w:t></w:t>
      </w:r>
      <w:r>
        <w:rPr>
          <w:rFonts w:ascii="Symbol" w:hAnsi="Symbol" w:cs="Symbol"/>
          <w:sz w:val="24"/>
          <w:vertAlign w:val="subscript"/>
        </w:rPr>
        <w:t></w:t>
      </w:r>
      <w:r>
        <w:rPr>
          <w:rFonts w:ascii="Times New Roman" w:hAnsi="Times New Roman" w:cs="Times New Roman"/>
          <w:sz w:val="24"/>
        </w:rPr>
        <w:t xml:space="preserve"> and </w:t>
      </w:r>
      <w:r>
        <w:rPr>
          <w:rFonts w:ascii="Symbol" w:hAnsi="Symbol" w:cs="Symbol"/>
          <w:b/>
          <w:bCs/>
          <w:i/>
          <w:iCs/>
          <w:sz w:val="24"/>
        </w:rPr>
        <w:t></w:t>
      </w:r>
      <w:r>
        <w:rPr>
          <w:rFonts w:ascii="Symbol" w:hAnsi="Symbol" w:cs="Symbol"/>
          <w:sz w:val="24"/>
          <w:vertAlign w:val="subscript"/>
        </w:rPr>
        <w:t></w:t>
      </w:r>
      <w:r>
        <w:rPr>
          <w:rFonts w:ascii="Times New Roman" w:hAnsi="Times New Roman" w:cs="Times New Roman"/>
          <w:sz w:val="24"/>
          <w:vertAlign w:val="subscript"/>
        </w:rPr>
        <w:t xml:space="preserve"> </w:t>
      </w:r>
      <w:r>
        <w:rPr>
          <w:rFonts w:ascii="Times New Roman" w:hAnsi="Times New Roman" w:cs="Times New Roman"/>
          <w:sz w:val="24"/>
        </w:rPr>
        <w:t>(m) are the thicknesses of the glazing;</w:t>
      </w:r>
    </w:p>
    <w:p w14:paraId="5EA93320">
      <w:pPr>
        <w:tabs>
          <w:tab w:val="left" w:pos="567"/>
        </w:tabs>
        <w:spacing w:line="360" w:lineRule="auto"/>
        <w:rPr>
          <w:rFonts w:ascii="Times New Roman" w:hAnsi="Times New Roman" w:cs="Times New Roman"/>
          <w:sz w:val="24"/>
        </w:rPr>
      </w:pPr>
      <w:r>
        <w:rPr>
          <w:rFonts w:ascii="Times New Roman" w:hAnsi="Times New Roman" w:cs="Times New Roman"/>
          <w:b/>
          <w:bCs/>
          <w:i/>
          <w:iCs/>
          <w:sz w:val="24"/>
        </w:rPr>
        <w:tab/>
      </w:r>
      <w:r>
        <w:rPr>
          <w:rFonts w:ascii="Times New Roman" w:hAnsi="Times New Roman" w:cs="Times New Roman"/>
          <w:b/>
          <w:bCs/>
          <w:i/>
          <w:iCs/>
          <w:sz w:val="24"/>
        </w:rPr>
        <w:tab/>
      </w:r>
      <w:r>
        <w:rPr>
          <w:rFonts w:ascii="Times New Roman" w:hAnsi="Times New Roman" w:cs="Times New Roman"/>
          <w:b/>
          <w:bCs/>
          <w:i/>
          <w:iCs/>
          <w:sz w:val="24"/>
        </w:rPr>
        <w:t>λ</w:t>
      </w:r>
      <w:r>
        <w:rPr>
          <w:rFonts w:ascii="Times New Roman" w:hAnsi="Times New Roman" w:cs="Times New Roman"/>
          <w:sz w:val="24"/>
          <w:vertAlign w:val="subscript"/>
        </w:rPr>
        <w:t>1</w:t>
      </w:r>
      <w:r>
        <w:rPr>
          <w:rFonts w:ascii="Times New Roman" w:hAnsi="Times New Roman" w:cs="Times New Roman"/>
          <w:sz w:val="24"/>
        </w:rPr>
        <w:t xml:space="preserve"> and </w:t>
      </w:r>
      <w:r>
        <w:rPr>
          <w:rFonts w:ascii="Times New Roman" w:hAnsi="Times New Roman" w:cs="Times New Roman"/>
          <w:b/>
          <w:bCs/>
          <w:i/>
          <w:iCs/>
          <w:sz w:val="24"/>
        </w:rPr>
        <w:t>λ</w:t>
      </w:r>
      <w:r>
        <w:rPr>
          <w:rFonts w:ascii="Symbol" w:hAnsi="Symbol" w:cs="Times New Roman"/>
          <w:sz w:val="24"/>
          <w:vertAlign w:val="subscript"/>
        </w:rPr>
        <w:t></w:t>
      </w:r>
      <w:r>
        <w:rPr>
          <w:rFonts w:ascii="Times New Roman" w:hAnsi="Times New Roman" w:cs="Times New Roman"/>
          <w:sz w:val="24"/>
          <w:vertAlign w:val="subscript"/>
        </w:rPr>
        <w:t xml:space="preserve"> </w:t>
      </w:r>
      <w:r>
        <w:rPr>
          <w:rFonts w:ascii="Times New Roman" w:hAnsi="Times New Roman" w:cs="Times New Roman"/>
          <w:sz w:val="24"/>
        </w:rPr>
        <w:t>[W/(m</w:t>
      </w:r>
      <w:r>
        <w:rPr>
          <w:rFonts w:ascii="Times New Roman" w:hAnsi="Times New Roman" w:cs="Times New Roman"/>
          <w:bCs/>
          <w:sz w:val="24"/>
        </w:rPr>
        <w:t>·K</w:t>
      </w:r>
      <w:r>
        <w:rPr>
          <w:rFonts w:ascii="Times New Roman" w:hAnsi="Times New Roman" w:cs="Times New Roman"/>
          <w:sz w:val="24"/>
        </w:rPr>
        <w:t>] are the thermal conductivity the glazing;</w:t>
      </w:r>
    </w:p>
    <w:p w14:paraId="0F776C18">
      <w:pPr>
        <w:tabs>
          <w:tab w:val="left" w:pos="567"/>
        </w:tabs>
        <w:spacing w:after="156" w:afterLines="50" w:line="360" w:lineRule="auto"/>
        <w:ind w:left="840"/>
        <w:rPr>
          <w:rFonts w:ascii="Times New Roman" w:hAnsi="Times New Roman" w:cs="Times New Roman"/>
          <w:sz w:val="24"/>
        </w:rPr>
      </w:pPr>
      <w:r>
        <w:rPr>
          <w:rFonts w:ascii="Times New Roman" w:hAnsi="Times New Roman" w:eastAsia="宋体" w:cs="Times New Roman"/>
          <w:b/>
          <w:i/>
          <w:iCs/>
          <w:sz w:val="24"/>
        </w:rPr>
        <w:t>h</w:t>
      </w:r>
      <w:r>
        <w:rPr>
          <w:rFonts w:ascii="Times New Roman" w:hAnsi="Times New Roman" w:eastAsia="宋体" w:cs="Times New Roman"/>
          <w:b/>
          <w:i/>
          <w:iCs/>
          <w:sz w:val="24"/>
          <w:vertAlign w:val="subscript"/>
        </w:rPr>
        <w:t>in</w:t>
      </w:r>
      <w:r>
        <w:rPr>
          <w:rFonts w:ascii="Times New Roman" w:hAnsi="Times New Roman" w:eastAsia="宋体" w:cs="Times New Roman"/>
          <w:bCs/>
          <w:sz w:val="24"/>
        </w:rPr>
        <w:t xml:space="preserve"> and</w:t>
      </w:r>
      <w:r>
        <w:rPr>
          <w:rFonts w:ascii="Times New Roman" w:hAnsi="Times New Roman" w:eastAsia="宋体" w:cs="Times New Roman"/>
          <w:b/>
          <w:i/>
          <w:iCs/>
          <w:sz w:val="24"/>
        </w:rPr>
        <w:t xml:space="preserve"> h</w:t>
      </w:r>
      <w:r>
        <w:rPr>
          <w:rFonts w:ascii="Times New Roman" w:hAnsi="Times New Roman" w:eastAsia="宋体" w:cs="Times New Roman"/>
          <w:b/>
          <w:i/>
          <w:iCs/>
          <w:sz w:val="24"/>
          <w:vertAlign w:val="subscript"/>
        </w:rPr>
        <w:t>out</w:t>
      </w:r>
      <w:r>
        <w:rPr>
          <w:rFonts w:ascii="Times New Roman" w:hAnsi="Times New Roman" w:cs="Times New Roman"/>
          <w:sz w:val="24"/>
        </w:rPr>
        <w:t xml:space="preserve"> (W·m</w:t>
      </w:r>
      <w:r>
        <w:rPr>
          <w:rFonts w:ascii="Times New Roman" w:hAnsi="Times New Roman" w:cs="Times New Roman"/>
          <w:sz w:val="24"/>
          <w:vertAlign w:val="superscript"/>
        </w:rPr>
        <w:t>-2</w:t>
      </w:r>
      <w:r>
        <w:rPr>
          <w:rFonts w:ascii="Times New Roman" w:hAnsi="Times New Roman" w:cs="Times New Roman"/>
          <w:sz w:val="24"/>
        </w:rPr>
        <w:t>·K</w:t>
      </w:r>
      <w:r>
        <w:rPr>
          <w:rFonts w:ascii="Times New Roman" w:hAnsi="Times New Roman" w:cs="Times New Roman"/>
          <w:sz w:val="24"/>
          <w:vertAlign w:val="superscript"/>
        </w:rPr>
        <w:t>-1</w:t>
      </w:r>
      <w:r>
        <w:rPr>
          <w:rFonts w:ascii="Times New Roman" w:hAnsi="Times New Roman" w:cs="Times New Roman"/>
          <w:sz w:val="24"/>
        </w:rPr>
        <w:t>) are the convective heat transfer coefficients respectively</w:t>
      </w:r>
      <w:r>
        <w:rPr>
          <w:rFonts w:hint="eastAsia" w:ascii="Times New Roman" w:hAnsi="Times New Roman" w:cs="Times New Roman"/>
          <w:sz w:val="24"/>
        </w:rPr>
        <w:t>.</w:t>
      </w:r>
    </w:p>
    <w:p w14:paraId="0CAE9542">
      <w:pPr>
        <w:pStyle w:val="5"/>
        <w:widowControl/>
        <w:spacing w:beforeAutospacing="0" w:after="312" w:afterLines="100" w:afterAutospacing="0" w:line="480" w:lineRule="auto"/>
        <w:jc w:val="both"/>
        <w:rPr>
          <w:rFonts w:ascii="Times New Roman" w:hAnsi="Times New Roman"/>
        </w:rPr>
      </w:pPr>
      <w:r>
        <w:rPr>
          <w:rFonts w:hint="eastAsia" w:ascii="Times New Roman" w:hAnsi="Times New Roman"/>
        </w:rPr>
        <w:t xml:space="preserve">The natural convective heat transfer coefficient </w:t>
      </w:r>
      <w:r>
        <w:rPr>
          <w:rFonts w:hint="eastAsia" w:ascii="Times New Roman" w:hAnsi="Times New Roman"/>
          <w:b/>
          <w:bCs/>
          <w:i/>
          <w:iCs/>
        </w:rPr>
        <w:t>h</w:t>
      </w:r>
      <w:r>
        <w:rPr>
          <w:rFonts w:hint="eastAsia" w:ascii="Times New Roman" w:hAnsi="Times New Roman"/>
          <w:b/>
          <w:bCs/>
          <w:i/>
          <w:iCs/>
          <w:vertAlign w:val="subscript"/>
        </w:rPr>
        <w:t>in</w:t>
      </w:r>
      <w:r>
        <w:rPr>
          <w:rFonts w:hint="eastAsia" w:ascii="Times New Roman" w:hAnsi="Times New Roman"/>
        </w:rPr>
        <w:t xml:space="preserve"> can be calculated by</w:t>
      </w:r>
      <w:r>
        <w:rPr>
          <w:rFonts w:hint="eastAsia" w:ascii="Times New Roman" w:hAnsi="Times New Roman"/>
          <w:b/>
          <w:bCs/>
          <w:color w:val="0000FF"/>
        </w:rPr>
        <w:t xml:space="preserve"> </w:t>
      </w:r>
      <w:r>
        <w:rPr>
          <w:rFonts w:hint="eastAsia" w:ascii="Times New Roman" w:hAnsi="Times New Roman"/>
          <w:b/>
          <w:bCs/>
          <w:color w:val="0000FF"/>
        </w:rPr>
        <w:fldChar w:fldCharType="begin"/>
      </w:r>
      <w:r>
        <w:rPr>
          <w:rFonts w:hint="eastAsia" w:ascii="Times New Roman" w:hAnsi="Times New Roman"/>
          <w:b/>
          <w:bCs/>
          <w:color w:val="0000FF"/>
        </w:rPr>
        <w:instrText xml:space="preserve"> ADDIN EN.CITE &lt;EndNote&gt;&lt;Cite&gt;&lt;Author&gt;Khalifa&lt;/Author&gt;&lt;Year&gt;2001&lt;/Year&gt;&lt;RecNum&gt;1146&lt;/RecNum&gt;&lt;DisplayText&gt;[3]&lt;/DisplayText&gt;&lt;record&gt;&lt;rec-number&gt;1146&lt;/rec-number&gt;&lt;foreign-keys&gt;&lt;key app="EN" db-id="paaztsr04trapte5f9cpv9ss0fav5erzzr9a" timestamp="1758012195"&gt;1146&lt;/key&gt;&lt;/foreign-keys&gt;&lt;ref-type name="Journal Article"&gt;17&lt;/ref-type&gt;&lt;contributors&gt;&lt;authors&gt;&lt;author&gt;Khalifa, Abdul-Jabbar N.&lt;/author&gt;&lt;/authors&gt;&lt;/contributors&gt;&lt;titles&gt;&lt;title&gt;Natural convective heat transfer coefficient – a review: I. Isolated vertical and horizontal surfaces&lt;/title&gt;&lt;secondary-title&gt;Energy Conversion and Management&lt;/secondary-title&gt;&lt;/titles&gt;&lt;periodical&gt;&lt;full-title&gt;Energy Conversion and Management&lt;/full-title&gt;&lt;/periodical&gt;&lt;pages&gt;491-504&lt;/pages&gt;&lt;volume&gt;42&lt;/volume&gt;&lt;number&gt;4&lt;/number&gt;&lt;keywords&gt;&lt;keyword&gt;Natural convection&lt;/keyword&gt;&lt;keyword&gt;Heat transfer correlations&lt;/keyword&gt;&lt;keyword&gt;Vertical surface&lt;/keyword&gt;&lt;keyword&gt;Horizontal surface&lt;/keyword&gt;&lt;/keywords&gt;&lt;dates&gt;&lt;year&gt;2001&lt;/year&gt;&lt;pub-dates&gt;&lt;date&gt;2001/03/01/&lt;/date&gt;&lt;/pub-dates&gt;&lt;/dates&gt;&lt;isbn&gt;0196-8904&lt;/isbn&gt;&lt;urls&gt;&lt;related-urls&gt;&lt;url&gt;https://www.sciencedirect.com/science/article/pii/S019689040000042X&lt;/url&gt;&lt;/related-urls&gt;&lt;/urls&gt;&lt;electronic-resource-num&gt;https://doi.org/10.1016/S0196-8904(00)00042-X&lt;/electronic-resource-num&gt;&lt;/record&gt;&lt;/Cite&gt;&lt;/EndNote&gt;</w:instrText>
      </w:r>
      <w:r>
        <w:rPr>
          <w:rFonts w:hint="eastAsia" w:ascii="Times New Roman" w:hAnsi="Times New Roman"/>
          <w:b/>
          <w:bCs/>
          <w:color w:val="0000FF"/>
        </w:rPr>
        <w:fldChar w:fldCharType="separate"/>
      </w:r>
      <w:r>
        <w:rPr>
          <w:rFonts w:hint="eastAsia" w:ascii="Times New Roman" w:hAnsi="Times New Roman"/>
          <w:b/>
          <w:bCs/>
          <w:color w:val="0000FF"/>
        </w:rPr>
        <w:t>[3]</w:t>
      </w:r>
      <w:r>
        <w:rPr>
          <w:rFonts w:hint="eastAsia" w:ascii="Times New Roman" w:hAnsi="Times New Roman"/>
          <w:b/>
          <w:bCs/>
          <w:color w:val="0000FF"/>
        </w:rPr>
        <w:fldChar w:fldCharType="end"/>
      </w:r>
      <w:r>
        <w:rPr>
          <w:rFonts w:hint="eastAsia" w:ascii="Times New Roman" w:hAnsi="Times New Roman"/>
        </w:rPr>
        <w:t xml:space="preserve">: </w:t>
      </w:r>
    </w:p>
    <w:p w14:paraId="34A67439">
      <w:pPr>
        <w:tabs>
          <w:tab w:val="center" w:pos="4515"/>
          <w:tab w:val="right" w:pos="9030"/>
        </w:tabs>
        <w:spacing w:after="312" w:afterLines="100"/>
        <w:rPr>
          <w:rFonts w:ascii="Times New Roman" w:hAnsi="Times New Roman" w:eastAsia="宋体"/>
          <w:bCs/>
          <w:sz w:val="24"/>
        </w:rPr>
      </w:pPr>
      <w:r>
        <w:rPr>
          <w:rFonts w:hint="eastAsia"/>
          <w:bCs/>
          <w:position w:val="-34"/>
          <w:sz w:val="24"/>
        </w:rPr>
        <w:tab/>
      </w:r>
      <w:r>
        <w:rPr>
          <w:bCs/>
          <w:position w:val="-46"/>
          <w:sz w:val="24"/>
        </w:rPr>
        <w:object>
          <v:shape id="_x0000_i1055" o:spt="75" type="#_x0000_t75" style="height:55.15pt;width:319.8pt;" o:ole="t" filled="f" o:preferrelative="t" stroked="f" coordsize="21600,21600">
            <v:path/>
            <v:fill on="f" focussize="0,0"/>
            <v:stroke on="f" joinstyle="miter"/>
            <v:imagedata r:id="rId65" o:title=""/>
            <o:lock v:ext="edit" aspectratio="t"/>
            <w10:wrap type="none"/>
            <w10:anchorlock/>
          </v:shape>
          <o:OLEObject Type="Embed" ProgID="Equation.DSMT4" ShapeID="_x0000_i1055" DrawAspect="Content" ObjectID="_1468075755" r:id="rId64">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31</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676889AD">
      <w:pPr>
        <w:pStyle w:val="5"/>
        <w:widowControl/>
        <w:spacing w:beforeAutospacing="0" w:after="312" w:afterLines="100" w:afterAutospacing="0" w:line="480" w:lineRule="auto"/>
        <w:jc w:val="both"/>
        <w:rPr>
          <w:rFonts w:ascii="Times New Roman" w:hAnsi="Times New Roman"/>
        </w:rPr>
      </w:pPr>
      <w:r>
        <w:rPr>
          <w:rFonts w:hint="eastAsia" w:ascii="Times New Roman" w:hAnsi="Times New Roman"/>
        </w:rPr>
        <w:t xml:space="preserve">The </w:t>
      </w:r>
      <w:r>
        <w:rPr>
          <w:rFonts w:ascii="Times New Roman" w:hAnsi="Times New Roman"/>
        </w:rPr>
        <w:t>f</w:t>
      </w:r>
      <w:r>
        <w:rPr>
          <w:rFonts w:hint="eastAsia" w:ascii="Times New Roman" w:hAnsi="Times New Roman"/>
        </w:rPr>
        <w:t xml:space="preserve">orced convective heat transfer coefficient </w:t>
      </w:r>
      <w:r>
        <w:rPr>
          <w:rFonts w:ascii="Times New Roman" w:hAnsi="Times New Roman" w:eastAsia="宋体"/>
          <w:b/>
          <w:i/>
          <w:iCs/>
        </w:rPr>
        <w:t>h</w:t>
      </w:r>
      <w:r>
        <w:rPr>
          <w:rFonts w:ascii="Times New Roman" w:hAnsi="Times New Roman" w:eastAsia="宋体"/>
          <w:b/>
          <w:i/>
          <w:iCs/>
          <w:vertAlign w:val="subscript"/>
        </w:rPr>
        <w:t>out</w:t>
      </w:r>
      <w:r>
        <w:rPr>
          <w:rFonts w:ascii="Times New Roman" w:hAnsi="Times New Roman"/>
        </w:rPr>
        <w:t xml:space="preserve"> </w:t>
      </w:r>
      <w:r>
        <w:rPr>
          <w:rFonts w:hint="eastAsia" w:ascii="Times New Roman" w:hAnsi="Times New Roman"/>
        </w:rPr>
        <w:t>can be calculated by</w:t>
      </w:r>
      <w:r>
        <w:rPr>
          <w:rFonts w:hint="eastAsia" w:ascii="Times New Roman" w:hAnsi="Times New Roman"/>
          <w:b/>
          <w:bCs/>
          <w:color w:val="0000FF"/>
        </w:rPr>
        <w:t xml:space="preserve"> </w:t>
      </w:r>
      <w:r>
        <w:rPr>
          <w:rFonts w:hint="eastAsia" w:ascii="Times New Roman" w:hAnsi="Times New Roman"/>
          <w:b/>
          <w:bCs/>
          <w:color w:val="0000FF"/>
        </w:rPr>
        <w:fldChar w:fldCharType="begin"/>
      </w:r>
      <w:r>
        <w:rPr>
          <w:rFonts w:hint="eastAsia" w:ascii="Times New Roman" w:hAnsi="Times New Roman"/>
          <w:b/>
          <w:bCs/>
          <w:color w:val="0000FF"/>
        </w:rPr>
        <w:instrText xml:space="preserve"> ADDIN EN.CITE &lt;EndNote&gt;&lt;Cite&gt;&lt;Author&gt;Emmel&lt;/Author&gt;&lt;Year&gt;2007&lt;/Year&gt;&lt;RecNum&gt;1147&lt;/RecNum&gt;&lt;DisplayText&gt;[4]&lt;/DisplayText&gt;&lt;record&gt;&lt;rec-number&gt;1147&lt;/rec-number&gt;&lt;foreign-keys&gt;&lt;key app="EN" db-id="paaztsr04trapte5f9cpv9ss0fav5erzzr9a" timestamp="1758012297"&gt;1147&lt;/key&gt;&lt;/foreign-keys&gt;&lt;ref-type name="Journal Article"&gt;17&lt;/ref-type&gt;&lt;contributors&gt;&lt;authors&gt;&lt;author&gt;Emmel, Marcelo G.&lt;/author&gt;&lt;author&gt;Abadie, Marc O.&lt;/author&gt;&lt;author&gt;Mendes, Nathan&lt;/author&gt;&lt;/authors&gt;&lt;/contributors&gt;&lt;titles&gt;&lt;title&gt;New external convective heat transfer coefficient correlations for isolated low-rise buildings&lt;/title&gt;&lt;secondary-title&gt;Energy and Buildings&lt;/secondary-title&gt;&lt;/titles&gt;&lt;periodical&gt;&lt;full-title&gt;Energy and Buildings&lt;/full-title&gt;&lt;/periodical&gt;&lt;pages&gt;335-342&lt;/pages&gt;&lt;volume&gt;39&lt;/volume&gt;&lt;number&gt;3&lt;/number&gt;&lt;keywords&gt;&lt;keyword&gt;External convective heat transfer coefficient&lt;/keyword&gt;&lt;keyword&gt;Wind velocity&lt;/keyword&gt;&lt;keyword&gt;Wind orientation&lt;/keyword&gt;&lt;keyword&gt;Building physics&lt;/keyword&gt;&lt;keyword&gt;Computational fluid dynamics&lt;/keyword&gt;&lt;/keywords&gt;&lt;dates&gt;&lt;year&gt;2007&lt;/year&gt;&lt;pub-dates&gt;&lt;date&gt;2007/03/01/&lt;/date&gt;&lt;/pub-dates&gt;&lt;/dates&gt;&lt;isbn&gt;0378-7788&lt;/isbn&gt;&lt;urls&gt;&lt;related-urls&gt;&lt;url&gt;https://www.sciencedirect.com/science/article/pii/S0378778806001976&lt;/url&gt;&lt;/related-urls&gt;&lt;/urls&gt;&lt;electronic-resource-num&gt;https://doi.org/10.1016/j.enbuild.2006.08.001&lt;/electronic-resource-num&gt;&lt;/record&gt;&lt;/Cite&gt;&lt;/EndNote&gt;</w:instrText>
      </w:r>
      <w:r>
        <w:rPr>
          <w:rFonts w:hint="eastAsia" w:ascii="Times New Roman" w:hAnsi="Times New Roman"/>
          <w:b/>
          <w:bCs/>
          <w:color w:val="0000FF"/>
        </w:rPr>
        <w:fldChar w:fldCharType="separate"/>
      </w:r>
      <w:r>
        <w:rPr>
          <w:rFonts w:hint="eastAsia" w:ascii="Times New Roman" w:hAnsi="Times New Roman"/>
          <w:b/>
          <w:bCs/>
          <w:color w:val="0000FF"/>
        </w:rPr>
        <w:t>[4]</w:t>
      </w:r>
      <w:r>
        <w:rPr>
          <w:rFonts w:hint="eastAsia" w:ascii="Times New Roman" w:hAnsi="Times New Roman"/>
          <w:b/>
          <w:bCs/>
          <w:color w:val="0000FF"/>
        </w:rPr>
        <w:fldChar w:fldCharType="end"/>
      </w:r>
      <w:r>
        <w:rPr>
          <w:rFonts w:hint="eastAsia" w:ascii="Times New Roman" w:hAnsi="Times New Roman"/>
        </w:rPr>
        <w:t>:</w:t>
      </w:r>
    </w:p>
    <w:p w14:paraId="7D4914BE">
      <w:pPr>
        <w:tabs>
          <w:tab w:val="center" w:pos="4515"/>
          <w:tab w:val="right" w:pos="9030"/>
        </w:tabs>
        <w:spacing w:after="312" w:afterLines="100"/>
        <w:rPr>
          <w:bCs/>
          <w:sz w:val="24"/>
        </w:rPr>
      </w:pPr>
      <w:r>
        <w:rPr>
          <w:rFonts w:hint="eastAsia"/>
          <w:bCs/>
          <w:position w:val="-34"/>
          <w:sz w:val="24"/>
        </w:rPr>
        <w:tab/>
      </w:r>
      <w:r>
        <w:rPr>
          <w:bCs/>
          <w:position w:val="-96"/>
          <w:sz w:val="24"/>
        </w:rPr>
        <w:object>
          <v:shape id="_x0000_i1056" o:spt="75" type="#_x0000_t75" style="height:108.45pt;width:171.6pt;" o:ole="t" filled="f" o:preferrelative="t" stroked="f" coordsize="21600,21600">
            <v:path/>
            <v:fill on="f" focussize="0,0"/>
            <v:stroke on="f" joinstyle="miter"/>
            <v:imagedata r:id="rId67" o:title=""/>
            <o:lock v:ext="edit" aspectratio="t"/>
            <w10:wrap type="none"/>
            <w10:anchorlock/>
          </v:shape>
          <o:OLEObject Type="Embed" ProgID="Equation.DSMT4" ShapeID="_x0000_i1056" DrawAspect="Content" ObjectID="_1468075756" r:id="rId66">
            <o:LockedField>false</o:LockedField>
          </o:OLEObject>
        </w:object>
      </w:r>
      <w:r>
        <w:rPr>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32</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4D1CB8D6">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The radiative heat transfer between glazing and indoor environment can be calculated by:</w:t>
      </w:r>
    </w:p>
    <w:p w14:paraId="1C00F2F3">
      <w:pPr>
        <w:tabs>
          <w:tab w:val="center" w:pos="4515"/>
          <w:tab w:val="right" w:pos="9030"/>
        </w:tabs>
        <w:spacing w:after="312" w:afterLines="100"/>
        <w:rPr>
          <w:rFonts w:eastAsia="宋体" w:cs="Times New Roman"/>
          <w:bCs/>
          <w:sz w:val="24"/>
        </w:rPr>
      </w:pPr>
      <w:r>
        <w:rPr>
          <w:rFonts w:hint="eastAsia" w:eastAsia="宋体" w:cs="Times New Roman"/>
          <w:bCs/>
          <w:position w:val="-62"/>
          <w:sz w:val="24"/>
        </w:rPr>
        <w:tab/>
      </w:r>
      <w:r>
        <w:rPr>
          <w:rFonts w:eastAsia="宋体" w:cs="Times New Roman"/>
          <w:bCs/>
          <w:position w:val="-62"/>
          <w:sz w:val="24"/>
        </w:rPr>
        <w:object>
          <v:shape id="_x0000_i1057" o:spt="75" type="#_x0000_t75" style="height:48.6pt;width:156.6pt;" o:ole="t" filled="f" o:preferrelative="t" stroked="f" coordsize="21600,21600">
            <v:path/>
            <v:fill on="f" focussize="0,0"/>
            <v:stroke on="f" joinstyle="miter"/>
            <v:imagedata r:id="rId69" o:title=""/>
            <o:lock v:ext="edit" aspectratio="t"/>
            <w10:wrap type="none"/>
            <w10:anchorlock/>
          </v:shape>
          <o:OLEObject Type="Embed" ProgID="Equation.DSMT4" ShapeID="_x0000_i1057" DrawAspect="Content" ObjectID="_1468075757" r:id="rId68">
            <o:LockedField>false</o:LockedField>
          </o:OLEObject>
        </w:object>
      </w:r>
      <w:r>
        <w:rPr>
          <w:rFonts w:hint="eastAsia"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33</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4D409E3">
      <w:pPr>
        <w:tabs>
          <w:tab w:val="center" w:pos="4116"/>
          <w:tab w:val="right" w:pos="8274"/>
        </w:tabs>
        <w:snapToGrid w:val="0"/>
        <w:spacing w:after="156" w:afterLines="50" w:line="360" w:lineRule="auto"/>
        <w:rPr>
          <w:rFonts w:ascii="Times New Roman" w:hAnsi="Times New Roman" w:eastAsia="宋体" w:cs="Times New Roman"/>
          <w:bCs/>
          <w:sz w:val="24"/>
        </w:rPr>
      </w:pPr>
      <w:r>
        <w:rPr>
          <w:rFonts w:ascii="Symbol" w:hAnsi="Symbol" w:eastAsia="宋体" w:cs="Symbol"/>
          <w:bCs/>
          <w:sz w:val="24"/>
        </w:rPr>
        <w:t></w:t>
      </w:r>
      <w:r>
        <w:rPr>
          <w:rFonts w:ascii="Symbol" w:hAnsi="Symbol" w:eastAsia="宋体" w:cs="Symbol"/>
          <w:bCs/>
          <w:sz w:val="24"/>
        </w:rPr>
        <w:tab/>
      </w:r>
      <w:r>
        <w:rPr>
          <w:rFonts w:ascii="Symbol" w:hAnsi="Symbol" w:eastAsia="宋体" w:cs="Symbol"/>
          <w:b/>
          <w:i/>
          <w:iCs/>
          <w:sz w:val="24"/>
        </w:rPr>
        <w:t></w:t>
      </w:r>
      <w:r>
        <w:rPr>
          <w:rFonts w:ascii="Times New Roman" w:hAnsi="Times New Roman" w:eastAsia="宋体" w:cs="Times New Roman"/>
          <w:b/>
          <w:i/>
          <w:iCs/>
          <w:sz w:val="24"/>
          <w:vertAlign w:val="subscript"/>
        </w:rPr>
        <w:t xml:space="preserve"> in</w:t>
      </w:r>
      <w:r>
        <w:rPr>
          <w:rFonts w:ascii="Times New Roman" w:hAnsi="Times New Roman" w:eastAsia="宋体" w:cs="Times New Roman"/>
          <w:bCs/>
          <w:sz w:val="24"/>
        </w:rPr>
        <w:t xml:space="preserve"> </w:t>
      </w:r>
      <w:r>
        <w:rPr>
          <w:rFonts w:ascii="Times New Roman" w:hAnsi="Times New Roman" w:cs="Times New Roman"/>
          <w:sz w:val="24"/>
        </w:rPr>
        <w:t>(</w:t>
      </w:r>
      <w:r>
        <w:rPr>
          <w:rFonts w:ascii="Times New Roman" w:hAnsi="Times New Roman" w:eastAsia="宋体" w:cs="Times New Roman"/>
          <w:bCs/>
          <w:sz w:val="24"/>
        </w:rPr>
        <w:t>dimensionless</w:t>
      </w:r>
      <w:r>
        <w:rPr>
          <w:rFonts w:ascii="Times New Roman" w:hAnsi="Times New Roman" w:cs="Times New Roman"/>
          <w:sz w:val="24"/>
        </w:rPr>
        <w:t xml:space="preserve">) </w:t>
      </w:r>
      <w:r>
        <w:rPr>
          <w:rFonts w:ascii="Times New Roman" w:hAnsi="Times New Roman" w:eastAsia="宋体" w:cs="Times New Roman"/>
          <w:bCs/>
          <w:sz w:val="24"/>
        </w:rPr>
        <w:t>is the emittance of indoor environment, being 1.0.</w:t>
      </w:r>
    </w:p>
    <w:p w14:paraId="3E59EBEF">
      <w:pPr>
        <w:pStyle w:val="5"/>
        <w:widowControl/>
        <w:spacing w:beforeAutospacing="0" w:after="312" w:afterLines="100" w:afterAutospacing="0" w:line="480" w:lineRule="auto"/>
        <w:jc w:val="both"/>
        <w:rPr>
          <w:rFonts w:ascii="Times New Roman" w:hAnsi="Times New Roman"/>
          <w:lang w:bidi="ar"/>
        </w:rPr>
      </w:pPr>
      <w:r>
        <w:rPr>
          <w:rFonts w:hint="eastAsia" w:ascii="Times New Roman" w:hAnsi="Times New Roman"/>
          <w:lang w:bidi="ar"/>
        </w:rPr>
        <w:t>The net radiative sky cooling power of outdoor surface of the window can be calculated by:</w:t>
      </w:r>
    </w:p>
    <w:p w14:paraId="1BFF7FBD">
      <w:pPr>
        <w:tabs>
          <w:tab w:val="center" w:pos="4515"/>
          <w:tab w:val="right" w:pos="9030"/>
        </w:tabs>
        <w:spacing w:after="312" w:afterLines="100"/>
        <w:rPr>
          <w:rFonts w:cs="Times New Roman"/>
          <w:sz w:val="24"/>
        </w:rPr>
      </w:pPr>
      <w:r>
        <w:rPr>
          <w:rFonts w:hint="eastAsia" w:cs="Times New Roman"/>
          <w:position w:val="-14"/>
          <w:sz w:val="24"/>
        </w:rPr>
        <w:tab/>
      </w:r>
      <w:r>
        <w:rPr>
          <w:rFonts w:cs="Times New Roman"/>
          <w:position w:val="-14"/>
          <w:sz w:val="24"/>
        </w:rPr>
        <w:object>
          <v:shape id="_x0000_i1058" o:spt="75" type="#_x0000_t75" style="height:19.15pt;width:114.1pt;" o:ole="t" filled="f" o:preferrelative="t" stroked="f" coordsize="21600,21600">
            <v:path/>
            <v:fill on="f" focussize="0,0"/>
            <v:stroke on="f" joinstyle="miter"/>
            <v:imagedata r:id="rId71" o:title=""/>
            <o:lock v:ext="edit" aspectratio="t"/>
            <w10:wrap type="none"/>
            <w10:anchorlock/>
          </v:shape>
          <o:OLEObject Type="Embed" ProgID="Equation.3" ShapeID="_x0000_i1058" DrawAspect="Content" ObjectID="_1468075758" r:id="rId70">
            <o:LockedField>false</o:LockedField>
          </o:OLEObject>
        </w:object>
      </w:r>
      <w:r>
        <w:rPr>
          <w:rFonts w:hint="eastAsia"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34</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05AECC9F">
      <w:pPr>
        <w:tabs>
          <w:tab w:val="center" w:pos="4515"/>
          <w:tab w:val="right" w:pos="9030"/>
        </w:tabs>
        <w:spacing w:after="312" w:afterLines="100"/>
        <w:rPr>
          <w:rFonts w:eastAsia="宋体"/>
          <w:bCs/>
          <w:sz w:val="24"/>
        </w:rPr>
      </w:pPr>
      <w:r>
        <w:rPr>
          <w:rFonts w:hint="eastAsia" w:cs="Times New Roman"/>
          <w:position w:val="-18"/>
          <w:sz w:val="24"/>
        </w:rPr>
        <w:tab/>
      </w:r>
      <w:r>
        <w:rPr>
          <w:rFonts w:cs="Times New Roman"/>
          <w:position w:val="-18"/>
          <w:sz w:val="24"/>
        </w:rPr>
        <w:object>
          <v:shape id="_x0000_i1059" o:spt="75" type="#_x0000_t75" style="height:26.2pt;width:305.3pt;" o:ole="t" filled="f" o:preferrelative="t" stroked="f" coordsize="21600,21600">
            <v:path/>
            <v:fill on="f" focussize="0,0"/>
            <v:stroke on="f" joinstyle="miter"/>
            <v:imagedata r:id="rId73" o:title=""/>
            <o:lock v:ext="edit" aspectratio="t"/>
            <w10:wrap type="none"/>
            <w10:anchorlock/>
          </v:shape>
          <o:OLEObject Type="Embed" ProgID="Equation.3" ShapeID="_x0000_i1059" DrawAspect="Content" ObjectID="_1468075759" r:id="rId72">
            <o:LockedField>false</o:LockedField>
          </o:OLEObject>
        </w:object>
      </w:r>
      <w:r>
        <w:rPr>
          <w:rFonts w:hint="eastAsia"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35</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383D740C">
      <w:pPr>
        <w:tabs>
          <w:tab w:val="center" w:pos="4515"/>
          <w:tab w:val="right" w:pos="9030"/>
        </w:tabs>
        <w:spacing w:after="312" w:afterLines="100"/>
        <w:rPr>
          <w:rFonts w:eastAsia="宋体"/>
          <w:bCs/>
          <w:sz w:val="24"/>
        </w:rPr>
      </w:pPr>
      <w:r>
        <w:rPr>
          <w:rFonts w:cs="Times New Roman"/>
          <w:position w:val="-18"/>
          <w:sz w:val="24"/>
        </w:rPr>
        <w:tab/>
      </w:r>
      <w:r>
        <w:rPr>
          <w:rFonts w:cs="Times New Roman"/>
          <w:position w:val="-14"/>
          <w:sz w:val="24"/>
        </w:rPr>
        <w:object>
          <v:shape id="_x0000_i1060" o:spt="75" type="#_x0000_t75" style="height:19.15pt;width:240.3pt;" o:ole="t" filled="f" o:preferrelative="t" stroked="f" coordsize="21600,21600">
            <v:path/>
            <v:fill on="f" focussize="0,0"/>
            <v:stroke on="f" joinstyle="miter"/>
            <v:imagedata r:id="rId75" o:title=""/>
            <o:lock v:ext="edit" aspectratio="t"/>
            <w10:wrap type="none"/>
            <w10:anchorlock/>
          </v:shape>
          <o:OLEObject Type="Embed" ProgID="Equation.3" ShapeID="_x0000_i1060" DrawAspect="Content" ObjectID="_1468075760" r:id="rId74">
            <o:LockedField>false</o:LockedField>
          </o:OLEObject>
        </w:object>
      </w:r>
      <w:r>
        <w:rPr>
          <w:rFonts w:hint="eastAsia"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36</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64E4F677">
      <w:pPr>
        <w:tabs>
          <w:tab w:val="center" w:pos="4515"/>
          <w:tab w:val="right" w:pos="9030"/>
        </w:tabs>
        <w:spacing w:after="312" w:afterLines="100"/>
        <w:rPr>
          <w:rFonts w:eastAsia="宋体"/>
          <w:bCs/>
          <w:sz w:val="24"/>
        </w:rPr>
      </w:pPr>
      <w:r>
        <w:rPr>
          <w:rFonts w:cs="Times New Roman"/>
          <w:position w:val="-18"/>
          <w:sz w:val="24"/>
        </w:rPr>
        <w:object>
          <v:shape id="_x0000_i1061" o:spt="75" type="#_x0000_t75" style="height:26.2pt;width:373.55pt;" o:ole="t" filled="f" o:preferrelative="t" stroked="f" coordsize="21600,21600">
            <v:path/>
            <v:fill on="f" focussize="0,0"/>
            <v:stroke on="f" joinstyle="miter"/>
            <v:imagedata r:id="rId77" o:title=""/>
            <o:lock v:ext="edit" aspectratio="t"/>
            <w10:wrap type="none"/>
            <w10:anchorlock/>
          </v:shape>
          <o:OLEObject Type="Embed" ProgID="Equation.3" ShapeID="_x0000_i1061" DrawAspect="Content" ObjectID="_1468075761" r:id="rId76">
            <o:LockedField>false</o:LockedField>
          </o:OLEObject>
        </w:object>
      </w:r>
      <w:r>
        <w:rPr>
          <w:rFonts w:hint="eastAsia" w:ascii="Times New Roman" w:hAnsi="Times New Roman" w:cs="Times New Roman"/>
          <w:kern w:val="0"/>
          <w:sz w:val="24"/>
          <w:lang w:bidi="ar"/>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37</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A6D7BAC">
      <w:pPr>
        <w:tabs>
          <w:tab w:val="center" w:pos="4515"/>
          <w:tab w:val="right" w:pos="9030"/>
        </w:tabs>
        <w:spacing w:after="312" w:afterLines="100"/>
        <w:rPr>
          <w:rFonts w:eastAsia="宋体"/>
          <w:bCs/>
          <w:sz w:val="24"/>
        </w:rPr>
      </w:pPr>
      <w:r>
        <w:rPr>
          <w:rFonts w:cs="Times New Roman"/>
          <w:position w:val="-18"/>
          <w:sz w:val="24"/>
        </w:rPr>
        <w:tab/>
      </w:r>
      <w:r>
        <w:rPr>
          <w:rFonts w:cs="Times New Roman"/>
          <w:position w:val="-14"/>
          <w:sz w:val="24"/>
        </w:rPr>
        <w:object>
          <v:shape id="_x0000_i1062" o:spt="75" type="#_x0000_t75" style="height:20.1pt;width:105.2pt;" o:ole="t" filled="f" o:preferrelative="t" stroked="f" coordsize="21600,21600">
            <v:path/>
            <v:fill on="f" focussize="0,0"/>
            <v:stroke on="f" joinstyle="miter"/>
            <v:imagedata r:id="rId79" o:title=""/>
            <o:lock v:ext="edit" aspectratio="t"/>
            <w10:wrap type="none"/>
            <w10:anchorlock/>
          </v:shape>
          <o:OLEObject Type="Embed" ProgID="Equation.3" ShapeID="_x0000_i1062" DrawAspect="Content" ObjectID="_1468075762" r:id="rId78">
            <o:LockedField>false</o:LockedField>
          </o:OLEObject>
        </w:object>
      </w:r>
      <w:r>
        <w:rPr>
          <w:rFonts w:hint="eastAsia"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38</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00A42B2C">
      <w:pPr>
        <w:tabs>
          <w:tab w:val="center" w:pos="4515"/>
          <w:tab w:val="right" w:pos="9030"/>
        </w:tabs>
        <w:spacing w:after="312" w:afterLines="100"/>
        <w:rPr>
          <w:rFonts w:eastAsia="宋体"/>
          <w:bCs/>
          <w:sz w:val="24"/>
        </w:rPr>
      </w:pPr>
      <w:r>
        <w:rPr>
          <w:rFonts w:cs="Times New Roman"/>
          <w:position w:val="-18"/>
          <w:sz w:val="24"/>
        </w:rPr>
        <w:tab/>
      </w:r>
      <w:r>
        <w:rPr>
          <w:rFonts w:cs="Times New Roman"/>
          <w:position w:val="-14"/>
          <w:sz w:val="24"/>
        </w:rPr>
        <w:object>
          <v:shape id="_x0000_i1063" o:spt="75" type="#_x0000_t75" style="height:19.15pt;width:115pt;" o:ole="t" filled="f" o:preferrelative="t" stroked="f" coordsize="21600,21600">
            <v:path/>
            <v:fill on="f" focussize="0,0"/>
            <v:stroke on="f" joinstyle="miter"/>
            <v:imagedata r:id="rId81" o:title=""/>
            <o:lock v:ext="edit" aspectratio="t"/>
            <w10:wrap type="none"/>
            <w10:anchorlock/>
          </v:shape>
          <o:OLEObject Type="Embed" ProgID="Equation.3" ShapeID="_x0000_i1063" DrawAspect="Content" ObjectID="_1468075763" r:id="rId80">
            <o:LockedField>false</o:LockedField>
          </o:OLEObject>
        </w:object>
      </w:r>
      <w:r>
        <w:rPr>
          <w:rFonts w:hint="eastAsia"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39</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DDC2BE6">
      <w:pPr>
        <w:tabs>
          <w:tab w:val="center" w:pos="4515"/>
          <w:tab w:val="right" w:pos="9030"/>
        </w:tabs>
        <w:spacing w:after="312" w:afterLines="100"/>
        <w:rPr>
          <w:rFonts w:cs="Times New Roman"/>
          <w:sz w:val="24"/>
        </w:rPr>
      </w:pPr>
      <w:r>
        <w:rPr>
          <w:rFonts w:hint="eastAsia" w:cs="Times New Roman"/>
          <w:position w:val="-12"/>
          <w:sz w:val="24"/>
        </w:rPr>
        <w:tab/>
      </w:r>
      <w:r>
        <w:rPr>
          <w:rFonts w:cs="Times New Roman"/>
          <w:position w:val="-12"/>
          <w:sz w:val="24"/>
        </w:rPr>
        <w:object>
          <v:shape id="_x0000_i1064" o:spt="75" type="#_x0000_t75" style="height:18.25pt;width:117.8pt;" o:ole="t" filled="f" o:preferrelative="t" stroked="f" coordsize="21600,21600">
            <v:path/>
            <v:fill on="f" focussize="0,0"/>
            <v:stroke on="f" joinstyle="miter"/>
            <v:imagedata r:id="rId83" o:title=""/>
            <o:lock v:ext="edit" aspectratio="t"/>
            <w10:wrap type="none"/>
            <w10:anchorlock/>
          </v:shape>
          <o:OLEObject Type="Embed" ProgID="Equation.3" ShapeID="_x0000_i1064" DrawAspect="Content" ObjectID="_1468075764" r:id="rId82">
            <o:LockedField>false</o:LockedField>
          </o:OLEObject>
        </w:object>
      </w:r>
      <w:r>
        <w:rPr>
          <w:rFonts w:hint="eastAsia"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40</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4FCAFC86">
      <w:pPr>
        <w:tabs>
          <w:tab w:val="center" w:pos="4515"/>
          <w:tab w:val="right" w:pos="9030"/>
        </w:tabs>
        <w:spacing w:after="312" w:afterLines="100"/>
        <w:rPr>
          <w:rFonts w:cs="Times New Roman"/>
          <w:sz w:val="24"/>
        </w:rPr>
      </w:pPr>
      <w:r>
        <w:rPr>
          <w:rFonts w:hint="eastAsia" w:cs="Times New Roman"/>
          <w:position w:val="-72"/>
          <w:sz w:val="24"/>
        </w:rPr>
        <w:tab/>
      </w:r>
      <w:r>
        <w:rPr>
          <w:rFonts w:cs="Times New Roman"/>
          <w:position w:val="-72"/>
          <w:sz w:val="24"/>
        </w:rPr>
        <w:object>
          <v:shape id="_x0000_i1065" o:spt="75" type="#_x0000_t75" style="height:57.05pt;width:154.3pt;" o:ole="t" filled="f" o:preferrelative="t" stroked="f" coordsize="21600,21600">
            <v:path/>
            <v:fill on="f" focussize="0,0"/>
            <v:stroke on="f" joinstyle="miter"/>
            <v:imagedata r:id="rId85" o:title=""/>
            <o:lock v:ext="edit" aspectratio="t"/>
            <w10:wrap type="none"/>
            <w10:anchorlock/>
          </v:shape>
          <o:OLEObject Type="Embed" ProgID="Equation.3" ShapeID="_x0000_i1065" DrawAspect="Content" ObjectID="_1468075765" r:id="rId84">
            <o:LockedField>false</o:LockedField>
          </o:OLEObject>
        </w:object>
      </w:r>
      <w:r>
        <w:rPr>
          <w:rFonts w:hint="eastAsia"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41</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9669264">
      <w:pPr>
        <w:tabs>
          <w:tab w:val="left" w:pos="567"/>
        </w:tabs>
        <w:spacing w:line="360" w:lineRule="auto"/>
        <w:rPr>
          <w:rFonts w:ascii="Times New Roman" w:hAnsi="Times New Roman" w:eastAsia="宋体" w:cs="Times New Roman"/>
          <w:bCs/>
          <w:sz w:val="24"/>
        </w:rPr>
      </w:pPr>
      <w:r>
        <w:rPr>
          <w:rFonts w:ascii="Times New Roman" w:hAnsi="Times New Roman" w:eastAsia="宋体" w:cs="Times New Roman"/>
          <w:bCs/>
          <w:sz w:val="24"/>
        </w:rPr>
        <w:t>where</w:t>
      </w:r>
      <w:r>
        <w:rPr>
          <w:rFonts w:ascii="Times New Roman" w:hAnsi="Times New Roman" w:eastAsia="宋体" w:cs="Times New Roman"/>
          <w:bCs/>
          <w:sz w:val="24"/>
        </w:rPr>
        <w:tab/>
      </w:r>
      <w:r>
        <w:rPr>
          <w:rFonts w:ascii="Times New Roman" w:hAnsi="Times New Roman" w:eastAsia="宋体" w:cs="Times New Roman"/>
          <w:b/>
          <w:i/>
          <w:iCs/>
          <w:sz w:val="24"/>
        </w:rPr>
        <w:t>T</w:t>
      </w:r>
      <w:r>
        <w:rPr>
          <w:rFonts w:ascii="Times New Roman" w:hAnsi="Times New Roman" w:eastAsia="宋体" w:cs="Times New Roman"/>
          <w:b/>
          <w:i/>
          <w:iCs/>
          <w:sz w:val="24"/>
          <w:vertAlign w:val="subscript"/>
        </w:rPr>
        <w:t>atm</w:t>
      </w:r>
      <w:r>
        <w:rPr>
          <w:rFonts w:ascii="Times New Roman" w:hAnsi="Times New Roman" w:eastAsia="宋体" w:cs="Times New Roman"/>
          <w:bCs/>
          <w:sz w:val="24"/>
        </w:rPr>
        <w:t xml:space="preserve"> (dimensionless) represents the transmittance of atmospheric window;</w:t>
      </w:r>
    </w:p>
    <w:p w14:paraId="4E62EA27">
      <w:pPr>
        <w:tabs>
          <w:tab w:val="left" w:pos="567"/>
        </w:tabs>
        <w:spacing w:line="360" w:lineRule="auto"/>
        <w:rPr>
          <w:rFonts w:ascii="Times New Roman" w:hAnsi="Times New Roman" w:eastAsia="宋体" w:cs="Times New Roman"/>
          <w:bCs/>
          <w:sz w:val="24"/>
        </w:rPr>
      </w:pPr>
      <w:r>
        <w:rPr>
          <w:rFonts w:ascii="Times New Roman" w:hAnsi="Times New Roman" w:eastAsia="宋体" w:cs="Times New Roman"/>
          <w:bCs/>
          <w:sz w:val="24"/>
        </w:rPr>
        <w:tab/>
      </w:r>
      <w:r>
        <w:rPr>
          <w:rFonts w:ascii="Times New Roman" w:hAnsi="Times New Roman" w:eastAsia="宋体" w:cs="Times New Roman"/>
          <w:bCs/>
          <w:sz w:val="24"/>
        </w:rPr>
        <w:tab/>
      </w:r>
      <w:r>
        <w:rPr>
          <w:rFonts w:ascii="Times New Roman" w:hAnsi="Times New Roman" w:eastAsia="宋体" w:cs="Times New Roman"/>
          <w:b/>
          <w:i/>
          <w:iCs/>
          <w:sz w:val="24"/>
        </w:rPr>
        <w:t>y</w:t>
      </w:r>
      <w:r>
        <w:rPr>
          <w:rFonts w:ascii="Times New Roman" w:hAnsi="Times New Roman" w:eastAsia="宋体" w:cs="Times New Roman"/>
          <w:bCs/>
          <w:sz w:val="24"/>
        </w:rPr>
        <w:t xml:space="preserve"> (dimensionless) represents cloud cover fraction;</w:t>
      </w:r>
    </w:p>
    <w:p w14:paraId="21DE23B9">
      <w:pPr>
        <w:tabs>
          <w:tab w:val="left" w:pos="567"/>
        </w:tabs>
        <w:spacing w:line="360" w:lineRule="auto"/>
        <w:rPr>
          <w:rFonts w:ascii="Times New Roman" w:hAnsi="Times New Roman" w:eastAsia="宋体" w:cs="Times New Roman"/>
          <w:bCs/>
          <w:sz w:val="24"/>
        </w:rPr>
      </w:pPr>
      <w:r>
        <w:rPr>
          <w:rFonts w:ascii="Times New Roman" w:hAnsi="Times New Roman" w:eastAsia="宋体" w:cs="Times New Roman"/>
          <w:bCs/>
          <w:sz w:val="24"/>
        </w:rPr>
        <w:tab/>
      </w:r>
      <w:r>
        <w:rPr>
          <w:rFonts w:ascii="Times New Roman" w:hAnsi="Times New Roman" w:eastAsia="宋体" w:cs="Times New Roman"/>
          <w:bCs/>
          <w:sz w:val="24"/>
        </w:rPr>
        <w:tab/>
      </w:r>
      <w:r>
        <w:rPr>
          <w:rFonts w:ascii="Times New Roman" w:hAnsi="Times New Roman" w:eastAsia="宋体" w:cs="Times New Roman"/>
          <w:b/>
          <w:i/>
          <w:iCs/>
          <w:sz w:val="24"/>
        </w:rPr>
        <w:t>T</w:t>
      </w:r>
      <w:r>
        <w:rPr>
          <w:rFonts w:ascii="Times New Roman" w:hAnsi="Times New Roman" w:eastAsia="宋体" w:cs="Times New Roman"/>
          <w:b/>
          <w:i/>
          <w:iCs/>
          <w:sz w:val="24"/>
          <w:vertAlign w:val="subscript"/>
        </w:rPr>
        <w:t>ref</w:t>
      </w:r>
      <w:r>
        <w:rPr>
          <w:rFonts w:ascii="Times New Roman" w:hAnsi="Times New Roman" w:eastAsia="宋体" w:cs="Times New Roman"/>
          <w:bCs/>
          <w:i/>
          <w:iCs/>
          <w:sz w:val="24"/>
        </w:rPr>
        <w:t xml:space="preserve"> </w:t>
      </w:r>
      <w:r>
        <w:rPr>
          <w:rFonts w:ascii="Times New Roman" w:hAnsi="Times New Roman" w:eastAsia="宋体" w:cs="Times New Roman"/>
          <w:bCs/>
          <w:sz w:val="24"/>
        </w:rPr>
        <w:t xml:space="preserve">(K) reference temperature difference of 10 K </w:t>
      </w:r>
      <w:r>
        <w:rPr>
          <w:rFonts w:ascii="Times New Roman" w:hAnsi="Times New Roman" w:eastAsia="宋体" w:cs="Times New Roman"/>
          <w:b/>
          <w:color w:val="0000FF"/>
          <w:sz w:val="24"/>
        </w:rPr>
        <w:fldChar w:fldCharType="begin"/>
      </w:r>
      <w:r>
        <w:rPr>
          <w:rFonts w:ascii="Times New Roman" w:hAnsi="Times New Roman" w:eastAsia="宋体" w:cs="Times New Roman"/>
          <w:b/>
          <w:color w:val="0000FF"/>
          <w:sz w:val="24"/>
        </w:rPr>
        <w:instrText xml:space="preserve"> ADDIN EN.CITE &lt;EndNote&gt;&lt;Cite&gt;&lt;Author&gt;Aili&lt;/Author&gt;&lt;Year&gt;2021&lt;/Year&gt;&lt;RecNum&gt;1090&lt;/RecNum&gt;&lt;DisplayText&gt;[5]&lt;/DisplayText&gt;&lt;record&gt;&lt;rec-number&gt;1090&lt;/rec-number&gt;&lt;foreign-keys&gt;&lt;key app="EN" db-id="paaztsr04trapte5f9cpv9ss0fav5erzzr9a" timestamp="1750565107" guid="fa555cfb-b7ff-4200-b074-4496f1455644"&gt;1090&lt;/key&gt;&lt;/foreign-keys&gt;&lt;ref-type name="Journal Article"&gt;17&lt;/ref-type&gt;&lt;contributors&gt;&lt;authors&gt;&lt;author&gt;Aili, Ablimit&lt;/author&gt;&lt;author&gt;Yin, Xiaobo&lt;/author&gt;&lt;author&gt;Yang, Ronggui&lt;/author&gt;&lt;/authors&gt;&lt;/contributors&gt;&lt;titles&gt;&lt;title&gt;Global radiative sky cooling potential adjusted for population density and cooling demand&lt;/title&gt;&lt;secondary-title&gt;Atmosphere&lt;/secondary-title&gt;&lt;/titles&gt;&lt;periodical&gt;&lt;full-title&gt;Atmosphere&lt;/full-title&gt;&lt;/periodical&gt;&lt;pages&gt;1379&lt;/pages&gt;&lt;volume&gt;12&lt;/volume&gt;&lt;number&gt;11&lt;/number&gt;&lt;dates&gt;&lt;year&gt;2021&lt;/year&gt;&lt;/dates&gt;&lt;isbn&gt;2073-4433&lt;/isbn&gt;&lt;urls&gt;&lt;/urls&gt;&lt;/record&gt;&lt;/Cite&gt;&lt;/EndNote&gt;</w:instrText>
      </w:r>
      <w:r>
        <w:rPr>
          <w:rFonts w:ascii="Times New Roman" w:hAnsi="Times New Roman" w:eastAsia="宋体" w:cs="Times New Roman"/>
          <w:b/>
          <w:color w:val="0000FF"/>
          <w:sz w:val="24"/>
        </w:rPr>
        <w:fldChar w:fldCharType="separate"/>
      </w:r>
      <w:r>
        <w:rPr>
          <w:rFonts w:ascii="Times New Roman" w:hAnsi="Times New Roman" w:eastAsia="宋体" w:cs="Times New Roman"/>
          <w:b/>
          <w:color w:val="0000FF"/>
          <w:sz w:val="24"/>
        </w:rPr>
        <w:t>[5]</w:t>
      </w:r>
      <w:r>
        <w:rPr>
          <w:rFonts w:ascii="Times New Roman" w:hAnsi="Times New Roman" w:eastAsia="宋体" w:cs="Times New Roman"/>
          <w:b/>
          <w:color w:val="0000FF"/>
          <w:sz w:val="24"/>
        </w:rPr>
        <w:fldChar w:fldCharType="end"/>
      </w:r>
      <w:r>
        <w:rPr>
          <w:rFonts w:ascii="Times New Roman" w:hAnsi="Times New Roman" w:eastAsia="宋体" w:cs="Times New Roman"/>
          <w:bCs/>
          <w:sz w:val="24"/>
        </w:rPr>
        <w:t>;</w:t>
      </w:r>
    </w:p>
    <w:p w14:paraId="111A2FD5">
      <w:pPr>
        <w:tabs>
          <w:tab w:val="left" w:pos="567"/>
        </w:tabs>
        <w:spacing w:line="360" w:lineRule="auto"/>
        <w:ind w:left="420" w:firstLine="420"/>
        <w:rPr>
          <w:rFonts w:ascii="Times New Roman" w:hAnsi="Times New Roman" w:cs="Times New Roman"/>
          <w:sz w:val="24"/>
        </w:rPr>
      </w:pPr>
      <w:r>
        <w:rPr>
          <w:rFonts w:ascii="Times New Roman" w:hAnsi="Times New Roman" w:eastAsia="宋体" w:cs="Times New Roman"/>
          <w:b/>
          <w:i/>
          <w:iCs/>
          <w:sz w:val="24"/>
        </w:rPr>
        <w:t>I</w:t>
      </w:r>
      <w:r>
        <w:rPr>
          <w:rFonts w:ascii="Times New Roman" w:hAnsi="Times New Roman" w:eastAsia="宋体" w:cs="Times New Roman"/>
          <w:b/>
          <w:i/>
          <w:iCs/>
          <w:sz w:val="24"/>
          <w:vertAlign w:val="subscript"/>
        </w:rPr>
        <w:t>b</w:t>
      </w:r>
      <w:r>
        <w:rPr>
          <w:rFonts w:ascii="Times New Roman" w:hAnsi="Times New Roman" w:eastAsia="宋体" w:cs="Times New Roman"/>
          <w:bCs/>
          <w:sz w:val="24"/>
        </w:rPr>
        <w:t xml:space="preserve"> is the blackbody emission, can be calculated by:</w:t>
      </w:r>
    </w:p>
    <w:p w14:paraId="69144398">
      <w:pPr>
        <w:tabs>
          <w:tab w:val="left" w:pos="567"/>
        </w:tabs>
        <w:spacing w:after="156" w:afterLines="50" w:line="360" w:lineRule="auto"/>
        <w:ind w:left="420" w:firstLine="420"/>
        <w:rPr>
          <w:rFonts w:ascii="Times New Roman" w:hAnsi="Times New Roman" w:cs="Times New Roman"/>
          <w:sz w:val="24"/>
        </w:rPr>
      </w:pPr>
      <w:r>
        <w:rPr>
          <w:rFonts w:ascii="Times New Roman" w:hAnsi="Times New Roman" w:cs="Times New Roman"/>
          <w:b/>
          <w:bCs/>
          <w:i/>
          <w:iCs/>
          <w:sz w:val="24"/>
        </w:rPr>
        <w:t>h</w:t>
      </w:r>
      <w:r>
        <w:rPr>
          <w:rFonts w:ascii="Times New Roman" w:hAnsi="Times New Roman" w:cs="Times New Roman"/>
          <w:sz w:val="24"/>
        </w:rPr>
        <w:t xml:space="preserve"> (J/s) is the Planck constant, being 6.62607015 × 10</w:t>
      </w:r>
      <w:r>
        <w:rPr>
          <w:rFonts w:ascii="Times New Roman" w:hAnsi="Times New Roman" w:cs="Times New Roman"/>
          <w:sz w:val="24"/>
          <w:vertAlign w:val="superscript"/>
        </w:rPr>
        <w:t>-34</w:t>
      </w:r>
      <w:r>
        <w:rPr>
          <w:rFonts w:ascii="Times New Roman" w:hAnsi="Times New Roman" w:cs="Times New Roman"/>
          <w:sz w:val="24"/>
        </w:rPr>
        <w:t xml:space="preserve"> J/s.</w:t>
      </w:r>
    </w:p>
    <w:p w14:paraId="69DB8F89">
      <w:pPr>
        <w:pStyle w:val="5"/>
        <w:widowControl/>
        <w:spacing w:beforeAutospacing="0" w:after="312" w:afterLines="100" w:afterAutospacing="0" w:line="480" w:lineRule="auto"/>
        <w:jc w:val="both"/>
        <w:rPr>
          <w:rFonts w:ascii="Times New Roman" w:hAnsi="Times New Roman" w:eastAsia="宋体"/>
          <w:bCs/>
        </w:rPr>
      </w:pPr>
      <w:r>
        <w:rPr>
          <w:rFonts w:ascii="Times New Roman" w:hAnsi="Times New Roman"/>
        </w:rPr>
        <w:t>The</w:t>
      </w:r>
      <w:r>
        <w:rPr>
          <w:rFonts w:ascii="Times New Roman" w:hAnsi="Times New Roman" w:eastAsia="宋体"/>
          <w:bCs/>
        </w:rPr>
        <w:t xml:space="preserve"> transmittance of atmospheric window (</w:t>
      </w:r>
      <w:r>
        <w:rPr>
          <w:rFonts w:ascii="Times New Roman" w:hAnsi="Times New Roman" w:eastAsia="宋体"/>
          <w:b/>
          <w:i/>
          <w:iCs/>
        </w:rPr>
        <w:t>T</w:t>
      </w:r>
      <w:r>
        <w:rPr>
          <w:rFonts w:ascii="Times New Roman" w:hAnsi="Times New Roman" w:eastAsia="宋体"/>
          <w:b/>
          <w:vertAlign w:val="subscript"/>
        </w:rPr>
        <w:t>atm</w:t>
      </w:r>
      <w:r>
        <w:rPr>
          <w:rFonts w:ascii="Times New Roman" w:hAnsi="Times New Roman" w:eastAsia="宋体"/>
          <w:bCs/>
        </w:rPr>
        <w:t xml:space="preserve">) is determined by sky conditions, which can be dealt as a function of </w:t>
      </w:r>
      <w:r>
        <w:rPr>
          <w:rFonts w:ascii="Times New Roman" w:hAnsi="Times New Roman" w:eastAsia="宋体"/>
          <w:b/>
        </w:rPr>
        <w:t>PWV</w:t>
      </w:r>
      <w:r>
        <w:rPr>
          <w:rFonts w:hint="eastAsia" w:ascii="Times New Roman" w:hAnsi="Times New Roman" w:eastAsia="宋体"/>
          <w:b/>
        </w:rPr>
        <w:t xml:space="preserve"> </w:t>
      </w:r>
      <w:r>
        <w:rPr>
          <w:rFonts w:hint="eastAsia" w:ascii="Times New Roman" w:hAnsi="Times New Roman" w:eastAsia="宋体"/>
          <w:bCs/>
        </w:rPr>
        <w:t xml:space="preserve">and </w:t>
      </w:r>
      <w:r>
        <w:rPr>
          <w:rFonts w:ascii="Times New Roman" w:hAnsi="Times New Roman" w:eastAsia="宋体"/>
          <w:bCs/>
        </w:rPr>
        <w:t>altitude</w:t>
      </w:r>
      <w:r>
        <w:rPr>
          <w:rFonts w:ascii="Times New Roman" w:hAnsi="Times New Roman" w:eastAsia="宋体"/>
          <w:b/>
          <w:color w:val="0070C0"/>
        </w:rPr>
        <w:t xml:space="preserve"> </w:t>
      </w:r>
      <w:r>
        <w:rPr>
          <w:rFonts w:ascii="Times New Roman" w:hAnsi="Times New Roman" w:eastAsia="宋体"/>
          <w:b/>
          <w:color w:val="0000FF"/>
        </w:rPr>
        <w:fldChar w:fldCharType="begin">
          <w:fldData xml:space="preserve">PEVuZE5vdGU+PENpdGU+PEF1dGhvcj5aaHU8L0F1dGhvcj48WWVhcj4yMDIxPC9ZZWFyPjxSZWNO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</w:fldData>
        </w:fldChar>
      </w:r>
      <w:r>
        <w:rPr>
          <w:rFonts w:ascii="Times New Roman" w:hAnsi="Times New Roman" w:eastAsia="宋体"/>
          <w:b/>
          <w:color w:val="0000FF"/>
        </w:rPr>
        <w:instrText xml:space="preserve"> ADDIN EN.CITE </w:instrText>
      </w:r>
      <w:r>
        <w:rPr>
          <w:rFonts w:ascii="Times New Roman" w:hAnsi="Times New Roman" w:eastAsia="宋体"/>
          <w:b/>
          <w:color w:val="0000FF"/>
        </w:rPr>
        <w:fldChar w:fldCharType="begin">
          <w:fldData xml:space="preserve">PEVuZE5vdGU+PENpdGU+PEF1dGhvcj5aaHU8L0F1dGhvcj48WWVhcj4yMDIxPC9ZZWFyPjxSZWNO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</w:fldData>
        </w:fldChar>
      </w:r>
      <w:r>
        <w:rPr>
          <w:rFonts w:ascii="Times New Roman" w:hAnsi="Times New Roman" w:eastAsia="宋体"/>
          <w:b/>
          <w:color w:val="0000FF"/>
        </w:rPr>
        <w:instrText xml:space="preserve"> ADDIN EN.CITE.DATA </w:instrText>
      </w:r>
      <w:r>
        <w:rPr>
          <w:rFonts w:ascii="Times New Roman" w:hAnsi="Times New Roman" w:eastAsia="宋体"/>
          <w:b/>
          <w:color w:val="0000FF"/>
        </w:rPr>
        <w:fldChar w:fldCharType="end"/>
      </w:r>
      <w:r>
        <w:rPr>
          <w:rFonts w:ascii="Times New Roman" w:hAnsi="Times New Roman" w:eastAsia="宋体"/>
          <w:b/>
          <w:color w:val="0000FF"/>
        </w:rPr>
        <w:fldChar w:fldCharType="separate"/>
      </w:r>
      <w:r>
        <w:rPr>
          <w:rFonts w:ascii="Times New Roman" w:hAnsi="Times New Roman" w:eastAsia="宋体"/>
          <w:b/>
          <w:color w:val="0000FF"/>
          <w:kern w:val="2"/>
        </w:rPr>
        <w:t>[6-8]</w:t>
      </w:r>
      <w:r>
        <w:rPr>
          <w:rFonts w:ascii="Times New Roman" w:hAnsi="Times New Roman" w:eastAsia="宋体"/>
          <w:b/>
          <w:color w:val="0000FF"/>
        </w:rPr>
        <w:fldChar w:fldCharType="end"/>
      </w:r>
      <w:r>
        <w:rPr>
          <w:rFonts w:ascii="Times New Roman" w:hAnsi="Times New Roman" w:eastAsia="宋体"/>
          <w:bCs/>
          <w:color w:val="0000FF"/>
        </w:rPr>
        <w:t>,</w:t>
      </w:r>
      <w:r>
        <w:rPr>
          <w:rFonts w:ascii="Times New Roman" w:hAnsi="Times New Roman" w:eastAsia="宋体"/>
          <w:bCs/>
        </w:rPr>
        <w:t xml:space="preserve"> as shown in</w:t>
      </w:r>
      <w:r>
        <w:rPr>
          <w:rFonts w:ascii="Times New Roman" w:hAnsi="Times New Roman" w:eastAsia="宋体"/>
          <w:bCs/>
          <w:color w:val="0070C0"/>
        </w:rPr>
        <w:t xml:space="preserve"> </w:t>
      </w:r>
      <w:r>
        <w:rPr>
          <w:rFonts w:ascii="Times New Roman" w:hAnsi="Times New Roman" w:eastAsia="宋体"/>
          <w:b/>
          <w:color w:val="0000FF"/>
        </w:rPr>
        <w:t>Fig</w:t>
      </w:r>
      <w:r>
        <w:rPr>
          <w:rFonts w:hint="eastAsia" w:ascii="Times New Roman" w:hAnsi="Times New Roman" w:eastAsia="宋体"/>
          <w:b/>
          <w:color w:val="0000FF"/>
          <w:lang w:val="en-US" w:eastAsia="zh-CN"/>
        </w:rPr>
        <w:t>.</w:t>
      </w:r>
      <w:r>
        <w:rPr>
          <w:rFonts w:ascii="Times New Roman" w:hAnsi="Times New Roman" w:eastAsia="宋体"/>
          <w:b/>
          <w:color w:val="0000FF"/>
        </w:rPr>
        <w:t xml:space="preserve"> </w:t>
      </w:r>
      <w:r>
        <w:rPr>
          <w:rFonts w:hint="eastAsia" w:ascii="Times New Roman" w:hAnsi="Times New Roman" w:eastAsia="宋体"/>
          <w:b/>
          <w:color w:val="0000FF"/>
        </w:rPr>
        <w:t>S3</w:t>
      </w:r>
      <w:r>
        <w:rPr>
          <w:rFonts w:hint="eastAsia" w:ascii="Times New Roman" w:hAnsi="Times New Roman" w:eastAsia="宋体"/>
          <w:b/>
          <w:color w:val="0000FF"/>
          <w:lang w:val="en-US" w:eastAsia="zh-CN"/>
        </w:rPr>
        <w:t>7</w:t>
      </w:r>
      <w:r>
        <w:rPr>
          <w:rFonts w:ascii="Times New Roman" w:hAnsi="Times New Roman" w:eastAsia="宋体"/>
          <w:bCs/>
        </w:rPr>
        <w:t xml:space="preserve">. </w:t>
      </w:r>
    </w:p>
    <w:p w14:paraId="2329AD38">
      <w:pPr>
        <w:pStyle w:val="5"/>
        <w:widowControl/>
        <w:spacing w:beforeAutospacing="0" w:after="312" w:afterLines="100" w:afterAutospacing="0" w:line="480" w:lineRule="auto"/>
        <w:jc w:val="both"/>
        <w:rPr>
          <w:rFonts w:ascii="Times New Roman" w:hAnsi="Times New Roman" w:eastAsia="宋体"/>
          <w:bCs/>
        </w:rPr>
      </w:pPr>
      <w:r>
        <w:rPr>
          <w:rFonts w:hint="eastAsia" w:ascii="Times New Roman" w:hAnsi="Times New Roman" w:eastAsia="宋体"/>
          <w:bCs/>
        </w:rPr>
        <w:t>The radiative sky cooling obtained from the window primarily dissipates through outdoor convective heat transfer, indoor radiative heat transfer, and indoor convective heat transfer. The indoor radiative cooling gain (RCG) can be evaluated by:</w:t>
      </w:r>
    </w:p>
    <w:p w14:paraId="0756240F">
      <w:pPr>
        <w:tabs>
          <w:tab w:val="center" w:pos="4515"/>
          <w:tab w:val="right" w:pos="9030"/>
        </w:tabs>
        <w:spacing w:after="312" w:afterLines="100"/>
        <w:rPr>
          <w:rFonts w:eastAsia="宋体" w:cs="Times New Roman"/>
          <w:bCs/>
          <w:sz w:val="24"/>
        </w:rPr>
      </w:pPr>
      <w:r>
        <w:rPr>
          <w:rFonts w:hint="eastAsia" w:eastAsia="宋体" w:cs="Times New Roman"/>
          <w:bCs/>
          <w:position w:val="-32"/>
          <w:sz w:val="24"/>
        </w:rPr>
        <w:tab/>
      </w:r>
      <w:r>
        <w:rPr>
          <w:rFonts w:eastAsia="宋体" w:cs="Times New Roman"/>
          <w:bCs/>
          <w:position w:val="-32"/>
          <w:sz w:val="24"/>
        </w:rPr>
        <w:object>
          <v:shape id="_x0000_i1066" o:spt="75" type="#_x0000_t75" style="height:35.55pt;width:148.7pt;" o:ole="t" filled="f" o:preferrelative="t" stroked="f" coordsize="21600,21600">
            <v:path/>
            <v:fill on="f" focussize="0,0"/>
            <v:stroke on="f" joinstyle="miter"/>
            <v:imagedata r:id="rId87" o:title=""/>
            <o:lock v:ext="edit" aspectratio="t"/>
            <w10:wrap type="none"/>
            <w10:anchorlock/>
          </v:shape>
          <o:OLEObject Type="Embed" ProgID="Equation.DSMT4" ShapeID="_x0000_i1066" DrawAspect="Content" ObjectID="_1468075766" r:id="rId86">
            <o:LockedField>false</o:LockedField>
          </o:OLEObject>
        </w:object>
      </w:r>
      <w:r>
        <w:rPr>
          <w:rFonts w:hint="eastAsia"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42</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4781AC0">
      <w:pPr>
        <w:pStyle w:val="5"/>
        <w:widowControl/>
        <w:spacing w:beforeAutospacing="0" w:after="312" w:afterLines="100" w:afterAutospacing="0" w:line="480" w:lineRule="auto"/>
        <w:jc w:val="both"/>
        <w:rPr>
          <w:rFonts w:ascii="Times New Roman" w:hAnsi="Times New Roman" w:eastAsia="宋体"/>
          <w:bCs/>
        </w:rPr>
      </w:pPr>
      <w:r>
        <w:rPr>
          <w:rFonts w:hint="eastAsia" w:ascii="Times New Roman" w:hAnsi="Times New Roman" w:eastAsia="宋体"/>
          <w:bCs/>
        </w:rPr>
        <w:t>The solar heat gain is the sum up of direct solar heat gain and secondary solar heat gain, can be calculated by:</w:t>
      </w:r>
    </w:p>
    <w:p w14:paraId="7AC8F76C">
      <w:pPr>
        <w:tabs>
          <w:tab w:val="center" w:pos="4515"/>
          <w:tab w:val="right" w:pos="9030"/>
        </w:tabs>
        <w:spacing w:after="312" w:afterLines="100"/>
        <w:rPr>
          <w:rFonts w:eastAsia="宋体" w:cs="Times New Roman"/>
          <w:bCs/>
          <w:position w:val="-14"/>
          <w:sz w:val="24"/>
        </w:rPr>
      </w:pPr>
      <w:r>
        <w:rPr>
          <w:rFonts w:hint="eastAsia" w:eastAsia="宋体" w:cs="Times New Roman"/>
          <w:bCs/>
          <w:position w:val="-14"/>
          <w:sz w:val="24"/>
        </w:rPr>
        <w:tab/>
      </w:r>
      <w:r>
        <w:rPr>
          <w:rFonts w:eastAsia="宋体" w:cs="Times New Roman"/>
          <w:bCs/>
          <w:position w:val="-14"/>
          <w:sz w:val="24"/>
        </w:rPr>
        <w:object>
          <v:shape id="_x0000_i1067" o:spt="75" type="#_x0000_t75" style="height:18.7pt;width:133.25pt;" o:ole="t" filled="f" o:preferrelative="t" stroked="f" coordsize="21600,21600">
            <v:path/>
            <v:fill on="f" focussize="0,0"/>
            <v:stroke on="f" joinstyle="miter"/>
            <v:imagedata r:id="rId89" o:title=""/>
            <o:lock v:ext="edit" aspectratio="t"/>
            <w10:wrap type="none"/>
            <w10:anchorlock/>
          </v:shape>
          <o:OLEObject Type="Embed" ProgID="Equation.DSMT4" ShapeID="_x0000_i1067" DrawAspect="Content" ObjectID="_1468075767" r:id="rId88">
            <o:LockedField>false</o:LockedField>
          </o:OLEObject>
        </w:object>
      </w:r>
      <w:r>
        <w:rPr>
          <w:rFonts w:hint="eastAsia"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43</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3123E5D1">
      <w:pPr>
        <w:tabs>
          <w:tab w:val="center" w:pos="4515"/>
          <w:tab w:val="right" w:pos="9030"/>
        </w:tabs>
        <w:spacing w:after="312" w:afterLines="100"/>
        <w:rPr>
          <w:rFonts w:eastAsia="宋体" w:cs="Times New Roman"/>
          <w:bCs/>
          <w:sz w:val="24"/>
        </w:rPr>
      </w:pPr>
      <w:r>
        <w:rPr>
          <w:rFonts w:hint="eastAsia" w:eastAsia="宋体" w:cs="Times New Roman"/>
          <w:bCs/>
          <w:position w:val="-20"/>
          <w:sz w:val="24"/>
        </w:rPr>
        <w:tab/>
      </w:r>
      <w:r>
        <w:rPr>
          <w:rFonts w:eastAsia="宋体" w:cs="Times New Roman"/>
          <w:bCs/>
          <w:position w:val="-20"/>
          <w:sz w:val="24"/>
        </w:rPr>
        <w:object>
          <v:shape id="_x0000_i1068" o:spt="75" type="#_x0000_t75" style="height:26.2pt;width:222.1pt;" o:ole="t" filled="f" o:preferrelative="t" stroked="f" coordsize="21600,21600">
            <v:path/>
            <v:fill on="f" focussize="0,0"/>
            <v:stroke on="f" joinstyle="miter"/>
            <v:imagedata r:id="rId91" o:title=""/>
            <o:lock v:ext="edit" aspectratio="t"/>
            <w10:wrap type="none"/>
            <w10:anchorlock/>
          </v:shape>
          <o:OLEObject Type="Embed" ProgID="Equation.DSMT4" ShapeID="_x0000_i1068" DrawAspect="Content" ObjectID="_1468075768" r:id="rId90">
            <o:LockedField>false</o:LockedField>
          </o:OLEObject>
        </w:object>
      </w:r>
      <w:r>
        <w:rPr>
          <w:rFonts w:hint="eastAsia"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44</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0B9BDC32">
      <w:pPr>
        <w:tabs>
          <w:tab w:val="center" w:pos="4515"/>
          <w:tab w:val="right" w:pos="9030"/>
        </w:tabs>
        <w:spacing w:after="312" w:afterLines="100"/>
        <w:rPr>
          <w:rFonts w:eastAsia="宋体" w:cs="Times New Roman"/>
          <w:bCs/>
          <w:sz w:val="24"/>
        </w:rPr>
      </w:pPr>
      <w:r>
        <w:rPr>
          <w:rFonts w:hint="eastAsia" w:eastAsia="宋体" w:cs="Times New Roman"/>
          <w:bCs/>
          <w:position w:val="-62"/>
          <w:sz w:val="24"/>
        </w:rPr>
        <w:tab/>
      </w:r>
      <w:r>
        <w:rPr>
          <w:rFonts w:eastAsia="宋体" w:cs="Times New Roman"/>
          <w:bCs/>
          <w:position w:val="-62"/>
          <w:sz w:val="24"/>
        </w:rPr>
        <w:object>
          <v:shape id="_x0000_i1069" o:spt="75" type="#_x0000_t75" style="height:49.1pt;width:250.6pt;" o:ole="t" filled="f" o:preferrelative="t" stroked="f" coordsize="21600,21600">
            <v:path/>
            <v:fill on="f" focussize="0,0"/>
            <v:stroke on="f" joinstyle="miter"/>
            <v:imagedata r:id="rId93" o:title=""/>
            <o:lock v:ext="edit" aspectratio="t"/>
            <w10:wrap type="none"/>
            <w10:anchorlock/>
          </v:shape>
          <o:OLEObject Type="Embed" ProgID="Equation.DSMT4" ShapeID="_x0000_i1069" DrawAspect="Content" ObjectID="_1468075769" r:id="rId92">
            <o:LockedField>false</o:LockedField>
          </o:OLEObject>
        </w:object>
      </w:r>
      <w:r>
        <w:rPr>
          <w:rFonts w:hint="eastAsia" w:eastAsia="宋体" w:cs="Times New Roman"/>
          <w:bCs/>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45</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DA04470">
      <w:pPr>
        <w:tabs>
          <w:tab w:val="left" w:pos="567"/>
        </w:tabs>
        <w:spacing w:line="360" w:lineRule="auto"/>
        <w:rPr>
          <w:rFonts w:ascii="Times New Roman" w:hAnsi="Times New Roman" w:eastAsia="宋体" w:cs="Times New Roman"/>
          <w:bCs/>
          <w:sz w:val="24"/>
        </w:rPr>
      </w:pPr>
      <w:r>
        <w:rPr>
          <w:rFonts w:ascii="Times New Roman" w:hAnsi="Times New Roman" w:eastAsia="宋体" w:cs="Times New Roman"/>
          <w:bCs/>
          <w:sz w:val="24"/>
        </w:rPr>
        <w:t>where</w:t>
      </w:r>
      <w:r>
        <w:rPr>
          <w:rFonts w:ascii="Times New Roman" w:hAnsi="Times New Roman" w:eastAsia="宋体" w:cs="Times New Roman"/>
          <w:bCs/>
          <w:sz w:val="24"/>
        </w:rPr>
        <w:tab/>
      </w:r>
      <w:r>
        <w:rPr>
          <w:rFonts w:ascii="Times New Roman" w:hAnsi="Times New Roman" w:eastAsia="宋体" w:cs="Times New Roman"/>
          <w:b/>
          <w:i/>
          <w:iCs/>
          <w:sz w:val="24"/>
        </w:rPr>
        <w:t>T</w:t>
      </w:r>
      <w:r>
        <w:rPr>
          <w:rFonts w:ascii="Times New Roman" w:hAnsi="Times New Roman" w:eastAsia="宋体" w:cs="Times New Roman"/>
          <w:b/>
          <w:i/>
          <w:iCs/>
          <w:sz w:val="24"/>
          <w:vertAlign w:val="subscript"/>
        </w:rPr>
        <w:t>g</w:t>
      </w:r>
      <w:r>
        <w:rPr>
          <w:rFonts w:ascii="Times New Roman" w:hAnsi="Times New Roman" w:eastAsia="宋体" w:cs="Times New Roman"/>
          <w:bCs/>
          <w:sz w:val="24"/>
        </w:rPr>
        <w:t xml:space="preserve"> (℃) is the glazing temperature;</w:t>
      </w:r>
    </w:p>
    <w:p w14:paraId="33AF52D8">
      <w:pPr>
        <w:tabs>
          <w:tab w:val="left" w:pos="567"/>
        </w:tabs>
        <w:spacing w:after="156" w:afterLines="50" w:line="360" w:lineRule="auto"/>
        <w:ind w:firstLine="840"/>
        <w:rPr>
          <w:rFonts w:ascii="Times New Roman" w:hAnsi="Times New Roman" w:eastAsia="宋体" w:cs="Times New Roman"/>
          <w:bCs/>
          <w:sz w:val="24"/>
        </w:rPr>
      </w:pPr>
      <w:r>
        <w:rPr>
          <w:rFonts w:ascii="Times New Roman" w:hAnsi="Times New Roman" w:eastAsia="宋体" w:cs="Times New Roman"/>
          <w:b/>
          <w:i/>
          <w:iCs/>
          <w:sz w:val="24"/>
        </w:rPr>
        <w:t>T</w:t>
      </w:r>
      <w:r>
        <w:rPr>
          <w:rFonts w:ascii="Times New Roman" w:hAnsi="Times New Roman" w:eastAsia="宋体" w:cs="Times New Roman"/>
          <w:b/>
          <w:i/>
          <w:iCs/>
          <w:sz w:val="24"/>
          <w:vertAlign w:val="subscript"/>
        </w:rPr>
        <w:t>g</w:t>
      </w:r>
      <w:r>
        <w:rPr>
          <w:rFonts w:ascii="Times New Roman" w:hAnsi="Times New Roman" w:eastAsia="宋体" w:cs="Times New Roman"/>
          <w:b/>
          <w:i/>
          <w:iCs/>
          <w:sz w:val="24"/>
          <w:vertAlign w:val="superscript"/>
        </w:rPr>
        <w:t>’</w:t>
      </w:r>
      <w:r>
        <w:rPr>
          <w:rFonts w:ascii="Times New Roman" w:hAnsi="Times New Roman" w:eastAsia="宋体" w:cs="Times New Roman"/>
          <w:bCs/>
          <w:sz w:val="24"/>
        </w:rPr>
        <w:t xml:space="preserve"> (℃) is the glazing temperature calculated </w:t>
      </w:r>
      <w:r>
        <w:rPr>
          <w:rFonts w:hint="eastAsia" w:ascii="Times New Roman" w:hAnsi="Times New Roman" w:eastAsia="宋体" w:cs="Times New Roman"/>
          <w:bCs/>
          <w:sz w:val="24"/>
        </w:rPr>
        <w:t>when there is no solar radiation</w:t>
      </w:r>
      <w:r>
        <w:rPr>
          <w:rFonts w:ascii="Times New Roman" w:hAnsi="Times New Roman" w:eastAsia="宋体" w:cs="Times New Roman"/>
          <w:bCs/>
          <w:color w:val="0070C0"/>
          <w:sz w:val="24"/>
        </w:rPr>
        <w:t xml:space="preserve"> </w:t>
      </w:r>
      <w:r>
        <w:rPr>
          <w:rFonts w:ascii="Times New Roman" w:hAnsi="Times New Roman" w:eastAsia="宋体" w:cs="Times New Roman"/>
          <w:b/>
          <w:color w:val="0000FF"/>
          <w:sz w:val="24"/>
        </w:rPr>
        <w:fldChar w:fldCharType="begin">
          <w:fldData xml:space="preserve">PEVuZE5vdGU+PENpdGU+PEF1dGhvcj5QdTwvQXV0aG9yPjxZZWFyPjIwMjQ8L1llYXI+PFJlY051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</w:fldData>
        </w:fldChar>
      </w:r>
      <w:r>
        <w:rPr>
          <w:rFonts w:ascii="Times New Roman" w:hAnsi="Times New Roman" w:eastAsia="宋体" w:cs="Times New Roman"/>
          <w:b/>
          <w:color w:val="0000FF"/>
          <w:sz w:val="24"/>
        </w:rPr>
        <w:instrText xml:space="preserve"> ADDIN EN.CITE </w:instrText>
      </w:r>
      <w:r>
        <w:rPr>
          <w:rFonts w:ascii="Times New Roman" w:hAnsi="Times New Roman" w:eastAsia="宋体" w:cs="Times New Roman"/>
          <w:b/>
          <w:color w:val="0000FF"/>
          <w:sz w:val="24"/>
        </w:rPr>
        <w:fldChar w:fldCharType="begin">
          <w:fldData xml:space="preserve">PEVuZE5vdGU+PENpdGU+PEF1dGhvcj5QdTwvQXV0aG9yPjxZZWFyPjIwMjQ8L1llYXI+PFJlY051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</w:fldData>
        </w:fldChar>
      </w:r>
      <w:r>
        <w:rPr>
          <w:rFonts w:ascii="Times New Roman" w:hAnsi="Times New Roman" w:eastAsia="宋体" w:cs="Times New Roman"/>
          <w:b/>
          <w:color w:val="0000FF"/>
          <w:sz w:val="24"/>
        </w:rPr>
        <w:instrText xml:space="preserve"> ADDIN EN.CITE.DATA </w:instrText>
      </w:r>
      <w:r>
        <w:rPr>
          <w:rFonts w:ascii="Times New Roman" w:hAnsi="Times New Roman" w:eastAsia="宋体" w:cs="Times New Roman"/>
          <w:b/>
          <w:color w:val="0000FF"/>
          <w:sz w:val="24"/>
        </w:rPr>
        <w:fldChar w:fldCharType="end"/>
      </w:r>
      <w:r>
        <w:rPr>
          <w:rFonts w:ascii="Times New Roman" w:hAnsi="Times New Roman" w:eastAsia="宋体" w:cs="Times New Roman"/>
          <w:b/>
          <w:color w:val="0000FF"/>
          <w:sz w:val="24"/>
        </w:rPr>
        <w:fldChar w:fldCharType="separate"/>
      </w:r>
      <w:r>
        <w:rPr>
          <w:rFonts w:ascii="Times New Roman" w:hAnsi="Times New Roman" w:eastAsia="宋体" w:cs="Times New Roman"/>
          <w:b/>
          <w:color w:val="0000FF"/>
          <w:sz w:val="24"/>
        </w:rPr>
        <w:t>[9, 10]</w:t>
      </w:r>
      <w:r>
        <w:rPr>
          <w:rFonts w:ascii="Times New Roman" w:hAnsi="Times New Roman" w:eastAsia="宋体" w:cs="Times New Roman"/>
          <w:b/>
          <w:color w:val="0000FF"/>
          <w:sz w:val="24"/>
        </w:rPr>
        <w:fldChar w:fldCharType="end"/>
      </w:r>
      <w:r>
        <w:rPr>
          <w:rFonts w:ascii="Times New Roman" w:hAnsi="Times New Roman" w:eastAsia="宋体" w:cs="Times New Roman"/>
          <w:bCs/>
          <w:sz w:val="24"/>
        </w:rPr>
        <w:t>.</w:t>
      </w:r>
    </w:p>
    <w:p w14:paraId="0223044E">
      <w:pPr>
        <w:pStyle w:val="5"/>
        <w:widowControl/>
        <w:spacing w:beforeAutospacing="0" w:after="312" w:afterLines="100" w:afterAutospacing="0" w:line="480" w:lineRule="auto"/>
        <w:jc w:val="both"/>
        <w:rPr>
          <w:rFonts w:ascii="Times New Roman" w:hAnsi="Times New Roman" w:eastAsia="宋体"/>
          <w:bCs/>
        </w:rPr>
      </w:pPr>
      <w:r>
        <w:rPr>
          <w:rFonts w:hint="eastAsia" w:ascii="Times New Roman" w:hAnsi="Times New Roman"/>
          <w:i/>
          <w:iCs/>
          <w:lang w:bidi="ar"/>
        </w:rPr>
        <w:t>(3) Control logic for the JD window</w:t>
      </w:r>
    </w:p>
    <w:p w14:paraId="698B6665">
      <w:pPr>
        <w:pStyle w:val="5"/>
        <w:widowControl/>
        <w:spacing w:beforeAutospacing="0" w:after="312" w:afterLines="100" w:afterAutospacing="0" w:line="480" w:lineRule="auto"/>
        <w:jc w:val="both"/>
        <w:rPr>
          <w:rFonts w:ascii="Times New Roman" w:hAnsi="Times New Roman" w:eastAsia="宋体"/>
          <w:bCs/>
        </w:rPr>
      </w:pPr>
      <w:r>
        <w:rPr>
          <w:rFonts w:hint="eastAsia" w:ascii="Times New Roman" w:hAnsi="Times New Roman"/>
        </w:rPr>
        <w:t>In different thermal zones, the control logic for the simulation was defined as the same: when the outdoor air temperatures exc</w:t>
      </w:r>
      <w:r>
        <w:rPr>
          <w:rFonts w:ascii="Times New Roman" w:hAnsi="Times New Roman"/>
        </w:rPr>
        <w:t>eed 26℃, the JD window operates in the cooling model, when the outdoor air temperature falls below 5 ℃, the window operates in the heating model state.</w:t>
      </w:r>
      <w:r>
        <w:rPr>
          <w:rFonts w:hint="eastAsia" w:ascii="Times New Roman" w:hAnsi="Times New Roman"/>
        </w:rPr>
        <w:t xml:space="preserve"> Specifically, if the outdoor temperature rises from below 5</w:t>
      </w:r>
      <w:r>
        <w:rPr>
          <w:rFonts w:ascii="Times New Roman" w:hAnsi="Times New Roman"/>
        </w:rPr>
        <w:t>℃ into the 5～26℃</w:t>
      </w:r>
      <w:r>
        <w:rPr>
          <w:rFonts w:hint="eastAsia" w:ascii="Times New Roman" w:hAnsi="Times New Roman"/>
        </w:rPr>
        <w:t xml:space="preserve"> range, the window remains in the heating mode until the temperature exceeds 26</w:t>
      </w:r>
      <w:r>
        <w:rPr>
          <w:rFonts w:ascii="Times New Roman" w:hAnsi="Times New Roman"/>
        </w:rPr>
        <w:t>℃</w:t>
      </w:r>
      <w:r>
        <w:rPr>
          <w:rFonts w:hint="eastAsia" w:ascii="Times New Roman" w:hAnsi="Times New Roman"/>
        </w:rPr>
        <w:t>. Conversely, if the temperature decreases from above 26</w:t>
      </w:r>
      <w:r>
        <w:rPr>
          <w:rFonts w:ascii="Times New Roman" w:hAnsi="Times New Roman"/>
        </w:rPr>
        <w:t>℃</w:t>
      </w:r>
      <w:r>
        <w:rPr>
          <w:rFonts w:hint="eastAsia" w:ascii="Times New Roman" w:hAnsi="Times New Roman"/>
        </w:rPr>
        <w:t xml:space="preserve"> into the 5</w:t>
      </w:r>
      <w:r>
        <w:rPr>
          <w:rFonts w:ascii="Times New Roman" w:hAnsi="Times New Roman"/>
        </w:rPr>
        <w:t>～</w:t>
      </w:r>
      <w:r>
        <w:rPr>
          <w:rFonts w:hint="eastAsia" w:ascii="Times New Roman" w:hAnsi="Times New Roman"/>
        </w:rPr>
        <w:t>26</w:t>
      </w:r>
      <w:r>
        <w:rPr>
          <w:rFonts w:ascii="Times New Roman" w:hAnsi="Times New Roman"/>
        </w:rPr>
        <w:t>℃</w:t>
      </w:r>
      <w:r>
        <w:rPr>
          <w:rFonts w:hint="eastAsia" w:ascii="Times New Roman" w:hAnsi="Times New Roman"/>
        </w:rPr>
        <w:t xml:space="preserve"> range, the window remains in the cooling mode until the outdoor temperature drops below 5</w:t>
      </w:r>
      <w:r>
        <w:rPr>
          <w:rFonts w:ascii="Times New Roman" w:hAnsi="Times New Roman"/>
        </w:rPr>
        <w:t>℃</w:t>
      </w:r>
      <w:r>
        <w:rPr>
          <w:rFonts w:hint="eastAsia" w:ascii="Times New Roman" w:hAnsi="Times New Roman"/>
        </w:rPr>
        <w:t>. The design allows the JD window to flip only twice within a yearly cycle, thereby reducing heating and cooling loads caused by air infiltration through the building.</w:t>
      </w:r>
    </w:p>
    <w:p w14:paraId="1E21533C">
      <w:pPr>
        <w:pStyle w:val="5"/>
        <w:widowControl/>
        <w:spacing w:beforeAutospacing="0" w:after="312" w:afterLines="100" w:afterAutospacing="0" w:line="480" w:lineRule="auto"/>
        <w:jc w:val="both"/>
      </w:pPr>
      <w:r>
        <w:rPr>
          <w:rFonts w:hint="eastAsia" w:ascii="Times New Roman" w:hAnsi="Times New Roman" w:eastAsia="宋体"/>
          <w:bCs/>
        </w:rPr>
        <w:t>According to the developed model, the MATLAB code was generated to calculate the heat transfer behaviors of the JD window, utilizing the hourly meteorological data in the year of 2025, among 1929 sites in the world. The JD window used in the simulation incorporated a 0.1%CD/10%CuSO</w:t>
      </w:r>
      <w:r>
        <w:rPr>
          <w:rFonts w:hint="eastAsia" w:ascii="Times New Roman" w:hAnsi="Times New Roman" w:eastAsia="宋体"/>
          <w:bCs/>
          <w:vertAlign w:val="subscript"/>
        </w:rPr>
        <w:t>4</w:t>
      </w:r>
      <w:r>
        <w:rPr>
          <w:rFonts w:hint="eastAsia" w:ascii="Times New Roman" w:hAnsi="Times New Roman" w:eastAsia="宋体"/>
          <w:bCs/>
        </w:rPr>
        <w:t xml:space="preserve"> solution as the HL, and a AgNW/PET film with a sheet resistance of</w:t>
      </w:r>
      <w:r>
        <w:rPr>
          <w:rFonts w:ascii="Times New Roman" w:hAnsi="Times New Roman" w:eastAsia="宋体"/>
          <w:bCs/>
        </w:rPr>
        <w:t xml:space="preserve"> 7.5 Ω se</w:t>
      </w:r>
      <w:r>
        <w:rPr>
          <w:rFonts w:hint="eastAsia" w:ascii="Times New Roman" w:hAnsi="Times New Roman" w:eastAsia="宋体"/>
          <w:bCs/>
        </w:rPr>
        <w:t>rving as the low-e surface.</w:t>
      </w:r>
      <w:r>
        <w:br w:type="page"/>
      </w:r>
    </w:p>
    <w:p w14:paraId="547A16CF">
      <w:pPr>
        <w:pStyle w:val="5"/>
        <w:widowControl/>
        <w:spacing w:beforeAutospacing="0" w:after="312" w:afterLines="100" w:afterAutospacing="0" w:line="480" w:lineRule="auto"/>
        <w:jc w:val="both"/>
        <w:rPr>
          <w:rFonts w:ascii="Times New Roman" w:hAnsi="Times New Roman"/>
          <w:b/>
          <w:bCs/>
        </w:rPr>
      </w:pPr>
      <w:r>
        <w:rPr>
          <w:rFonts w:hint="eastAsia" w:ascii="Times New Roman" w:hAnsi="Times New Roman"/>
          <w:b/>
          <w:bCs/>
        </w:rPr>
        <w:t>Supplementary Note 5. The defin</w:t>
      </w:r>
      <w:r>
        <w:rPr>
          <w:rFonts w:ascii="Times New Roman" w:hAnsi="Times New Roman"/>
          <w:b/>
          <w:bCs/>
        </w:rPr>
        <w:t>i</w:t>
      </w:r>
      <w:r>
        <w:rPr>
          <w:rFonts w:hint="eastAsia" w:ascii="Times New Roman" w:hAnsi="Times New Roman"/>
          <w:b/>
          <w:bCs/>
        </w:rPr>
        <w:t>tion and calculation of key metrics</w:t>
      </w:r>
    </w:p>
    <w:p w14:paraId="0BD62B2C">
      <w:pPr>
        <w:pStyle w:val="5"/>
        <w:widowControl/>
        <w:snapToGrid w:val="0"/>
        <w:spacing w:beforeAutospacing="0" w:after="312" w:afterLines="100" w:afterAutospacing="0" w:line="360" w:lineRule="auto"/>
        <w:jc w:val="both"/>
        <w:rPr>
          <w:rFonts w:ascii="Times New Roman" w:hAnsi="Times New Roman" w:eastAsia="宋体"/>
          <w:bCs/>
        </w:rPr>
      </w:pPr>
      <w:r>
        <w:rPr>
          <w:rFonts w:ascii="Times New Roman" w:hAnsi="Times New Roman" w:eastAsia="宋体"/>
          <w:bCs/>
        </w:rPr>
        <w:t>With the spectral transmittance</w:t>
      </w:r>
      <w:r>
        <w:rPr>
          <w:rFonts w:hint="eastAsia" w:ascii="Times New Roman" w:hAnsi="Times New Roman" w:eastAsia="宋体"/>
          <w:bCs/>
        </w:rPr>
        <w:t xml:space="preserve"> data</w:t>
      </w:r>
      <w:r>
        <w:rPr>
          <w:rFonts w:ascii="Times New Roman" w:hAnsi="Times New Roman" w:eastAsia="宋体"/>
          <w:bCs/>
        </w:rPr>
        <w:t>, the solar transmittance</w:t>
      </w:r>
      <w:r>
        <w:rPr>
          <w:rFonts w:hint="eastAsia" w:ascii="Times New Roman" w:hAnsi="Times New Roman" w:eastAsia="宋体"/>
          <w:bCs/>
        </w:rPr>
        <w:t xml:space="preserve"> of an optical material </w:t>
      </w:r>
      <w:r>
        <w:rPr>
          <w:rFonts w:ascii="Times New Roman" w:hAnsi="Times New Roman" w:eastAsia="宋体"/>
          <w:bCs/>
        </w:rPr>
        <w:t>was calculated by</w:t>
      </w:r>
      <w:r>
        <w:rPr>
          <w:rFonts w:hint="eastAsia" w:ascii="Times New Roman" w:hAnsi="Times New Roman" w:eastAsia="宋体"/>
          <w:bCs/>
        </w:rPr>
        <w:t>:</w:t>
      </w:r>
    </w:p>
    <w:p w14:paraId="4272179B">
      <w:pPr>
        <w:tabs>
          <w:tab w:val="center" w:pos="4515"/>
          <w:tab w:val="right" w:pos="9030"/>
        </w:tabs>
        <w:spacing w:after="312" w:afterLines="100"/>
        <w:rPr>
          <w:rFonts w:ascii="Times New Roman" w:hAnsi="Times New Roman" w:cs="Times New Roman"/>
          <w:bCs/>
          <w:sz w:val="24"/>
        </w:rPr>
      </w:pPr>
      <w:r>
        <w:rPr>
          <w:rFonts w:hint="eastAsia" w:ascii="Times New Roman" w:hAnsi="Times New Roman" w:cs="Times New Roman"/>
          <w:position w:val="-44"/>
          <w:sz w:val="24"/>
        </w:rPr>
        <w:tab/>
      </w:r>
      <w:r>
        <w:rPr>
          <w:rFonts w:ascii="Times New Roman" w:hAnsi="Times New Roman" w:cs="Times New Roman"/>
          <w:position w:val="-44"/>
          <w:sz w:val="24"/>
        </w:rPr>
        <w:object>
          <v:shape id="_x0000_i1070" o:spt="75" type="#_x0000_t75" style="height:53.85pt;width:119.75pt;" o:ole="t" filled="f" o:preferrelative="t" stroked="f" coordsize="21600,21600">
            <v:path/>
            <v:fill on="f" focussize="0,0"/>
            <v:stroke on="f"/>
            <v:imagedata r:id="rId95" o:title=""/>
            <o:lock v:ext="edit" aspectratio="t"/>
            <w10:wrap type="none"/>
            <w10:anchorlock/>
          </v:shape>
          <o:OLEObject Type="Embed" ProgID="Equation.DSMT4" ShapeID="_x0000_i1070" DrawAspect="Content" ObjectID="_1468075770" r:id="rId94">
            <o:LockedField>false</o:LockedField>
          </o:OLEObject>
        </w:object>
      </w:r>
      <w:r>
        <w:rPr>
          <w:rFonts w:ascii="Times New Roman" w:hAnsi="Times New Roman"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46</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530EFB47">
      <w:pPr>
        <w:pStyle w:val="5"/>
        <w:widowControl/>
        <w:snapToGrid w:val="0"/>
        <w:spacing w:beforeAutospacing="0" w:after="312" w:afterLines="100" w:afterAutospacing="0" w:line="360" w:lineRule="auto"/>
        <w:jc w:val="both"/>
        <w:rPr>
          <w:rFonts w:ascii="Times New Roman" w:hAnsi="Times New Roman" w:eastAsia="宋体"/>
          <w:bCs/>
        </w:rPr>
      </w:pPr>
      <w:r>
        <w:rPr>
          <w:rFonts w:hint="eastAsia" w:ascii="Times New Roman" w:hAnsi="Times New Roman" w:eastAsia="宋体"/>
          <w:bCs/>
        </w:rPr>
        <w:t xml:space="preserve">the photopic </w:t>
      </w:r>
      <w:r>
        <w:rPr>
          <w:rFonts w:ascii="Times New Roman" w:hAnsi="Times New Roman" w:eastAsia="宋体"/>
          <w:bCs/>
        </w:rPr>
        <w:t>visible transmittances (T</w:t>
      </w:r>
      <w:r>
        <w:rPr>
          <w:rFonts w:ascii="Times New Roman" w:hAnsi="Times New Roman" w:eastAsia="宋体"/>
          <w:bCs/>
          <w:vertAlign w:val="subscript"/>
        </w:rPr>
        <w:t>lum</w:t>
      </w:r>
      <w:r>
        <w:rPr>
          <w:rFonts w:ascii="Times New Roman" w:hAnsi="Times New Roman" w:eastAsia="宋体"/>
          <w:bCs/>
        </w:rPr>
        <w:t>)</w:t>
      </w:r>
      <w:r>
        <w:rPr>
          <w:rFonts w:hint="eastAsia" w:ascii="Times New Roman" w:hAnsi="Times New Roman" w:eastAsia="宋体"/>
          <w:bCs/>
        </w:rPr>
        <w:t xml:space="preserve"> was</w:t>
      </w:r>
      <w:r>
        <w:rPr>
          <w:rFonts w:ascii="Times New Roman" w:hAnsi="Times New Roman" w:eastAsia="宋体"/>
          <w:bCs/>
        </w:rPr>
        <w:t xml:space="preserve"> calculated by</w:t>
      </w:r>
      <w:r>
        <w:rPr>
          <w:rFonts w:hint="eastAsia" w:ascii="Times New Roman" w:hAnsi="Times New Roman" w:eastAsia="宋体"/>
          <w:bCs/>
        </w:rPr>
        <w:t>:</w:t>
      </w:r>
      <w:r>
        <w:rPr>
          <w:rFonts w:ascii="Times New Roman" w:hAnsi="Times New Roman" w:eastAsia="宋体"/>
          <w:bCs/>
        </w:rPr>
        <w:t xml:space="preserve"> </w:t>
      </w:r>
    </w:p>
    <w:p w14:paraId="23B05057">
      <w:pPr>
        <w:tabs>
          <w:tab w:val="center" w:pos="4515"/>
          <w:tab w:val="right" w:pos="9030"/>
        </w:tabs>
        <w:spacing w:after="312" w:afterLines="100"/>
        <w:rPr>
          <w:rFonts w:ascii="Times New Roman" w:hAnsi="Times New Roman" w:cs="Times New Roman"/>
          <w:kern w:val="0"/>
          <w:sz w:val="24"/>
          <w:lang w:bidi="ar"/>
        </w:rPr>
      </w:pPr>
      <w:r>
        <w:rPr>
          <w:rFonts w:hint="eastAsia" w:ascii="Times New Roman" w:hAnsi="Times New Roman" w:cs="Times New Roman"/>
          <w:position w:val="-44"/>
          <w:sz w:val="24"/>
        </w:rPr>
        <w:tab/>
      </w:r>
      <w:r>
        <w:rPr>
          <w:rFonts w:ascii="Times New Roman" w:hAnsi="Times New Roman" w:cs="Times New Roman"/>
          <w:position w:val="-44"/>
          <w:sz w:val="24"/>
        </w:rPr>
        <w:object>
          <v:shape id="_x0000_i1071" o:spt="75" type="#_x0000_t75" style="height:53.85pt;width:172.3pt;" o:ole="t" filled="f" o:preferrelative="t" stroked="f" coordsize="21600,21600">
            <v:path/>
            <v:fill on="f" focussize="0,0"/>
            <v:stroke on="f"/>
            <v:imagedata r:id="rId97" o:title=""/>
            <o:lock v:ext="edit" aspectratio="t"/>
            <w10:wrap type="none"/>
            <w10:anchorlock/>
          </v:shape>
          <o:OLEObject Type="Embed" ProgID="Equation.DSMT4" ShapeID="_x0000_i1071" DrawAspect="Content" ObjectID="_1468075771" r:id="rId96">
            <o:LockedField>false</o:LockedField>
          </o:OLEObject>
        </w:object>
      </w:r>
      <w:r>
        <w:rPr>
          <w:rFonts w:ascii="Times New Roman" w:hAnsi="Times New Roman"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47</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7E1D7B7">
      <w:pPr>
        <w:pStyle w:val="5"/>
        <w:widowControl/>
        <w:snapToGrid w:val="0"/>
        <w:spacing w:beforeAutospacing="0" w:after="312" w:afterLines="100" w:afterAutospacing="0" w:line="360" w:lineRule="auto"/>
        <w:jc w:val="both"/>
        <w:rPr>
          <w:rFonts w:ascii="Times New Roman" w:hAnsi="Times New Roman"/>
          <w:lang w:bidi="ar"/>
        </w:rPr>
      </w:pPr>
      <w:r>
        <w:rPr>
          <w:rFonts w:hint="eastAsia" w:ascii="Times New Roman" w:hAnsi="Times New Roman"/>
          <w:lang w:bidi="ar"/>
        </w:rPr>
        <w:t xml:space="preserve">and </w:t>
      </w:r>
      <w:r>
        <w:rPr>
          <w:rFonts w:hint="eastAsia" w:ascii="Times New Roman" w:hAnsi="Times New Roman" w:eastAsia="宋体"/>
          <w:bCs/>
        </w:rPr>
        <w:t>the</w:t>
      </w:r>
      <w:r>
        <w:rPr>
          <w:rFonts w:hint="eastAsia" w:ascii="Times New Roman" w:hAnsi="Times New Roman"/>
          <w:lang w:bidi="ar"/>
        </w:rPr>
        <w:t xml:space="preserve"> </w:t>
      </w:r>
      <w:r>
        <w:rPr>
          <w:rFonts w:ascii="Times New Roman" w:hAnsi="Times New Roman" w:eastAsia="宋体"/>
          <w:bCs/>
        </w:rPr>
        <w:t>melanopic transmittances (T</w:t>
      </w:r>
      <w:r>
        <w:rPr>
          <w:rFonts w:ascii="Times New Roman" w:hAnsi="Times New Roman" w:eastAsia="宋体"/>
          <w:bCs/>
          <w:vertAlign w:val="subscript"/>
        </w:rPr>
        <w:t>mel</w:t>
      </w:r>
      <w:r>
        <w:rPr>
          <w:rFonts w:ascii="Times New Roman" w:hAnsi="Times New Roman" w:eastAsia="宋体"/>
          <w:bCs/>
        </w:rPr>
        <w:t xml:space="preserve">) </w:t>
      </w:r>
      <w:r>
        <w:rPr>
          <w:rFonts w:hint="eastAsia" w:ascii="Times New Roman" w:hAnsi="Times New Roman" w:eastAsia="宋体"/>
          <w:bCs/>
        </w:rPr>
        <w:t>was</w:t>
      </w:r>
      <w:r>
        <w:rPr>
          <w:rFonts w:ascii="Times New Roman" w:hAnsi="Times New Roman" w:eastAsia="宋体"/>
          <w:bCs/>
        </w:rPr>
        <w:t xml:space="preserve"> calculated by</w:t>
      </w:r>
      <w:r>
        <w:rPr>
          <w:rFonts w:hint="eastAsia" w:ascii="Times New Roman" w:hAnsi="Times New Roman" w:eastAsia="宋体"/>
          <w:bCs/>
        </w:rPr>
        <w:t>:</w:t>
      </w:r>
      <w:r>
        <w:rPr>
          <w:rFonts w:ascii="Times New Roman" w:hAnsi="Times New Roman" w:eastAsia="宋体"/>
          <w:bCs/>
        </w:rPr>
        <w:t xml:space="preserve"> </w:t>
      </w:r>
    </w:p>
    <w:p w14:paraId="6F95FA99">
      <w:pPr>
        <w:tabs>
          <w:tab w:val="center" w:pos="4515"/>
          <w:tab w:val="right" w:pos="9030"/>
        </w:tabs>
        <w:spacing w:after="312" w:afterLines="100"/>
        <w:rPr>
          <w:rFonts w:ascii="Times New Roman" w:hAnsi="Times New Roman" w:cs="Times New Roman"/>
          <w:kern w:val="0"/>
          <w:sz w:val="24"/>
          <w:lang w:bidi="ar"/>
        </w:rPr>
      </w:pPr>
      <w:r>
        <w:rPr>
          <w:rFonts w:hint="eastAsia" w:ascii="Times New Roman" w:hAnsi="Times New Roman" w:cs="Times New Roman"/>
          <w:position w:val="-44"/>
          <w:sz w:val="24"/>
        </w:rPr>
        <w:tab/>
      </w:r>
      <w:r>
        <w:rPr>
          <w:rFonts w:ascii="Times New Roman" w:hAnsi="Times New Roman" w:cs="Times New Roman"/>
          <w:position w:val="-44"/>
          <w:sz w:val="24"/>
        </w:rPr>
        <w:object>
          <v:shape id="_x0000_i1072" o:spt="75" type="#_x0000_t75" style="height:53.85pt;width:172.3pt;" o:ole="t" filled="f" o:preferrelative="t" stroked="f" coordsize="21600,21600">
            <v:path/>
            <v:fill on="f" focussize="0,0"/>
            <v:stroke on="f"/>
            <v:imagedata r:id="rId99" o:title=""/>
            <o:lock v:ext="edit" aspectratio="t"/>
            <w10:wrap type="none"/>
            <w10:anchorlock/>
          </v:shape>
          <o:OLEObject Type="Embed" ProgID="Equation.DSMT4" ShapeID="_x0000_i1072" DrawAspect="Content" ObjectID="_1468075772" r:id="rId98">
            <o:LockedField>false</o:LockedField>
          </o:OLEObject>
        </w:object>
      </w:r>
      <w:r>
        <w:rPr>
          <w:rFonts w:ascii="Times New Roman" w:hAnsi="Times New Roman"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48</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050D16D1">
      <w:pPr>
        <w:pStyle w:val="5"/>
        <w:widowControl/>
        <w:snapToGrid w:val="0"/>
        <w:spacing w:beforeAutospacing="0" w:after="312" w:afterLines="100" w:afterAutospacing="0" w:line="360" w:lineRule="auto"/>
        <w:jc w:val="both"/>
        <w:rPr>
          <w:rFonts w:ascii="Times New Roman" w:hAnsi="Times New Roman"/>
          <w:bCs/>
        </w:rPr>
      </w:pPr>
      <w:r>
        <w:rPr>
          <w:rFonts w:ascii="Times New Roman" w:hAnsi="Times New Roman"/>
          <w:bCs/>
        </w:rPr>
        <w:t xml:space="preserve">where </w:t>
      </w:r>
      <w:r>
        <w:rPr>
          <w:rFonts w:ascii="Times New Roman" w:hAnsi="Times New Roman"/>
          <w:b/>
          <w:bCs/>
          <w:i/>
        </w:rPr>
        <w:t>T</w:t>
      </w:r>
      <w:r>
        <w:rPr>
          <w:rFonts w:hint="eastAsia" w:ascii="Times New Roman" w:hAnsi="Times New Roman"/>
          <w:b/>
          <w:bCs/>
        </w:rPr>
        <w:t xml:space="preserve"> </w:t>
      </w:r>
      <w:r>
        <w:rPr>
          <w:rFonts w:ascii="Times New Roman" w:hAnsi="Times New Roman"/>
          <w:b/>
          <w:bCs/>
        </w:rPr>
        <w:t>(</w:t>
      </w:r>
      <w:r>
        <w:rPr>
          <w:rFonts w:ascii="Symbol" w:hAnsi="Symbol" w:cs="Symbol"/>
          <w:b/>
          <w:bCs/>
          <w:i/>
        </w:rPr>
        <w:t></w:t>
      </w:r>
      <w:r>
        <w:rPr>
          <w:rFonts w:ascii="Times New Roman" w:hAnsi="Times New Roman"/>
          <w:b/>
          <w:bCs/>
        </w:rPr>
        <w:t>)</w:t>
      </w:r>
      <w:r>
        <w:rPr>
          <w:rFonts w:ascii="Times New Roman" w:hAnsi="Times New Roman"/>
          <w:bCs/>
        </w:rPr>
        <w:t xml:space="preserve"> represents the spectral transmittance, </w:t>
      </w:r>
      <w:r>
        <w:rPr>
          <w:rFonts w:ascii="Symbol" w:hAnsi="Symbol" w:cs="Symbol"/>
          <w:b/>
          <w:bCs/>
          <w:i/>
        </w:rPr>
        <w:t></w:t>
      </w:r>
      <w:r>
        <w:rPr>
          <w:rFonts w:ascii="Symbol" w:hAnsi="Symbol" w:cs="Symbol"/>
          <w:b/>
          <w:bCs/>
          <w:iCs/>
        </w:rPr>
        <w:t></w:t>
      </w:r>
      <w:r>
        <w:rPr>
          <w:rFonts w:ascii="Symbol" w:hAnsi="Symbol" w:cs="Symbol"/>
          <w:b/>
          <w:bCs/>
          <w:i/>
        </w:rPr>
        <w:t></w:t>
      </w:r>
      <w:r>
        <w:rPr>
          <w:rFonts w:ascii="Symbol" w:hAnsi="Symbol" w:cs="Symbol"/>
          <w:b/>
          <w:bCs/>
          <w:iCs/>
        </w:rPr>
        <w:t></w:t>
      </w:r>
      <w:r>
        <w:rPr>
          <w:rFonts w:ascii="Symbol" w:hAnsi="Symbol" w:cs="Symbol"/>
          <w:b/>
          <w:bCs/>
          <w:i/>
        </w:rPr>
        <w:t></w:t>
      </w:r>
      <w:r>
        <w:rPr>
          <w:rFonts w:ascii="Times New Roman" w:hAnsi="Times New Roman"/>
          <w:bCs/>
        </w:rPr>
        <w:t xml:space="preserve">which is the solar irradiance spectra for air mass 1.5 (AM 1.5). </w:t>
      </w:r>
      <w:r>
        <w:rPr>
          <w:rFonts w:ascii="Times New Roman" w:hAnsi="Times New Roman"/>
          <w:bCs/>
          <w:i/>
        </w:rPr>
        <w:t>S</w:t>
      </w:r>
      <w:r>
        <w:rPr>
          <w:rFonts w:ascii="Times New Roman" w:hAnsi="Times New Roman"/>
          <w:b/>
          <w:bCs/>
          <w:vertAlign w:val="subscript"/>
        </w:rPr>
        <w:t>lum</w:t>
      </w:r>
      <w:r>
        <w:rPr>
          <w:rFonts w:ascii="Symbol" w:hAnsi="Symbol" w:cs="Symbol"/>
          <w:b/>
          <w:bCs/>
          <w:iCs/>
        </w:rPr>
        <w:t></w:t>
      </w:r>
      <w:r>
        <w:rPr>
          <w:rFonts w:ascii="Symbol" w:hAnsi="Symbol" w:cs="Symbol"/>
          <w:b/>
          <w:bCs/>
          <w:i/>
        </w:rPr>
        <w:t></w:t>
      </w:r>
      <w:r>
        <w:rPr>
          <w:rFonts w:ascii="Symbol" w:hAnsi="Symbol" w:cs="Symbol"/>
          <w:b/>
          <w:bCs/>
          <w:iCs/>
        </w:rPr>
        <w:t></w:t>
      </w:r>
      <w:r>
        <w:rPr>
          <w:rFonts w:ascii="Times New Roman" w:hAnsi="Times New Roman"/>
          <w:bCs/>
        </w:rPr>
        <w:t xml:space="preserve"> and </w:t>
      </w:r>
      <w:r>
        <w:rPr>
          <w:rFonts w:ascii="Times New Roman" w:hAnsi="Times New Roman"/>
          <w:bCs/>
          <w:i/>
        </w:rPr>
        <w:t>S</w:t>
      </w:r>
      <w:r>
        <w:rPr>
          <w:rFonts w:ascii="Times New Roman" w:hAnsi="Times New Roman"/>
          <w:b/>
          <w:bCs/>
          <w:vertAlign w:val="subscript"/>
        </w:rPr>
        <w:t>mel</w:t>
      </w:r>
      <w:r>
        <w:rPr>
          <w:rFonts w:ascii="Symbol" w:hAnsi="Symbol" w:cs="Symbol"/>
          <w:b/>
          <w:bCs/>
          <w:iCs/>
        </w:rPr>
        <w:t></w:t>
      </w:r>
      <w:r>
        <w:rPr>
          <w:rFonts w:ascii="Symbol" w:hAnsi="Symbol" w:cs="Symbol"/>
          <w:b/>
          <w:bCs/>
          <w:i/>
        </w:rPr>
        <w:t></w:t>
      </w:r>
      <w:r>
        <w:rPr>
          <w:rFonts w:ascii="Symbol" w:hAnsi="Symbol" w:cs="Symbol"/>
          <w:b/>
          <w:bCs/>
          <w:iCs/>
        </w:rPr>
        <w:t></w:t>
      </w:r>
      <w:r>
        <w:rPr>
          <w:rFonts w:ascii="Times New Roman" w:hAnsi="Times New Roman"/>
          <w:bCs/>
          <w:iCs/>
        </w:rPr>
        <w:t xml:space="preserve"> </w:t>
      </w:r>
      <w:r>
        <w:rPr>
          <w:rFonts w:ascii="Times New Roman" w:hAnsi="Times New Roman"/>
          <w:bCs/>
        </w:rPr>
        <w:t>are the action spectra</w:t>
      </w:r>
      <w:r>
        <w:rPr>
          <w:rFonts w:ascii="Times New Roman" w:hAnsi="Times New Roman"/>
        </w:rPr>
        <w:t xml:space="preserve"> of photopic</w:t>
      </w:r>
      <w:r>
        <w:rPr>
          <w:rFonts w:ascii="Times New Roman" w:hAnsi="Times New Roman"/>
          <w:bCs/>
        </w:rPr>
        <w:t xml:space="preserve"> </w:t>
      </w:r>
      <w:r>
        <w:rPr>
          <w:rFonts w:ascii="Times New Roman" w:hAnsi="Times New Roman" w:eastAsia="宋体"/>
          <w:bCs/>
        </w:rPr>
        <w:t xml:space="preserve">sensitivity </w:t>
      </w:r>
      <w:r>
        <w:rPr>
          <w:rFonts w:ascii="Times New Roman" w:hAnsi="Times New Roman"/>
          <w:bCs/>
        </w:rPr>
        <w:t>and the action spectra of melanopic (ipRGC) sensitivity respectively.</w:t>
      </w:r>
    </w:p>
    <w:p w14:paraId="4A5BFB00">
      <w:pPr>
        <w:pStyle w:val="5"/>
        <w:widowControl/>
        <w:snapToGrid w:val="0"/>
        <w:spacing w:beforeAutospacing="0" w:after="312" w:afterLines="100" w:afterAutospacing="0" w:line="360" w:lineRule="auto"/>
        <w:jc w:val="both"/>
        <w:rPr>
          <w:rFonts w:ascii="Times New Roman" w:hAnsi="Times New Roman" w:eastAsia="宋体"/>
          <w:bCs/>
        </w:rPr>
      </w:pPr>
      <w:r>
        <w:rPr>
          <w:rFonts w:hint="eastAsia" w:ascii="Times New Roman" w:hAnsi="Times New Roman" w:eastAsia="宋体"/>
          <w:bCs/>
        </w:rPr>
        <w:t xml:space="preserve">FOM was defined as the ratio of solar transmittance to photopic luminous transmittance, it can be </w:t>
      </w:r>
      <w:r>
        <w:rPr>
          <w:rFonts w:ascii="Times New Roman" w:hAnsi="Times New Roman" w:eastAsia="宋体"/>
          <w:bCs/>
        </w:rPr>
        <w:t xml:space="preserve">can be used to estimate the light/heat decoupling performance of spectrally selective </w:t>
      </w:r>
      <w:r>
        <w:rPr>
          <w:rFonts w:hint="eastAsia" w:ascii="Times New Roman" w:hAnsi="Times New Roman" w:eastAsia="宋体"/>
          <w:bCs/>
        </w:rPr>
        <w:t>materials, and can be expressed by:</w:t>
      </w:r>
    </w:p>
    <w:p w14:paraId="46723826">
      <w:pPr>
        <w:tabs>
          <w:tab w:val="center" w:pos="4515"/>
          <w:tab w:val="right" w:pos="9030"/>
        </w:tabs>
        <w:spacing w:after="312" w:afterLines="100"/>
        <w:rPr>
          <w:rFonts w:ascii="Times New Roman" w:hAnsi="Times New Roman" w:cs="Times New Roman"/>
          <w:kern w:val="0"/>
          <w:sz w:val="24"/>
          <w:lang w:bidi="ar"/>
        </w:rPr>
      </w:pPr>
      <w:r>
        <w:rPr>
          <w:rFonts w:hint="eastAsia" w:ascii="Times New Roman" w:hAnsi="Times New Roman"/>
          <w:position w:val="-30"/>
          <w:sz w:val="24"/>
        </w:rPr>
        <w:tab/>
      </w:r>
      <w:r>
        <w:rPr>
          <w:rFonts w:ascii="Times New Roman" w:hAnsi="Times New Roman"/>
          <w:position w:val="-30"/>
          <w:sz w:val="24"/>
        </w:rPr>
        <w:object>
          <v:shape id="_x0000_i1073" o:spt="75" type="#_x0000_t75" style="height:34.15pt;width:63.1pt;" o:ole="t" filled="f" o:preferrelative="t" stroked="f" coordsize="21600,21600">
            <v:path/>
            <v:fill on="f" focussize="0,0"/>
            <v:stroke on="f" joinstyle="miter"/>
            <v:imagedata r:id="rId101" o:title=""/>
            <o:lock v:ext="edit" aspectratio="t"/>
            <w10:wrap type="none"/>
            <w10:anchorlock/>
          </v:shape>
          <o:OLEObject Type="Embed" ProgID="Equation.DSMT4" ShapeID="_x0000_i1073" DrawAspect="Content" ObjectID="_1468075773" r:id="rId100">
            <o:LockedField>false</o:LockedField>
          </o:OLEObject>
        </w:object>
      </w:r>
      <w:r>
        <w:rPr>
          <w:rFonts w:ascii="Times New Roman" w:hAnsi="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49</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496D99AB">
      <w:pPr>
        <w:pStyle w:val="5"/>
        <w:widowControl/>
        <w:snapToGrid w:val="0"/>
        <w:spacing w:beforeAutospacing="0" w:after="312" w:afterLines="100" w:afterAutospacing="0" w:line="360" w:lineRule="auto"/>
        <w:jc w:val="both"/>
        <w:rPr>
          <w:rFonts w:ascii="Times New Roman" w:hAnsi="Times New Roman"/>
          <w:lang w:bidi="ar"/>
        </w:rPr>
      </w:pPr>
      <w:r>
        <w:rPr>
          <w:rFonts w:hint="eastAsia" w:ascii="Times New Roman" w:hAnsi="Times New Roman"/>
          <w:lang w:bidi="ar"/>
        </w:rPr>
        <w:t>M/P value is the ratio of a light source</w:t>
      </w:r>
      <w:r>
        <w:rPr>
          <w:rFonts w:ascii="Times New Roman" w:hAnsi="Times New Roman"/>
          <w:lang w:bidi="ar"/>
        </w:rPr>
        <w:t>’</w:t>
      </w:r>
      <w:r>
        <w:rPr>
          <w:rFonts w:hint="eastAsia" w:ascii="Times New Roman" w:hAnsi="Times New Roman"/>
          <w:lang w:bidi="ar"/>
        </w:rPr>
        <w:t>s melanopic (non-visual) stimulus to its photopic (visual) brightness, it can be calculated by:</w:t>
      </w:r>
    </w:p>
    <w:p w14:paraId="530CC337">
      <w:pPr>
        <w:tabs>
          <w:tab w:val="center" w:pos="4515"/>
          <w:tab w:val="right" w:pos="9030"/>
        </w:tabs>
        <w:spacing w:after="312" w:afterLines="100"/>
        <w:rPr>
          <w:rFonts w:ascii="Times New Roman" w:hAnsi="Times New Roman" w:cs="Times New Roman"/>
          <w:kern w:val="0"/>
          <w:sz w:val="24"/>
          <w:lang w:bidi="ar"/>
        </w:rPr>
      </w:pPr>
      <w:r>
        <w:rPr>
          <w:rFonts w:hint="eastAsia" w:ascii="Times New Roman" w:hAnsi="Times New Roman"/>
          <w:position w:val="-30"/>
          <w:sz w:val="24"/>
        </w:rPr>
        <w:tab/>
      </w:r>
      <w:r>
        <w:rPr>
          <w:rFonts w:ascii="Times New Roman" w:hAnsi="Times New Roman"/>
          <w:position w:val="-32"/>
          <w:sz w:val="24"/>
        </w:rPr>
        <w:object>
          <v:shape id="_x0000_i1074" o:spt="75" type="#_x0000_t75" style="height:36.95pt;width:80.4pt;" o:ole="t" filled="f" o:preferrelative="t" stroked="f" coordsize="21600,21600">
            <v:path/>
            <v:fill on="f" focussize="0,0"/>
            <v:stroke on="f" joinstyle="miter"/>
            <v:imagedata r:id="rId103" o:title=""/>
            <o:lock v:ext="edit" aspectratio="t"/>
            <w10:wrap type="none"/>
            <w10:anchorlock/>
          </v:shape>
          <o:OLEObject Type="Embed" ProgID="Equation.DSMT4" ShapeID="_x0000_i1074" DrawAspect="Content" ObjectID="_1468075774" r:id="rId102">
            <o:LockedField>false</o:LockedField>
          </o:OLEObject>
        </w:object>
      </w:r>
      <w:r>
        <w:rPr>
          <w:rFonts w:ascii="Times New Roman" w:hAnsi="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50</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23A7C3A8">
      <w:pPr>
        <w:pStyle w:val="5"/>
        <w:widowControl/>
        <w:snapToGrid w:val="0"/>
        <w:spacing w:beforeAutospacing="0" w:after="312" w:afterLines="100" w:afterAutospacing="0" w:line="360" w:lineRule="auto"/>
        <w:jc w:val="both"/>
        <w:rPr>
          <w:rFonts w:ascii="Times New Roman" w:hAnsi="Times New Roman"/>
          <w:lang w:bidi="ar"/>
        </w:rPr>
      </w:pPr>
      <w:r>
        <w:rPr>
          <w:rFonts w:hint="eastAsia" w:ascii="Times New Roman" w:hAnsi="Times New Roman"/>
          <w:lang w:bidi="ar"/>
        </w:rPr>
        <w:t xml:space="preserve">In this paper, the infrared emissivity generally refers to the average emissivity in the </w:t>
      </w:r>
      <w:r>
        <w:rPr>
          <w:rFonts w:ascii="Times New Roman" w:hAnsi="Times New Roman"/>
          <w:lang w:bidi="ar"/>
        </w:rPr>
        <w:t>8–13 μ</w:t>
      </w:r>
      <w:r>
        <w:rPr>
          <w:rFonts w:hint="eastAsia" w:ascii="Times New Roman" w:hAnsi="Times New Roman"/>
          <w:lang w:bidi="ar"/>
        </w:rPr>
        <w:t>m wavelength range, calculated using the following equation:</w:t>
      </w:r>
    </w:p>
    <w:p w14:paraId="60C31F0E">
      <w:pPr>
        <w:tabs>
          <w:tab w:val="center" w:pos="4515"/>
          <w:tab w:val="right" w:pos="9030"/>
        </w:tabs>
        <w:spacing w:after="312" w:afterLines="100"/>
        <w:rPr>
          <w:rFonts w:ascii="Times New Roman" w:hAnsi="Times New Roman" w:cs="Times New Roman"/>
          <w:kern w:val="0"/>
          <w:sz w:val="24"/>
          <w:lang w:bidi="ar"/>
        </w:rPr>
      </w:pPr>
      <w:r>
        <w:rPr>
          <w:rFonts w:ascii="Times New Roman" w:hAnsi="Times New Roman" w:cs="Times New Roman"/>
          <w:sz w:val="24"/>
        </w:rPr>
        <w:tab/>
      </w:r>
      <w:r>
        <w:rPr>
          <w:rFonts w:ascii="Times New Roman" w:hAnsi="Times New Roman" w:cs="Times New Roman"/>
          <w:position w:val="-24"/>
          <w:sz w:val="24"/>
        </w:rPr>
        <w:object>
          <v:shape id="_x0000_i1075" o:spt="75" type="#_x0000_t75" style="height:48.15pt;width:122.05pt;" o:ole="t" filled="f" o:preferrelative="t" stroked="f" coordsize="21600,21600">
            <v:path/>
            <v:fill on="f" focussize="0,0"/>
            <v:stroke on="f" joinstyle="miter"/>
            <v:imagedata r:id="rId105" o:title=""/>
            <o:lock v:ext="edit" aspectratio="t"/>
            <w10:wrap type="none"/>
            <w10:anchorlock/>
          </v:shape>
          <o:OLEObject Type="Embed" ProgID="Equation.DSMT4" ShapeID="_x0000_i1075" DrawAspect="Content" ObjectID="_1468075775" r:id="rId104">
            <o:LockedField>false</o:LockedField>
          </o:OLEObject>
        </w:object>
      </w:r>
      <w:r>
        <w:rPr>
          <w:rFonts w:ascii="Times New Roman" w:hAnsi="Times New Roman" w:eastAsia="宋体"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52</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482FC068">
      <w:pPr>
        <w:tabs>
          <w:tab w:val="center" w:pos="4515"/>
          <w:tab w:val="right" w:pos="9030"/>
        </w:tabs>
        <w:spacing w:after="312" w:afterLines="100"/>
        <w:rPr>
          <w:rFonts w:ascii="Times New Roman" w:hAnsi="Times New Roman" w:cs="Times New Roman"/>
          <w:kern w:val="0"/>
          <w:sz w:val="24"/>
          <w:lang w:bidi="ar"/>
        </w:rPr>
      </w:pPr>
      <w:r>
        <w:rPr>
          <w:rFonts w:ascii="Times New Roman" w:hAnsi="Times New Roman" w:cs="Times New Roman"/>
          <w:kern w:val="0"/>
          <w:sz w:val="24"/>
          <w:lang w:bidi="ar"/>
        </w:rPr>
        <w:t>The hemispherical average emissivity is calculated using the following equation:</w:t>
      </w:r>
    </w:p>
    <w:p w14:paraId="64B38000">
      <w:pPr>
        <w:tabs>
          <w:tab w:val="center" w:pos="4515"/>
          <w:tab w:val="right" w:pos="9030"/>
        </w:tabs>
        <w:spacing w:after="312" w:afterLines="100"/>
        <w:rPr>
          <w:rFonts w:ascii="Times New Roman" w:hAnsi="Times New Roman" w:cs="Times New Roman"/>
          <w:kern w:val="0"/>
          <w:sz w:val="24"/>
          <w:lang w:bidi="ar"/>
        </w:rPr>
      </w:pPr>
      <w:r>
        <w:rPr>
          <w:rFonts w:ascii="Times New Roman" w:hAnsi="Times New Roman" w:cs="Times New Roman"/>
          <w:sz w:val="24"/>
        </w:rPr>
        <w:tab/>
      </w:r>
      <w:r>
        <w:rPr>
          <w:rFonts w:ascii="Times New Roman" w:hAnsi="Times New Roman" w:cs="Times New Roman"/>
          <w:position w:val="-20"/>
          <w:sz w:val="24"/>
        </w:rPr>
        <w:object>
          <v:shape id="_x0000_i1076" o:spt="75" type="#_x0000_t75" style="height:34.15pt;width:142.15pt;" o:ole="t" filled="f" o:preferrelative="t" stroked="f" coordsize="21600,21600">
            <v:path/>
            <v:fill on="f" focussize="0,0"/>
            <v:stroke on="f" joinstyle="miter"/>
            <v:imagedata r:id="rId107" o:title=""/>
            <o:lock v:ext="edit" aspectratio="t"/>
            <w10:wrap type="none"/>
            <w10:anchorlock/>
          </v:shape>
          <o:OLEObject Type="Embed" ProgID="Equation.DSMT4" ShapeID="_x0000_i1076" DrawAspect="Content" ObjectID="_1468075776" r:id="rId106">
            <o:LockedField>false</o:LockedField>
          </o:OLEObject>
        </w:object>
      </w:r>
      <w:r>
        <w:rPr>
          <w:rFonts w:ascii="Times New Roman" w:hAnsi="Times New Roman" w:eastAsia="宋体"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53</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4EBE5624">
      <w:pPr>
        <w:pStyle w:val="5"/>
        <w:widowControl/>
        <w:snapToGrid w:val="0"/>
        <w:spacing w:beforeAutospacing="0" w:after="312" w:afterLines="100" w:afterAutospacing="0" w:line="360" w:lineRule="auto"/>
        <w:jc w:val="both"/>
        <w:rPr>
          <w:rFonts w:ascii="Times New Roman" w:hAnsi="Times New Roman"/>
          <w:lang w:bidi="ar"/>
        </w:rPr>
      </w:pPr>
      <w:r>
        <w:rPr>
          <w:rFonts w:ascii="Times New Roman" w:hAnsi="Times New Roman"/>
          <w:lang w:bidi="ar"/>
        </w:rPr>
        <w:t xml:space="preserve">For optically tunable windows, the spectral regulation capability is a key parameter for evaluating their performance. The main aspects include solar </w:t>
      </w:r>
      <w:r>
        <w:rPr>
          <w:rFonts w:hint="eastAsia" w:ascii="Times New Roman" w:hAnsi="Times New Roman"/>
          <w:lang w:bidi="ar"/>
        </w:rPr>
        <w:t>modulation ability (</w:t>
      </w:r>
      <w:r>
        <w:rPr>
          <w:rFonts w:ascii="Symbol" w:hAnsi="Symbol" w:cs="Symbol"/>
          <w:lang w:bidi="ar"/>
        </w:rPr>
        <w:t></w:t>
      </w:r>
      <w:r>
        <w:rPr>
          <w:rFonts w:hint="eastAsia" w:ascii="Times New Roman" w:hAnsi="Times New Roman"/>
          <w:lang w:bidi="ar"/>
        </w:rPr>
        <w:t>T</w:t>
      </w:r>
      <w:r>
        <w:rPr>
          <w:rFonts w:hint="eastAsia" w:ascii="Times New Roman" w:hAnsi="Times New Roman"/>
          <w:vertAlign w:val="subscript"/>
          <w:lang w:bidi="ar"/>
        </w:rPr>
        <w:t>sol</w:t>
      </w:r>
      <w:r>
        <w:rPr>
          <w:rFonts w:hint="eastAsia" w:ascii="Times New Roman" w:hAnsi="Times New Roman"/>
          <w:lang w:bidi="ar"/>
        </w:rPr>
        <w:t>)</w:t>
      </w:r>
      <w:r>
        <w:rPr>
          <w:rFonts w:ascii="Times New Roman" w:hAnsi="Times New Roman"/>
          <w:lang w:bidi="ar"/>
        </w:rPr>
        <w:t xml:space="preserve"> and </w:t>
      </w:r>
      <w:r>
        <w:rPr>
          <w:rFonts w:hint="eastAsia" w:ascii="Times New Roman" w:hAnsi="Times New Roman"/>
          <w:lang w:bidi="ar"/>
        </w:rPr>
        <w:t xml:space="preserve">MIR </w:t>
      </w:r>
      <w:r>
        <w:rPr>
          <w:rFonts w:ascii="Times New Roman" w:hAnsi="Times New Roman"/>
          <w:lang w:bidi="ar"/>
        </w:rPr>
        <w:t xml:space="preserve">emissivity regulation </w:t>
      </w:r>
      <w:r>
        <w:rPr>
          <w:rFonts w:hint="eastAsia" w:ascii="Times New Roman" w:hAnsi="Times New Roman"/>
          <w:lang w:bidi="ar"/>
        </w:rPr>
        <w:t>ability (</w:t>
      </w:r>
      <w:r>
        <w:rPr>
          <w:rFonts w:ascii="Symbol" w:hAnsi="Symbol" w:cs="Symbol"/>
          <w:lang w:bidi="ar"/>
        </w:rPr>
        <w:t></w:t>
      </w:r>
      <w:r>
        <w:rPr>
          <w:rFonts w:hint="eastAsia" w:ascii="Times New Roman" w:hAnsi="Times New Roman"/>
          <w:lang w:bidi="ar"/>
        </w:rPr>
        <w:t>)</w:t>
      </w:r>
      <w:r>
        <w:rPr>
          <w:rFonts w:ascii="Times New Roman" w:hAnsi="Times New Roman"/>
          <w:lang w:bidi="ar"/>
        </w:rPr>
        <w:t>, which are defined as follows:</w:t>
      </w:r>
    </w:p>
    <w:p w14:paraId="31771DC3">
      <w:pPr>
        <w:tabs>
          <w:tab w:val="center" w:pos="4515"/>
          <w:tab w:val="right" w:pos="9030"/>
        </w:tabs>
        <w:spacing w:after="312" w:afterLines="100"/>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position w:val="-14"/>
          <w:sz w:val="24"/>
        </w:rPr>
        <w:object>
          <v:shape id="_x0000_i1077" o:spt="75" type="#_x0000_t75" style="height:19.65pt;width:123.9pt;" o:ole="t" filled="f" o:preferrelative="t" stroked="f" coordsize="21600,21600">
            <v:path/>
            <v:fill on="f" focussize="0,0"/>
            <v:stroke on="f" joinstyle="miter"/>
            <v:imagedata r:id="rId109" o:title=""/>
            <o:lock v:ext="edit" aspectratio="t"/>
            <w10:wrap type="none"/>
            <w10:anchorlock/>
          </v:shape>
          <o:OLEObject Type="Embed" ProgID="Equation.DSMT4" ShapeID="_x0000_i1077" DrawAspect="Content" ObjectID="_1468075777" r:id="rId108">
            <o:LockedField>false</o:LockedField>
          </o:OLEObject>
        </w:object>
      </w:r>
      <w:r>
        <w:rPr>
          <w:rFonts w:ascii="Times New Roman" w:hAnsi="Times New Roman" w:eastAsia="宋体"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51</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1FEE7D80">
      <w:pPr>
        <w:tabs>
          <w:tab w:val="center" w:pos="4515"/>
          <w:tab w:val="right" w:pos="9030"/>
        </w:tabs>
        <w:spacing w:after="312" w:afterLines="100"/>
        <w:rPr>
          <w:rFonts w:ascii="Times New Roman" w:hAnsi="Times New Roman" w:cs="Times New Roman"/>
          <w:bCs/>
          <w:sz w:val="24"/>
        </w:rPr>
      </w:pPr>
      <w:r>
        <w:rPr>
          <w:rFonts w:ascii="Times New Roman" w:hAnsi="Times New Roman" w:cs="Times New Roman"/>
          <w:sz w:val="24"/>
        </w:rPr>
        <w:tab/>
      </w:r>
      <w:r>
        <w:rPr>
          <w:rFonts w:ascii="Times New Roman" w:hAnsi="Times New Roman" w:cs="Times New Roman"/>
          <w:position w:val="-14"/>
          <w:sz w:val="24"/>
        </w:rPr>
        <w:object>
          <v:shape id="_x0000_i1078" o:spt="75" type="#_x0000_t75" style="height:19.65pt;width:145.4pt;" o:ole="t" filled="f" o:preferrelative="t" stroked="f" coordsize="21600,21600">
            <v:path/>
            <v:fill on="f" focussize="0,0"/>
            <v:stroke on="f" joinstyle="miter"/>
            <v:imagedata r:id="rId111" o:title=""/>
            <o:lock v:ext="edit" aspectratio="t"/>
            <w10:wrap type="none"/>
            <w10:anchorlock/>
          </v:shape>
          <o:OLEObject Type="Embed" ProgID="Equation.DSMT4" ShapeID="_x0000_i1078" DrawAspect="Content" ObjectID="_1468075778" r:id="rId110">
            <o:LockedField>false</o:LockedField>
          </o:OLEObject>
        </w:object>
      </w:r>
      <w:r>
        <w:rPr>
          <w:rFonts w:ascii="Times New Roman" w:hAnsi="Times New Roman" w:eastAsia="宋体" w:cs="Times New Roman"/>
          <w:sz w:val="24"/>
        </w:rPr>
        <w:tab/>
      </w:r>
      <w:r>
        <w:rPr>
          <w:rFonts w:hint="eastAsia" w:ascii="Times New Roman" w:hAnsi="Times New Roman" w:cs="Times New Roman"/>
          <w:kern w:val="0"/>
          <w:sz w:val="24"/>
          <w:lang w:bidi="ar"/>
        </w:rPr>
        <w:t>(</w:t>
      </w:r>
      <w:r>
        <w:rPr>
          <w:rFonts w:hint="eastAsia" w:ascii="Times New Roman" w:hAnsi="Times New Roman" w:cs="Times New Roman"/>
          <w:kern w:val="0"/>
          <w:sz w:val="24"/>
          <w:lang w:bidi="ar"/>
        </w:rPr>
        <w:fldChar w:fldCharType="begin"/>
      </w:r>
      <w:r>
        <w:rPr>
          <w:rFonts w:hint="eastAsia" w:ascii="Times New Roman" w:hAnsi="Times New Roman" w:cs="Times New Roman"/>
          <w:kern w:val="0"/>
          <w:sz w:val="24"/>
          <w:lang w:bidi="ar"/>
        </w:rPr>
        <w:instrText xml:space="preserve"> SEQ (7- \* ARABIC </w:instrText>
      </w:r>
      <w:r>
        <w:rPr>
          <w:rFonts w:hint="eastAsia" w:ascii="Times New Roman" w:hAnsi="Times New Roman" w:cs="Times New Roman"/>
          <w:kern w:val="0"/>
          <w:sz w:val="24"/>
          <w:lang w:bidi="ar"/>
        </w:rPr>
        <w:fldChar w:fldCharType="separate"/>
      </w:r>
      <w:r>
        <w:rPr>
          <w:rFonts w:hint="eastAsia" w:ascii="Times New Roman" w:hAnsi="Times New Roman" w:cs="Times New Roman"/>
          <w:kern w:val="0"/>
          <w:sz w:val="24"/>
          <w:lang w:bidi="ar"/>
        </w:rPr>
        <w:t>54</w:t>
      </w:r>
      <w:r>
        <w:rPr>
          <w:rFonts w:hint="eastAsia" w:ascii="Times New Roman" w:hAnsi="Times New Roman" w:cs="Times New Roman"/>
          <w:kern w:val="0"/>
          <w:sz w:val="24"/>
          <w:lang w:bidi="ar"/>
        </w:rPr>
        <w:fldChar w:fldCharType="end"/>
      </w:r>
      <w:r>
        <w:rPr>
          <w:rFonts w:hint="eastAsia" w:ascii="Times New Roman" w:hAnsi="Times New Roman" w:cs="Times New Roman"/>
          <w:kern w:val="0"/>
          <w:sz w:val="24"/>
          <w:lang w:bidi="ar"/>
        </w:rPr>
        <w:t>)</w:t>
      </w:r>
    </w:p>
    <w:p w14:paraId="3EA475C0">
      <w:pPr>
        <w:pStyle w:val="5"/>
        <w:widowControl/>
        <w:spacing w:beforeAutospacing="0" w:after="312" w:afterLines="100" w:afterAutospacing="0" w:line="480" w:lineRule="auto"/>
        <w:jc w:val="both"/>
      </w:pPr>
      <w:r>
        <w:br w:type="page"/>
      </w:r>
    </w:p>
    <w:p w14:paraId="5C476EF6">
      <w:pPr>
        <w:pStyle w:val="5"/>
        <w:widowControl/>
        <w:spacing w:beforeAutospacing="0" w:after="312" w:afterLines="100" w:afterAutospacing="0" w:line="480" w:lineRule="auto"/>
        <w:jc w:val="both"/>
        <w:rPr>
          <w:rFonts w:ascii="Times New Roman" w:hAnsi="Times New Roman" w:eastAsia="宋体"/>
          <w:b/>
          <w:bCs/>
        </w:rPr>
      </w:pPr>
      <w:r>
        <w:rPr>
          <w:rFonts w:ascii="Times New Roman" w:hAnsi="Times New Roman" w:eastAsia="sans-serif"/>
          <w:b/>
          <w:bCs/>
          <w:shd w:val="clear" w:color="auto" w:fill="FFFFFF"/>
        </w:rPr>
        <w:t>Supplementary</w:t>
      </w:r>
      <w:r>
        <w:rPr>
          <w:rFonts w:hint="eastAsia" w:ascii="Times New Roman" w:hAnsi="Times New Roman" w:eastAsia="宋体"/>
          <w:b/>
          <w:bCs/>
          <w:shd w:val="clear" w:color="auto" w:fill="FFFFFF"/>
        </w:rPr>
        <w:t xml:space="preserve"> Figures</w:t>
      </w:r>
    </w:p>
    <w:p w14:paraId="735F7C81">
      <w:pPr>
        <w:jc w:val="center"/>
        <w:rPr>
          <w:sz w:val="24"/>
        </w:rPr>
      </w:pPr>
      <w:r>
        <w:rPr>
          <w:sz w:val="24"/>
        </w:rPr>
        <w:drawing>
          <wp:inline distT="0" distB="0" distL="114300" distR="114300">
            <wp:extent cx="5260340" cy="1261745"/>
            <wp:effectExtent l="0" t="0" r="16510" b="14605"/>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112"/>
                    <a:stretch>
                      <a:fillRect/>
                    </a:stretch>
                  </pic:blipFill>
                  <pic:spPr>
                    <a:xfrm>
                      <a:off x="0" y="0"/>
                      <a:ext cx="5260340" cy="1261745"/>
                    </a:xfrm>
                    <a:prstGeom prst="rect">
                      <a:avLst/>
                    </a:prstGeom>
                    <a:noFill/>
                    <a:ln>
                      <a:noFill/>
                    </a:ln>
                  </pic:spPr>
                </pic:pic>
              </a:graphicData>
            </a:graphic>
          </wp:inline>
        </w:drawing>
      </w:r>
    </w:p>
    <w:p w14:paraId="09201711">
      <w:pPr>
        <w:spacing w:after="624" w:afterLines="200"/>
        <w:jc w:val="center"/>
        <w:rPr>
          <w:rFonts w:ascii="Times New Roman" w:hAnsi="Times New Roman" w:cs="Times New Roman"/>
          <w:sz w:val="24"/>
        </w:rPr>
      </w:pPr>
      <w:r>
        <w:rPr>
          <w:rFonts w:ascii="Times New Roman" w:hAnsi="Times New Roman" w:cs="Times New Roman"/>
          <w:b/>
          <w:bCs/>
          <w:sz w:val="24"/>
        </w:rPr>
        <w:t xml:space="preserve">Figure S1 </w:t>
      </w:r>
      <w:r>
        <w:rPr>
          <w:rFonts w:ascii="Times New Roman" w:hAnsi="Times New Roman" w:cs="Times New Roman"/>
          <w:sz w:val="24"/>
        </w:rPr>
        <w:t>Schematic of the gravity-driven fluid switching process</w:t>
      </w:r>
    </w:p>
    <w:p w14:paraId="07B27163">
      <w:pPr>
        <w:jc w:val="center"/>
        <w:rPr>
          <w:sz w:val="24"/>
        </w:rPr>
      </w:pPr>
      <w:r>
        <w:rPr>
          <w:sz w:val="24"/>
        </w:rPr>
        <w:drawing>
          <wp:inline distT="0" distB="0" distL="114300" distR="114300">
            <wp:extent cx="5262880" cy="2328545"/>
            <wp:effectExtent l="0" t="0" r="13970" b="1460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113"/>
                    <a:stretch>
                      <a:fillRect/>
                    </a:stretch>
                  </pic:blipFill>
                  <pic:spPr>
                    <a:xfrm>
                      <a:off x="0" y="0"/>
                      <a:ext cx="5262880" cy="2328545"/>
                    </a:xfrm>
                    <a:prstGeom prst="rect">
                      <a:avLst/>
                    </a:prstGeom>
                    <a:noFill/>
                    <a:ln>
                      <a:noFill/>
                    </a:ln>
                  </pic:spPr>
                </pic:pic>
              </a:graphicData>
            </a:graphic>
          </wp:inline>
        </w:drawing>
      </w:r>
    </w:p>
    <w:p w14:paraId="38842840">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2</w:t>
      </w:r>
      <w:r>
        <w:rPr>
          <w:rFonts w:ascii="Times New Roman" w:hAnsi="Times New Roman" w:cs="Times New Roman"/>
          <w:b/>
          <w:bCs/>
          <w:sz w:val="24"/>
        </w:rPr>
        <w:t xml:space="preserve"> </w:t>
      </w:r>
      <w:r>
        <w:rPr>
          <w:rFonts w:hint="eastAsia" w:ascii="Times New Roman" w:hAnsi="Times New Roman" w:cs="Times New Roman"/>
          <w:sz w:val="24"/>
        </w:rPr>
        <w:t>Photos of the liquid switching process of a JD window sample with 3 mm-thick cavity</w:t>
      </w:r>
    </w:p>
    <w:p w14:paraId="735C6D48">
      <w:pPr>
        <w:jc w:val="center"/>
        <w:rPr>
          <w:sz w:val="24"/>
        </w:rPr>
      </w:pPr>
      <w:r>
        <w:rPr>
          <w:sz w:val="24"/>
        </w:rPr>
        <w:drawing>
          <wp:inline distT="0" distB="0" distL="114300" distR="114300">
            <wp:extent cx="5269865" cy="2235835"/>
            <wp:effectExtent l="0" t="0" r="6985" b="1206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114"/>
                    <a:stretch>
                      <a:fillRect/>
                    </a:stretch>
                  </pic:blipFill>
                  <pic:spPr>
                    <a:xfrm>
                      <a:off x="0" y="0"/>
                      <a:ext cx="5269865" cy="2235835"/>
                    </a:xfrm>
                    <a:prstGeom prst="rect">
                      <a:avLst/>
                    </a:prstGeom>
                    <a:noFill/>
                    <a:ln>
                      <a:noFill/>
                    </a:ln>
                  </pic:spPr>
                </pic:pic>
              </a:graphicData>
            </a:graphic>
          </wp:inline>
        </w:drawing>
      </w:r>
    </w:p>
    <w:p w14:paraId="79806D4B">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3</w:t>
      </w:r>
      <w:r>
        <w:rPr>
          <w:rFonts w:ascii="Times New Roman" w:hAnsi="Times New Roman" w:cs="Times New Roman"/>
          <w:b/>
          <w:bCs/>
          <w:sz w:val="24"/>
        </w:rPr>
        <w:t xml:space="preserve"> </w:t>
      </w:r>
      <w:r>
        <w:rPr>
          <w:rFonts w:hint="eastAsia" w:ascii="Times New Roman" w:hAnsi="Times New Roman" w:cs="Times New Roman"/>
          <w:sz w:val="24"/>
        </w:rPr>
        <w:t>Central cross-section of the CFD simulation of the fluid switching process of a small sized JD window (3 mm-thick cavity)</w:t>
      </w:r>
    </w:p>
    <w:p w14:paraId="66F866AA">
      <w:pPr>
        <w:jc w:val="center"/>
        <w:rPr>
          <w:sz w:val="24"/>
        </w:rPr>
      </w:pPr>
      <w:r>
        <w:rPr>
          <w:sz w:val="24"/>
        </w:rPr>
        <w:drawing>
          <wp:inline distT="0" distB="0" distL="114300" distR="114300">
            <wp:extent cx="5266690" cy="2446655"/>
            <wp:effectExtent l="0" t="0" r="10160" b="1079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115"/>
                    <a:stretch>
                      <a:fillRect/>
                    </a:stretch>
                  </pic:blipFill>
                  <pic:spPr>
                    <a:xfrm>
                      <a:off x="0" y="0"/>
                      <a:ext cx="5266690" cy="2446655"/>
                    </a:xfrm>
                    <a:prstGeom prst="rect">
                      <a:avLst/>
                    </a:prstGeom>
                    <a:noFill/>
                    <a:ln>
                      <a:noFill/>
                    </a:ln>
                  </pic:spPr>
                </pic:pic>
              </a:graphicData>
            </a:graphic>
          </wp:inline>
        </w:drawing>
      </w:r>
    </w:p>
    <w:p w14:paraId="62BAE070">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 xml:space="preserve">4 </w:t>
      </w:r>
      <w:r>
        <w:rPr>
          <w:rFonts w:hint="eastAsia" w:ascii="Times New Roman" w:hAnsi="Times New Roman" w:cs="Times New Roman"/>
          <w:sz w:val="24"/>
        </w:rPr>
        <w:t>Central cross-section of the CFD simulation of the fluid switching process in the real-sized JD window (3 mm-thick cavity)</w:t>
      </w:r>
    </w:p>
    <w:p w14:paraId="7BCA87CF">
      <w:pPr>
        <w:jc w:val="center"/>
        <w:rPr>
          <w:sz w:val="24"/>
        </w:rPr>
      </w:pPr>
      <w:r>
        <w:rPr>
          <w:sz w:val="24"/>
        </w:rPr>
        <w:drawing>
          <wp:inline distT="0" distB="0" distL="114300" distR="114300">
            <wp:extent cx="2912110" cy="2234565"/>
            <wp:effectExtent l="0" t="0" r="2540" b="13335"/>
            <wp:docPr id="58" name="图片 57" descr="time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descr="time consumption"/>
                    <pic:cNvPicPr>
                      <a:picLocks noChangeAspect="1"/>
                    </pic:cNvPicPr>
                  </pic:nvPicPr>
                  <pic:blipFill>
                    <a:blip r:embed="rId116"/>
                    <a:stretch>
                      <a:fillRect/>
                    </a:stretch>
                  </pic:blipFill>
                  <pic:spPr>
                    <a:xfrm>
                      <a:off x="0" y="0"/>
                      <a:ext cx="2912110" cy="2234565"/>
                    </a:xfrm>
                    <a:prstGeom prst="rect">
                      <a:avLst/>
                    </a:prstGeom>
                  </pic:spPr>
                </pic:pic>
              </a:graphicData>
            </a:graphic>
          </wp:inline>
        </w:drawing>
      </w:r>
    </w:p>
    <w:p w14:paraId="6C5F740F">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 xml:space="preserve">5 </w:t>
      </w:r>
      <w:r>
        <w:rPr>
          <w:rFonts w:hint="eastAsia" w:ascii="Times New Roman" w:hAnsi="Times New Roman" w:cs="Times New Roman"/>
          <w:sz w:val="24"/>
        </w:rPr>
        <w:t>Simulated switching speed of the JD window</w:t>
      </w:r>
    </w:p>
    <w:p w14:paraId="72B50539">
      <w:pPr>
        <w:jc w:val="center"/>
        <w:rPr>
          <w:rFonts w:ascii="Times New Roman" w:hAnsi="Times New Roman" w:cs="Times New Roman"/>
          <w:sz w:val="24"/>
        </w:rPr>
      </w:pPr>
      <w:r>
        <w:rPr>
          <w:rFonts w:hint="eastAsia" w:ascii="Times New Roman" w:hAnsi="Times New Roman" w:cs="Times New Roman"/>
          <w:sz w:val="24"/>
        </w:rPr>
        <w:drawing>
          <wp:inline distT="0" distB="0" distL="114300" distR="114300">
            <wp:extent cx="4669790" cy="2882900"/>
            <wp:effectExtent l="0" t="0" r="16510" b="12700"/>
            <wp:docPr id="4" name="图片 4" descr="分子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分子量"/>
                    <pic:cNvPicPr>
                      <a:picLocks noChangeAspect="1"/>
                    </pic:cNvPicPr>
                  </pic:nvPicPr>
                  <pic:blipFill>
                    <a:blip r:embed="rId117"/>
                    <a:srcRect l="5162" t="7857" r="4659" b="7415"/>
                    <a:stretch>
                      <a:fillRect/>
                    </a:stretch>
                  </pic:blipFill>
                  <pic:spPr>
                    <a:xfrm>
                      <a:off x="0" y="0"/>
                      <a:ext cx="4669790" cy="2882900"/>
                    </a:xfrm>
                    <a:prstGeom prst="rect">
                      <a:avLst/>
                    </a:prstGeom>
                  </pic:spPr>
                </pic:pic>
              </a:graphicData>
            </a:graphic>
          </wp:inline>
        </w:drawing>
      </w:r>
    </w:p>
    <w:p w14:paraId="685E401B">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 xml:space="preserve">6 </w:t>
      </w:r>
      <w:r>
        <w:rPr>
          <w:rFonts w:hint="eastAsia" w:ascii="Times New Roman" w:hAnsi="Times New Roman" w:cs="Times New Roman"/>
          <w:sz w:val="24"/>
        </w:rPr>
        <w:t>Spectral transmittance of the LL at different optical thickness</w:t>
      </w:r>
    </w:p>
    <w:p w14:paraId="4AA53A58">
      <w:pPr>
        <w:jc w:val="center"/>
        <w:rPr>
          <w:sz w:val="24"/>
        </w:rPr>
      </w:pPr>
      <w:r>
        <w:rPr>
          <w:rFonts w:hint="eastAsia"/>
          <w:sz w:val="24"/>
        </w:rPr>
        <w:drawing>
          <wp:inline distT="0" distB="0" distL="114300" distR="114300">
            <wp:extent cx="4810760" cy="2863850"/>
            <wp:effectExtent l="0" t="0" r="8890" b="12700"/>
            <wp:docPr id="20" name="图片 20" descr="FT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TIR"/>
                    <pic:cNvPicPr>
                      <a:picLocks noChangeAspect="1"/>
                    </pic:cNvPicPr>
                  </pic:nvPicPr>
                  <pic:blipFill>
                    <a:blip r:embed="rId118"/>
                    <a:srcRect l="4737" t="7865" r="4693" b="7620"/>
                    <a:stretch>
                      <a:fillRect/>
                    </a:stretch>
                  </pic:blipFill>
                  <pic:spPr>
                    <a:xfrm>
                      <a:off x="0" y="0"/>
                      <a:ext cx="4810760" cy="2863850"/>
                    </a:xfrm>
                    <a:prstGeom prst="rect">
                      <a:avLst/>
                    </a:prstGeom>
                  </pic:spPr>
                </pic:pic>
              </a:graphicData>
            </a:graphic>
          </wp:inline>
        </w:drawing>
      </w:r>
    </w:p>
    <w:p w14:paraId="0897ABB7">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 xml:space="preserve">7 </w:t>
      </w:r>
      <w:r>
        <w:rPr>
          <w:rFonts w:hint="eastAsia" w:ascii="Times New Roman" w:hAnsi="Times New Roman" w:cs="Times New Roman"/>
          <w:sz w:val="24"/>
        </w:rPr>
        <w:t>Spectral transmittance of the LL at different optical thickness</w:t>
      </w:r>
    </w:p>
    <w:p w14:paraId="764BF12C">
      <w:pPr>
        <w:jc w:val="center"/>
        <w:rPr>
          <w:sz w:val="24"/>
        </w:rPr>
      </w:pPr>
      <w:r>
        <w:rPr>
          <w:rFonts w:hint="eastAsia"/>
          <w:sz w:val="24"/>
        </w:rPr>
        <w:drawing>
          <wp:inline distT="0" distB="0" distL="114300" distR="114300">
            <wp:extent cx="5269230" cy="1741170"/>
            <wp:effectExtent l="0" t="0" r="7620" b="11430"/>
            <wp:docPr id="38" name="图片 38"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igure 4"/>
                    <pic:cNvPicPr>
                      <a:picLocks noChangeAspect="1"/>
                    </pic:cNvPicPr>
                  </pic:nvPicPr>
                  <pic:blipFill>
                    <a:blip r:embed="rId119"/>
                    <a:stretch>
                      <a:fillRect/>
                    </a:stretch>
                  </pic:blipFill>
                  <pic:spPr>
                    <a:xfrm>
                      <a:off x="0" y="0"/>
                      <a:ext cx="5269230" cy="1741170"/>
                    </a:xfrm>
                    <a:prstGeom prst="rect">
                      <a:avLst/>
                    </a:prstGeom>
                  </pic:spPr>
                </pic:pic>
              </a:graphicData>
            </a:graphic>
          </wp:inline>
        </w:drawing>
      </w:r>
    </w:p>
    <w:p w14:paraId="4EA3994A">
      <w:pPr>
        <w:spacing w:after="624" w:afterLines="200"/>
        <w:jc w:val="center"/>
        <w:rPr>
          <w:sz w:val="24"/>
        </w:rPr>
      </w:pPr>
      <w:r>
        <w:rPr>
          <w:rFonts w:ascii="Times New Roman" w:hAnsi="Times New Roman" w:cs="Times New Roman"/>
          <w:b/>
          <w:bCs/>
          <w:sz w:val="24"/>
        </w:rPr>
        <w:t>Figure S</w:t>
      </w:r>
      <w:r>
        <w:rPr>
          <w:rFonts w:hint="eastAsia" w:ascii="Times New Roman" w:hAnsi="Times New Roman" w:cs="Times New Roman"/>
          <w:b/>
          <w:bCs/>
          <w:sz w:val="24"/>
        </w:rPr>
        <w:t xml:space="preserve">8 </w:t>
      </w:r>
      <w:r>
        <w:rPr>
          <w:rFonts w:hint="eastAsia" w:ascii="Times New Roman" w:hAnsi="Times New Roman" w:cs="Times New Roman"/>
          <w:sz w:val="24"/>
        </w:rPr>
        <w:t>Spectral transmittance of the HL at different optical thickness</w:t>
      </w:r>
    </w:p>
    <w:p w14:paraId="4CE4CDEE">
      <w:pPr>
        <w:jc w:val="center"/>
        <w:rPr>
          <w:sz w:val="24"/>
        </w:rPr>
      </w:pPr>
      <w:r>
        <w:rPr>
          <w:b/>
          <w:bCs/>
          <w:sz w:val="24"/>
        </w:rPr>
        <w:drawing>
          <wp:inline distT="0" distB="0" distL="0" distR="0">
            <wp:extent cx="5039995" cy="2202180"/>
            <wp:effectExtent l="0" t="0" r="8255"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039995" cy="2202180"/>
                    </a:xfrm>
                    <a:prstGeom prst="rect">
                      <a:avLst/>
                    </a:prstGeom>
                  </pic:spPr>
                </pic:pic>
              </a:graphicData>
            </a:graphic>
          </wp:inline>
        </w:drawing>
      </w:r>
    </w:p>
    <w:p w14:paraId="71FCB686">
      <w:pPr>
        <w:spacing w:after="624" w:afterLines="200"/>
        <w:jc w:val="center"/>
        <w:rPr>
          <w:sz w:val="24"/>
        </w:rPr>
      </w:pPr>
      <w:r>
        <w:rPr>
          <w:rFonts w:ascii="Times New Roman" w:hAnsi="Times New Roman" w:cs="Times New Roman"/>
          <w:b/>
          <w:bCs/>
          <w:sz w:val="24"/>
        </w:rPr>
        <w:t>Figure S</w:t>
      </w:r>
      <w:r>
        <w:rPr>
          <w:rFonts w:hint="eastAsia" w:ascii="Times New Roman" w:hAnsi="Times New Roman" w:cs="Times New Roman"/>
          <w:b/>
          <w:bCs/>
          <w:sz w:val="24"/>
        </w:rPr>
        <w:t>9</w:t>
      </w:r>
      <w:r>
        <w:rPr>
          <w:rFonts w:hint="eastAsia" w:ascii="Times New Roman" w:hAnsi="Times New Roman" w:cs="Times New Roman"/>
          <w:sz w:val="24"/>
        </w:rPr>
        <w:t xml:space="preserve"> Photos of the HL with and without polysorbate-80, over a period of 5 months</w:t>
      </w:r>
    </w:p>
    <w:p w14:paraId="21E26186">
      <w:pPr>
        <w:jc w:val="center"/>
        <w:rPr>
          <w:sz w:val="24"/>
        </w:rPr>
      </w:pPr>
      <w:r>
        <w:rPr>
          <w:bCs/>
          <w:sz w:val="24"/>
        </w:rPr>
        <w:drawing>
          <wp:inline distT="0" distB="0" distL="0" distR="0">
            <wp:extent cx="2879725" cy="2040255"/>
            <wp:effectExtent l="0" t="0" r="15875" b="171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21" cstate="print">
                      <a:extLst>
                        <a:ext uri="{28A0092B-C50C-407E-A947-70E740481C1C}">
                          <a14:useLocalDpi xmlns:a14="http://schemas.microsoft.com/office/drawing/2010/main" val="0"/>
                        </a:ext>
                      </a:extLst>
                    </a:blip>
                    <a:srcRect t="-2619"/>
                    <a:stretch>
                      <a:fillRect/>
                    </a:stretch>
                  </pic:blipFill>
                  <pic:spPr>
                    <a:xfrm>
                      <a:off x="0" y="0"/>
                      <a:ext cx="2879725" cy="2040255"/>
                    </a:xfrm>
                    <a:prstGeom prst="rect">
                      <a:avLst/>
                    </a:prstGeom>
                  </pic:spPr>
                </pic:pic>
              </a:graphicData>
            </a:graphic>
          </wp:inline>
        </w:drawing>
      </w:r>
    </w:p>
    <w:p w14:paraId="753ADFF6">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10</w:t>
      </w:r>
      <w:r>
        <w:rPr>
          <w:rFonts w:hint="eastAsia" w:ascii="Times New Roman" w:hAnsi="Times New Roman" w:cs="Times New Roman"/>
          <w:sz w:val="24"/>
        </w:rPr>
        <w:t xml:space="preserve"> Spectral transmittance of the HL over a period of 8 months</w:t>
      </w:r>
    </w:p>
    <w:p w14:paraId="006E700B">
      <w:pPr>
        <w:jc w:val="center"/>
        <w:rPr>
          <w:sz w:val="24"/>
        </w:rPr>
      </w:pPr>
      <w:r>
        <w:rPr>
          <w:sz w:val="24"/>
        </w:rPr>
        <w:drawing>
          <wp:inline distT="0" distB="0" distL="114300" distR="114300">
            <wp:extent cx="2794000" cy="1939290"/>
            <wp:effectExtent l="0" t="0" r="6350" b="3810"/>
            <wp:docPr id="60" name="图片 59" descr="UV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UV 48"/>
                    <pic:cNvPicPr>
                      <a:picLocks noChangeAspect="1"/>
                    </pic:cNvPicPr>
                  </pic:nvPicPr>
                  <pic:blipFill>
                    <a:blip r:embed="rId122"/>
                    <a:stretch>
                      <a:fillRect/>
                    </a:stretch>
                  </pic:blipFill>
                  <pic:spPr>
                    <a:xfrm>
                      <a:off x="0" y="0"/>
                      <a:ext cx="2794000" cy="1939290"/>
                    </a:xfrm>
                    <a:prstGeom prst="rect">
                      <a:avLst/>
                    </a:prstGeom>
                  </pic:spPr>
                </pic:pic>
              </a:graphicData>
            </a:graphic>
          </wp:inline>
        </w:drawing>
      </w:r>
    </w:p>
    <w:p w14:paraId="4B462381">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 xml:space="preserve">11 </w:t>
      </w:r>
      <w:r>
        <w:rPr>
          <w:rFonts w:hint="eastAsia" w:ascii="Times New Roman" w:hAnsi="Times New Roman" w:cs="Times New Roman"/>
          <w:sz w:val="24"/>
        </w:rPr>
        <w:t>Stability test of the HL under 48 hours of strong UV exposure</w:t>
      </w:r>
    </w:p>
    <w:p w14:paraId="5CA70C99">
      <w:pPr>
        <w:jc w:val="center"/>
        <w:rPr>
          <w:sz w:val="24"/>
        </w:rPr>
      </w:pPr>
      <w:r>
        <w:rPr>
          <w:sz w:val="24"/>
        </w:rPr>
        <w:drawing>
          <wp:inline distT="0" distB="0" distL="114300" distR="114300">
            <wp:extent cx="5265420" cy="2346325"/>
            <wp:effectExtent l="0" t="0" r="11430" b="1587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123"/>
                    <a:stretch>
                      <a:fillRect/>
                    </a:stretch>
                  </pic:blipFill>
                  <pic:spPr>
                    <a:xfrm>
                      <a:off x="0" y="0"/>
                      <a:ext cx="5265420" cy="2346325"/>
                    </a:xfrm>
                    <a:prstGeom prst="rect">
                      <a:avLst/>
                    </a:prstGeom>
                    <a:noFill/>
                    <a:ln>
                      <a:noFill/>
                    </a:ln>
                  </pic:spPr>
                </pic:pic>
              </a:graphicData>
            </a:graphic>
          </wp:inline>
        </w:drawing>
      </w:r>
    </w:p>
    <w:p w14:paraId="35194170">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12</w:t>
      </w:r>
      <w:r>
        <w:rPr>
          <w:rFonts w:ascii="Times New Roman" w:hAnsi="Times New Roman" w:cs="Times New Roman"/>
          <w:sz w:val="24"/>
        </w:rPr>
        <w:t xml:space="preserve"> </w:t>
      </w:r>
      <w:r>
        <w:rPr>
          <w:rFonts w:hint="eastAsia" w:ascii="Times New Roman" w:hAnsi="Times New Roman" w:cs="Times New Roman"/>
          <w:sz w:val="24"/>
        </w:rPr>
        <w:t>Schematic of the unit cell in the optical simulation of AgNW/PET film</w:t>
      </w:r>
    </w:p>
    <w:p w14:paraId="28614A16">
      <w:pPr>
        <w:jc w:val="center"/>
        <w:rPr>
          <w:rFonts w:ascii="Times New Roman" w:hAnsi="Times New Roman" w:cs="Times New Roman"/>
          <w:sz w:val="24"/>
        </w:rPr>
      </w:pPr>
      <w:r>
        <w:rPr>
          <w:rFonts w:hint="eastAsia" w:ascii="Times New Roman" w:hAnsi="Times New Roman" w:cs="Times New Roman"/>
          <w:sz w:val="24"/>
        </w:rPr>
        <w:drawing>
          <wp:inline distT="0" distB="0" distL="114300" distR="114300">
            <wp:extent cx="5268595" cy="2127250"/>
            <wp:effectExtent l="0" t="0" r="8255" b="6350"/>
            <wp:docPr id="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1"/>
                    <pic:cNvPicPr>
                      <a:picLocks noChangeAspect="1"/>
                    </pic:cNvPicPr>
                  </pic:nvPicPr>
                  <pic:blipFill>
                    <a:blip r:embed="rId124"/>
                    <a:stretch>
                      <a:fillRect/>
                    </a:stretch>
                  </pic:blipFill>
                  <pic:spPr>
                    <a:xfrm>
                      <a:off x="0" y="0"/>
                      <a:ext cx="5268595" cy="2127250"/>
                    </a:xfrm>
                    <a:prstGeom prst="rect">
                      <a:avLst/>
                    </a:prstGeom>
                  </pic:spPr>
                </pic:pic>
              </a:graphicData>
            </a:graphic>
          </wp:inline>
        </w:drawing>
      </w:r>
    </w:p>
    <w:p w14:paraId="01EA97CB">
      <w:pPr>
        <w:spacing w:after="624" w:afterLines="200"/>
        <w:jc w:val="center"/>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 xml:space="preserve">S13 </w:t>
      </w:r>
      <w:r>
        <w:rPr>
          <w:rFonts w:ascii="Times New Roman" w:hAnsi="Times New Roman" w:cs="Times New Roman"/>
          <w:sz w:val="24"/>
        </w:rPr>
        <w:t>Optical constants of</w:t>
      </w:r>
      <w:r>
        <w:rPr>
          <w:rFonts w:ascii="Times New Roman" w:hAnsi="Times New Roman" w:cs="Times New Roman"/>
          <w:b/>
          <w:bCs/>
          <w:sz w:val="24"/>
        </w:rPr>
        <w:t xml:space="preserve"> </w:t>
      </w:r>
      <w:r>
        <w:rPr>
          <w:rFonts w:ascii="Times New Roman" w:hAnsi="Times New Roman" w:cs="Times New Roman"/>
          <w:sz w:val="24"/>
        </w:rPr>
        <w:t xml:space="preserve">Ag </w:t>
      </w:r>
      <w:r>
        <w:rPr>
          <w:rFonts w:ascii="Times New Roman" w:hAnsi="Times New Roman" w:cs="Times New Roman"/>
          <w:b/>
          <w:bCs/>
          <w:sz w:val="24"/>
        </w:rPr>
        <w:t>(a)</w:t>
      </w:r>
      <w:r>
        <w:rPr>
          <w:rFonts w:hint="eastAsia" w:ascii="Times New Roman" w:hAnsi="Times New Roman" w:cs="Times New Roman"/>
          <w:b/>
          <w:bCs/>
          <w:color w:val="0000FF"/>
          <w:sz w:val="24"/>
        </w:rPr>
        <w:t xml:space="preserve"> </w:t>
      </w:r>
      <w:r>
        <w:rPr>
          <w:rFonts w:hint="eastAsia" w:ascii="Times New Roman" w:hAnsi="Times New Roman" w:cs="Times New Roman"/>
          <w:b/>
          <w:bCs/>
          <w:color w:val="0000FF"/>
          <w:sz w:val="24"/>
        </w:rPr>
        <w:fldChar w:fldCharType="begin"/>
      </w:r>
      <w:r>
        <w:rPr>
          <w:rFonts w:hint="eastAsia" w:ascii="Times New Roman" w:hAnsi="Times New Roman" w:cs="Times New Roman"/>
          <w:b/>
          <w:bCs/>
          <w:color w:val="0000FF"/>
          <w:sz w:val="24"/>
        </w:rPr>
        <w:instrText xml:space="preserve"> ADDIN EN.CITE &lt;EndNote&gt;&lt;Cite&gt;&lt;Author&gt;Ciesielski&lt;/Author&gt;&lt;Year&gt;2017&lt;/Year&gt;&lt;RecNum&gt;1143&lt;/RecNum&gt;&lt;DisplayText&gt;[1]&lt;/DisplayText&gt;&lt;record&gt;&lt;rec-number&gt;1143&lt;/rec-number&gt;&lt;foreign-keys&gt;&lt;key app="EN" db-id="paaztsr04trapte5f9cpv9ss0fav5erzzr9a" timestamp="1757906405"&gt;1143&lt;/key&gt;&lt;/foreign-keys&gt;&lt;ref-type name="Journal Article"&gt;17&lt;/ref-type&gt;&lt;contributors&gt;&lt;authors&gt;&lt;author&gt;Ciesielski, Arkadiusz&lt;/author&gt;&lt;author&gt;Skowronski, Lukasz&lt;/author&gt;&lt;author&gt;Trzcinski, Marek&lt;/author&gt;&lt;author&gt;Szoplik, Tomasz&lt;/author&gt;&lt;/authors&gt;&lt;/contributors&gt;&lt;titles&gt;&lt;title&gt;Controlling the optical parameters of self-assembled silver films with wetting layers and annealing&lt;/title&gt;&lt;secondary-title&gt;Applied Surface Science&lt;/secondary-title&gt;&lt;/titles&gt;&lt;periodical&gt;&lt;full-title&gt;Applied Surface Science&lt;/full-title&gt;&lt;/periodical&gt;&lt;pages&gt;349-356&lt;/pages&gt;&lt;volume&gt;421&lt;/volume&gt;&lt;keywords&gt;&lt;keyword&gt;Silver&lt;/keyword&gt;&lt;keyword&gt;Thin films&lt;/keyword&gt;&lt;keyword&gt;Self-assembly&lt;/keyword&gt;&lt;keyword&gt;Permittivity, ellipsometry&lt;/keyword&gt;&lt;keyword&gt;Percolation&lt;/keyword&gt;&lt;keyword&gt;Wetting layers&lt;/keyword&gt;&lt;keyword&gt;Annealing&lt;/keyword&gt;&lt;keyword&gt;Segregation&lt;/keyword&gt;&lt;/keywords&gt;&lt;dates&gt;&lt;year&gt;2017&lt;/year&gt;&lt;pub-dates&gt;&lt;date&gt;2017/11/01/&lt;/date&gt;&lt;/pub-dates&gt;&lt;/dates&gt;&lt;isbn&gt;0169-4332&lt;/isbn&gt;&lt;urls&gt;&lt;related-urls&gt;&lt;url&gt;https://www.sciencedirect.com/science/article/pii/S0169433217300399&lt;/url&gt;&lt;/related-urls&gt;&lt;/urls&gt;&lt;electronic-resource-num&gt;https://doi.org/10.1016/j.apsusc.2017.01.039&lt;/electronic-resource-num&gt;&lt;/record&gt;&lt;/Cite&gt;&lt;/EndNote&gt;</w:instrText>
      </w:r>
      <w:r>
        <w:rPr>
          <w:rFonts w:hint="eastAsia" w:ascii="Times New Roman" w:hAnsi="Times New Roman" w:cs="Times New Roman"/>
          <w:b/>
          <w:bCs/>
          <w:color w:val="0000FF"/>
          <w:sz w:val="24"/>
        </w:rPr>
        <w:fldChar w:fldCharType="separate"/>
      </w:r>
      <w:r>
        <w:rPr>
          <w:rFonts w:hint="eastAsia" w:ascii="Times New Roman" w:hAnsi="Times New Roman" w:cs="Times New Roman"/>
          <w:b/>
          <w:bCs/>
          <w:color w:val="0000FF"/>
          <w:sz w:val="24"/>
        </w:rPr>
        <w:t>[1]</w:t>
      </w:r>
      <w:r>
        <w:rPr>
          <w:rFonts w:hint="eastAsia" w:ascii="Times New Roman" w:hAnsi="Times New Roman" w:cs="Times New Roman"/>
          <w:b/>
          <w:bCs/>
          <w:color w:val="0000FF"/>
          <w:sz w:val="24"/>
        </w:rPr>
        <w:fldChar w:fldCharType="end"/>
      </w:r>
      <w:r>
        <w:rPr>
          <w:rFonts w:ascii="Times New Roman" w:hAnsi="Times New Roman" w:cs="Times New Roman"/>
          <w:sz w:val="24"/>
        </w:rPr>
        <w:t xml:space="preserve"> and PET </w:t>
      </w:r>
      <w:r>
        <w:rPr>
          <w:rFonts w:ascii="Times New Roman" w:hAnsi="Times New Roman" w:cs="Times New Roman"/>
          <w:b/>
          <w:bCs/>
          <w:sz w:val="24"/>
        </w:rPr>
        <w:t>(b)</w:t>
      </w:r>
      <w:r>
        <w:rPr>
          <w:rFonts w:hint="eastAsia" w:ascii="Times New Roman" w:hAnsi="Times New Roman" w:cs="Times New Roman"/>
          <w:b/>
          <w:bCs/>
          <w:color w:val="0000FF"/>
          <w:sz w:val="24"/>
        </w:rPr>
        <w:t xml:space="preserve"> </w:t>
      </w:r>
      <w:r>
        <w:rPr>
          <w:rFonts w:hint="eastAsia" w:ascii="Times New Roman" w:hAnsi="Times New Roman" w:cs="Times New Roman"/>
          <w:b/>
          <w:bCs/>
          <w:color w:val="0000FF"/>
          <w:sz w:val="24"/>
        </w:rPr>
        <w:fldChar w:fldCharType="begin"/>
      </w:r>
      <w:r>
        <w:rPr>
          <w:rFonts w:hint="eastAsia" w:ascii="Times New Roman" w:hAnsi="Times New Roman" w:cs="Times New Roman"/>
          <w:b/>
          <w:bCs/>
          <w:color w:val="0000FF"/>
          <w:sz w:val="24"/>
        </w:rPr>
        <w:instrText xml:space="preserve"> ADDIN EN.CITE &lt;EndNote&gt;&lt;Cite&gt;&lt;Author&gt;Zhang&lt;/Author&gt;&lt;Year&gt;2020&lt;/Year&gt;&lt;RecNum&gt;1144&lt;/RecNum&gt;&lt;DisplayText&gt;[2]&lt;/DisplayText&gt;&lt;record&gt;&lt;rec-number&gt;1144&lt;/rec-number&gt;&lt;foreign-keys&gt;&lt;key app="EN" db-id="paaztsr04trapte5f9cpv9ss0fav5erzzr9a" timestamp="1757906514"&gt;1144&lt;/key&gt;&lt;/foreign-keys&gt;&lt;ref-type name="Journal Article"&gt;17&lt;/ref-type&gt;&lt;contributors&gt;&lt;authors&gt;&lt;author&gt;Zhang, Xiaoning&lt;/author&gt;&lt;author&gt;Qiu, Jun&lt;/author&gt;&lt;author&gt;Li, Xingcan&lt;/author&gt;&lt;author&gt;Zhao, Junming&lt;/author&gt;&lt;author&gt;Liu, Linhua&lt;/author&gt;&lt;/authors&gt;&lt;/contributors&gt;&lt;titles&gt;&lt;title&gt;Complex refractive indices measurements of polymers in visible and near-infrared bands&lt;/title&gt;&lt;secondary-title&gt;Applied optics&lt;/secondary-title&gt;&lt;/titles&gt;&lt;periodical&gt;&lt;full-title&gt;Applied Optics&lt;/full-title&gt;&lt;abbr-1&gt;Appl. Opt.&lt;/abbr-1&gt;&lt;/periodical&gt;&lt;pages&gt;2337-2344&lt;/pages&gt;&lt;volume&gt;59&lt;/volume&gt;&lt;number&gt;8&lt;/number&gt;&lt;dates&gt;&lt;year&gt;2020&lt;/year&gt;&lt;/dates&gt;&lt;isbn&gt;1559-128X&lt;/isbn&gt;&lt;urls&gt;&lt;/urls&gt;&lt;/record&gt;&lt;/Cite&gt;&lt;/EndNote&gt;</w:instrText>
      </w:r>
      <w:r>
        <w:rPr>
          <w:rFonts w:hint="eastAsia" w:ascii="Times New Roman" w:hAnsi="Times New Roman" w:cs="Times New Roman"/>
          <w:b/>
          <w:bCs/>
          <w:color w:val="0000FF"/>
          <w:sz w:val="24"/>
        </w:rPr>
        <w:fldChar w:fldCharType="separate"/>
      </w:r>
      <w:r>
        <w:rPr>
          <w:rFonts w:hint="eastAsia" w:ascii="Times New Roman" w:hAnsi="Times New Roman" w:cs="Times New Roman"/>
          <w:b/>
          <w:bCs/>
          <w:color w:val="0000FF"/>
          <w:sz w:val="24"/>
        </w:rPr>
        <w:t>[2]</w:t>
      </w:r>
      <w:r>
        <w:rPr>
          <w:rFonts w:hint="eastAsia" w:ascii="Times New Roman" w:hAnsi="Times New Roman" w:cs="Times New Roman"/>
          <w:b/>
          <w:bCs/>
          <w:color w:val="0000FF"/>
          <w:sz w:val="24"/>
        </w:rPr>
        <w:fldChar w:fldCharType="end"/>
      </w:r>
    </w:p>
    <w:p w14:paraId="4378BE39">
      <w:pPr>
        <w:jc w:val="center"/>
        <w:rPr>
          <w:sz w:val="24"/>
        </w:rPr>
      </w:pPr>
      <w:r>
        <w:rPr>
          <w:sz w:val="24"/>
        </w:rPr>
        <w:drawing>
          <wp:inline distT="0" distB="0" distL="114300" distR="114300">
            <wp:extent cx="5602605" cy="2369820"/>
            <wp:effectExtent l="0" t="0" r="17145" b="1143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25"/>
                    <a:srcRect l="6542" t="16447" r="2494" b="12296"/>
                    <a:stretch>
                      <a:fillRect/>
                    </a:stretch>
                  </pic:blipFill>
                  <pic:spPr>
                    <a:xfrm>
                      <a:off x="0" y="0"/>
                      <a:ext cx="5602605" cy="2369820"/>
                    </a:xfrm>
                    <a:prstGeom prst="rect">
                      <a:avLst/>
                    </a:prstGeom>
                    <a:noFill/>
                    <a:ln>
                      <a:noFill/>
                    </a:ln>
                  </pic:spPr>
                </pic:pic>
              </a:graphicData>
            </a:graphic>
          </wp:inline>
        </w:drawing>
      </w:r>
    </w:p>
    <w:p w14:paraId="603D0328">
      <w:pPr>
        <w:spacing w:after="624" w:afterLines="200"/>
        <w:jc w:val="center"/>
        <w:rPr>
          <w:rFonts w:ascii="Times New Roman" w:hAnsi="Times New Roman" w:cs="Times New Roman"/>
          <w:sz w:val="24"/>
        </w:rPr>
      </w:pPr>
      <w:r>
        <w:rPr>
          <w:rFonts w:ascii="Times New Roman" w:hAnsi="Times New Roman" w:cs="Times New Roman"/>
          <w:b/>
          <w:bCs/>
          <w:sz w:val="24"/>
        </w:rPr>
        <w:t>Figure S1</w:t>
      </w:r>
      <w:r>
        <w:rPr>
          <w:rFonts w:hint="eastAsia" w:ascii="Times New Roman" w:hAnsi="Times New Roman" w:cs="Times New Roman"/>
          <w:b/>
          <w:bCs/>
          <w:sz w:val="24"/>
        </w:rPr>
        <w:t xml:space="preserve">4 </w:t>
      </w:r>
      <w:r>
        <w:rPr>
          <w:rFonts w:ascii="Times New Roman" w:hAnsi="Times New Roman" w:cs="Times New Roman"/>
          <w:sz w:val="24"/>
        </w:rPr>
        <w:t>Surface electric field distribution of the AgNW/PET film at the height of</w:t>
      </w:r>
      <w:r>
        <w:rPr>
          <w:rFonts w:ascii="Times New Roman" w:hAnsi="Times New Roman" w:cs="Times New Roman"/>
          <w:b/>
          <w:bCs/>
          <w:i/>
          <w:iCs/>
          <w:sz w:val="24"/>
        </w:rPr>
        <w:t xml:space="preserve"> d</w:t>
      </w:r>
    </w:p>
    <w:p w14:paraId="0983C128">
      <w:pPr>
        <w:jc w:val="center"/>
        <w:rPr>
          <w:sz w:val="24"/>
        </w:rPr>
      </w:pPr>
      <w:r>
        <w:rPr>
          <w:sz w:val="24"/>
        </w:rPr>
        <w:drawing>
          <wp:inline distT="0" distB="0" distL="114300" distR="114300">
            <wp:extent cx="3429000" cy="2277745"/>
            <wp:effectExtent l="0" t="0" r="0" b="8255"/>
            <wp:docPr id="2" name="图片 1" descr="d=20 w=100 different s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d=20 w=100 different sita"/>
                    <pic:cNvPicPr>
                      <a:picLocks noChangeAspect="1"/>
                    </pic:cNvPicPr>
                  </pic:nvPicPr>
                  <pic:blipFill>
                    <a:blip r:embed="rId126"/>
                    <a:srcRect l="15953" t="11037" r="8611" b="23546"/>
                    <a:stretch>
                      <a:fillRect/>
                    </a:stretch>
                  </pic:blipFill>
                  <pic:spPr>
                    <a:xfrm>
                      <a:off x="0" y="0"/>
                      <a:ext cx="3429000" cy="2277745"/>
                    </a:xfrm>
                    <a:prstGeom prst="rect">
                      <a:avLst/>
                    </a:prstGeom>
                  </pic:spPr>
                </pic:pic>
              </a:graphicData>
            </a:graphic>
          </wp:inline>
        </w:drawing>
      </w:r>
    </w:p>
    <w:p w14:paraId="663F518B">
      <w:pPr>
        <w:spacing w:after="624" w:afterLines="200"/>
        <w:jc w:val="center"/>
        <w:rPr>
          <w:sz w:val="24"/>
        </w:rPr>
      </w:pPr>
      <w:r>
        <w:rPr>
          <w:rFonts w:ascii="Times New Roman" w:hAnsi="Times New Roman" w:cs="Times New Roman"/>
          <w:b/>
          <w:bCs/>
          <w:sz w:val="24"/>
        </w:rPr>
        <w:t>Figure S</w:t>
      </w:r>
      <w:r>
        <w:rPr>
          <w:rFonts w:hint="eastAsia" w:ascii="Times New Roman" w:hAnsi="Times New Roman" w:cs="Times New Roman"/>
          <w:b/>
          <w:bCs/>
          <w:sz w:val="24"/>
        </w:rPr>
        <w:t xml:space="preserve">15 </w:t>
      </w:r>
      <w:r>
        <w:rPr>
          <w:rFonts w:ascii="Times New Roman" w:hAnsi="Times New Roman" w:cs="Times New Roman"/>
          <w:sz w:val="24"/>
        </w:rPr>
        <w:t>Emissivity of AgNW/PET surface with different ξ angles</w:t>
      </w:r>
    </w:p>
    <w:p w14:paraId="430815D2">
      <w:pPr>
        <w:jc w:val="center"/>
        <w:rPr>
          <w:sz w:val="24"/>
        </w:rPr>
      </w:pPr>
      <w:r>
        <w:rPr>
          <w:sz w:val="24"/>
        </w:rPr>
        <w:drawing>
          <wp:inline distT="0" distB="0" distL="114300" distR="114300">
            <wp:extent cx="5267325" cy="1819910"/>
            <wp:effectExtent l="0" t="0" r="9525" b="8890"/>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127"/>
                    <a:stretch>
                      <a:fillRect/>
                    </a:stretch>
                  </pic:blipFill>
                  <pic:spPr>
                    <a:xfrm>
                      <a:off x="0" y="0"/>
                      <a:ext cx="5267325" cy="1819910"/>
                    </a:xfrm>
                    <a:prstGeom prst="rect">
                      <a:avLst/>
                    </a:prstGeom>
                    <a:noFill/>
                    <a:ln>
                      <a:noFill/>
                    </a:ln>
                  </pic:spPr>
                </pic:pic>
              </a:graphicData>
            </a:graphic>
          </wp:inline>
        </w:drawing>
      </w:r>
    </w:p>
    <w:p w14:paraId="6817C3BA">
      <w:pPr>
        <w:spacing w:after="624" w:afterLines="200"/>
        <w:jc w:val="center"/>
        <w:rPr>
          <w:sz w:val="24"/>
        </w:rPr>
      </w:pPr>
      <w:r>
        <w:rPr>
          <w:rFonts w:ascii="Times New Roman" w:hAnsi="Times New Roman" w:cs="Times New Roman"/>
          <w:b/>
          <w:bCs/>
          <w:sz w:val="24"/>
        </w:rPr>
        <w:t>Figure S</w:t>
      </w:r>
      <w:r>
        <w:rPr>
          <w:rFonts w:hint="eastAsia" w:ascii="Times New Roman" w:hAnsi="Times New Roman" w:cs="Times New Roman"/>
          <w:b/>
          <w:bCs/>
          <w:sz w:val="24"/>
        </w:rPr>
        <w:t>16</w:t>
      </w:r>
      <w:r>
        <w:rPr>
          <w:rFonts w:ascii="Times New Roman" w:hAnsi="Times New Roman" w:cs="Times New Roman"/>
          <w:sz w:val="24"/>
        </w:rPr>
        <w:t xml:space="preserve"> Emissivity of AgNW/PET film with different diameter (a) and inter-spacing (b) of AgNW</w:t>
      </w:r>
    </w:p>
    <w:p w14:paraId="2ADE8BCD">
      <w:pPr>
        <w:jc w:val="center"/>
        <w:rPr>
          <w:sz w:val="24"/>
        </w:rPr>
      </w:pPr>
      <w:r>
        <w:rPr>
          <w:sz w:val="24"/>
        </w:rPr>
        <w:drawing>
          <wp:inline distT="0" distB="0" distL="114300" distR="114300">
            <wp:extent cx="3890645" cy="1810385"/>
            <wp:effectExtent l="0" t="0" r="14605" b="18415"/>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128"/>
                    <a:stretch>
                      <a:fillRect/>
                    </a:stretch>
                  </pic:blipFill>
                  <pic:spPr>
                    <a:xfrm>
                      <a:off x="0" y="0"/>
                      <a:ext cx="3890645" cy="1810385"/>
                    </a:xfrm>
                    <a:prstGeom prst="rect">
                      <a:avLst/>
                    </a:prstGeom>
                    <a:noFill/>
                    <a:ln>
                      <a:noFill/>
                    </a:ln>
                  </pic:spPr>
                </pic:pic>
              </a:graphicData>
            </a:graphic>
          </wp:inline>
        </w:drawing>
      </w:r>
    </w:p>
    <w:p w14:paraId="796D8863">
      <w:pPr>
        <w:spacing w:after="936" w:afterLines="300"/>
        <w:jc w:val="center"/>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 xml:space="preserve">S17 </w:t>
      </w:r>
      <w:r>
        <w:rPr>
          <w:rFonts w:ascii="Times New Roman" w:hAnsi="Times New Roman" w:cs="Times New Roman"/>
          <w:sz w:val="24"/>
        </w:rPr>
        <w:t>Emissivity of AgNW/PET film with different emitting angles</w:t>
      </w:r>
    </w:p>
    <w:p w14:paraId="4836F8C2">
      <w:pPr>
        <w:jc w:val="center"/>
        <w:rPr>
          <w:rFonts w:ascii="Times New Roman" w:hAnsi="Times New Roman" w:cs="Times New Roman"/>
          <w:sz w:val="24"/>
        </w:rPr>
      </w:pPr>
      <w:r>
        <w:rPr>
          <w:rFonts w:ascii="Times New Roman" w:hAnsi="Times New Roman" w:cs="Times New Roman"/>
          <w:sz w:val="24"/>
        </w:rPr>
        <w:drawing>
          <wp:inline distT="0" distB="0" distL="114300" distR="114300">
            <wp:extent cx="5272405" cy="1913890"/>
            <wp:effectExtent l="0" t="0" r="4445" b="10160"/>
            <wp:docPr id="5"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
                    <pic:cNvPicPr>
                      <a:picLocks noChangeAspect="1"/>
                    </pic:cNvPicPr>
                  </pic:nvPicPr>
                  <pic:blipFill>
                    <a:blip r:embed="rId129"/>
                    <a:stretch>
                      <a:fillRect/>
                    </a:stretch>
                  </pic:blipFill>
                  <pic:spPr>
                    <a:xfrm>
                      <a:off x="0" y="0"/>
                      <a:ext cx="5272405" cy="1913890"/>
                    </a:xfrm>
                    <a:prstGeom prst="rect">
                      <a:avLst/>
                    </a:prstGeom>
                  </pic:spPr>
                </pic:pic>
              </a:graphicData>
            </a:graphic>
          </wp:inline>
        </w:drawing>
      </w:r>
    </w:p>
    <w:p w14:paraId="5D086064">
      <w:pPr>
        <w:spacing w:after="936" w:afterLines="300"/>
        <w:jc w:val="center"/>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S18</w:t>
      </w:r>
      <w:r>
        <w:rPr>
          <w:rFonts w:ascii="Times New Roman" w:hAnsi="Times New Roman" w:cs="Times New Roman"/>
          <w:sz w:val="24"/>
        </w:rPr>
        <w:t xml:space="preserve"> </w:t>
      </w:r>
      <w:r>
        <w:rPr>
          <w:rFonts w:hint="eastAsia" w:ascii="Times New Roman" w:hAnsi="Times New Roman" w:cs="Times New Roman"/>
          <w:sz w:val="24"/>
        </w:rPr>
        <w:t>Spectral transmittance</w:t>
      </w:r>
      <w:r>
        <w:rPr>
          <w:rFonts w:ascii="Times New Roman" w:hAnsi="Times New Roman" w:cs="Times New Roman"/>
          <w:sz w:val="24"/>
        </w:rPr>
        <w:t xml:space="preserve"> of AgNW/PET film with different</w:t>
      </w:r>
      <w:r>
        <w:rPr>
          <w:rFonts w:hint="eastAsia" w:ascii="Times New Roman" w:hAnsi="Times New Roman" w:cs="Times New Roman"/>
          <w:sz w:val="24"/>
        </w:rPr>
        <w:t xml:space="preserve"> angles</w:t>
      </w:r>
    </w:p>
    <w:p w14:paraId="56045EC6">
      <w:pPr>
        <w:jc w:val="center"/>
        <w:rPr>
          <w:rFonts w:ascii="Times New Roman" w:hAnsi="Times New Roman" w:cs="Times New Roman"/>
          <w:sz w:val="24"/>
        </w:rPr>
      </w:pPr>
      <w:r>
        <w:rPr>
          <w:sz w:val="24"/>
        </w:rPr>
        <w:drawing>
          <wp:inline distT="0" distB="0" distL="114300" distR="114300">
            <wp:extent cx="5422265" cy="2301240"/>
            <wp:effectExtent l="0" t="0" r="6985" b="381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130"/>
                    <a:stretch>
                      <a:fillRect/>
                    </a:stretch>
                  </pic:blipFill>
                  <pic:spPr>
                    <a:xfrm>
                      <a:off x="0" y="0"/>
                      <a:ext cx="5422265" cy="2301240"/>
                    </a:xfrm>
                    <a:prstGeom prst="rect">
                      <a:avLst/>
                    </a:prstGeom>
                    <a:noFill/>
                    <a:ln>
                      <a:noFill/>
                    </a:ln>
                  </pic:spPr>
                </pic:pic>
              </a:graphicData>
            </a:graphic>
          </wp:inline>
        </w:drawing>
      </w:r>
    </w:p>
    <w:p w14:paraId="67C9AAB2">
      <w:pPr>
        <w:spacing w:after="936" w:afterLines="300"/>
        <w:jc w:val="center"/>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S19</w:t>
      </w:r>
      <w:r>
        <w:rPr>
          <w:rFonts w:ascii="Times New Roman" w:hAnsi="Times New Roman" w:cs="Times New Roman"/>
          <w:sz w:val="24"/>
        </w:rPr>
        <w:t xml:space="preserve"> </w:t>
      </w:r>
      <w:r>
        <w:rPr>
          <w:rFonts w:hint="eastAsia" w:ascii="Times New Roman" w:hAnsi="Times New Roman" w:cs="Times New Roman"/>
          <w:sz w:val="24"/>
        </w:rPr>
        <w:t xml:space="preserve">Comparison of the tested and simulated transmittance </w:t>
      </w:r>
      <w:r>
        <w:rPr>
          <w:rFonts w:hint="eastAsia" w:ascii="Times New Roman" w:hAnsi="Times New Roman" w:cs="Times New Roman"/>
          <w:b/>
          <w:bCs/>
          <w:sz w:val="24"/>
        </w:rPr>
        <w:t>(a)</w:t>
      </w:r>
      <w:r>
        <w:rPr>
          <w:rFonts w:hint="eastAsia" w:ascii="Times New Roman" w:hAnsi="Times New Roman" w:cs="Times New Roman"/>
          <w:sz w:val="24"/>
        </w:rPr>
        <w:t xml:space="preserve"> and emissivity </w:t>
      </w:r>
      <w:r>
        <w:rPr>
          <w:rFonts w:hint="eastAsia" w:ascii="Times New Roman" w:hAnsi="Times New Roman" w:cs="Times New Roman"/>
          <w:b/>
          <w:bCs/>
          <w:sz w:val="24"/>
        </w:rPr>
        <w:t>(b)</w:t>
      </w:r>
      <w:r>
        <w:rPr>
          <w:rFonts w:hint="eastAsia" w:ascii="Times New Roman" w:hAnsi="Times New Roman" w:cs="Times New Roman"/>
          <w:sz w:val="24"/>
        </w:rPr>
        <w:t xml:space="preserve"> of the 7.5 </w:t>
      </w:r>
      <w:r>
        <w:rPr>
          <w:rFonts w:ascii="Times New Roman" w:hAnsi="Times New Roman" w:cs="Times New Roman"/>
          <w:sz w:val="24"/>
        </w:rPr>
        <w:t>Ω</w:t>
      </w:r>
      <w:r>
        <w:rPr>
          <w:rFonts w:hint="eastAsia" w:ascii="Times New Roman" w:hAnsi="Times New Roman" w:cs="Times New Roman"/>
          <w:sz w:val="24"/>
        </w:rPr>
        <w:t xml:space="preserve"> AgNW/PET film</w:t>
      </w:r>
    </w:p>
    <w:p w14:paraId="15348DD9">
      <w:pPr>
        <w:jc w:val="center"/>
        <w:rPr>
          <w:sz w:val="24"/>
        </w:rPr>
      </w:pPr>
      <w:r>
        <w:rPr>
          <w:sz w:val="24"/>
        </w:rPr>
        <w:drawing>
          <wp:inline distT="0" distB="0" distL="114300" distR="114300">
            <wp:extent cx="3401060" cy="2799080"/>
            <wp:effectExtent l="0" t="0" r="8890" b="1270"/>
            <wp:docPr id="6" name="图片 1" descr="n k pd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n k pdms"/>
                    <pic:cNvPicPr>
                      <a:picLocks noChangeAspect="1"/>
                    </pic:cNvPicPr>
                  </pic:nvPicPr>
                  <pic:blipFill>
                    <a:blip r:embed="rId131"/>
                    <a:srcRect l="9143" t="9352" r="12406" b="6389"/>
                    <a:stretch>
                      <a:fillRect/>
                    </a:stretch>
                  </pic:blipFill>
                  <pic:spPr>
                    <a:xfrm>
                      <a:off x="0" y="0"/>
                      <a:ext cx="3401060" cy="2799080"/>
                    </a:xfrm>
                    <a:prstGeom prst="rect">
                      <a:avLst/>
                    </a:prstGeom>
                  </pic:spPr>
                </pic:pic>
              </a:graphicData>
            </a:graphic>
          </wp:inline>
        </w:drawing>
      </w:r>
    </w:p>
    <w:p w14:paraId="5F36FED1">
      <w:pPr>
        <w:spacing w:after="936" w:afterLines="300"/>
        <w:jc w:val="center"/>
        <w:rPr>
          <w:rFonts w:ascii="Times New Roman" w:hAnsi="Times New Roman" w:cs="Times New Roman"/>
          <w:b/>
          <w:bCs/>
          <w:color w:val="0000FF"/>
          <w:sz w:val="24"/>
        </w:rPr>
      </w:pPr>
      <w:r>
        <w:rPr>
          <w:rFonts w:ascii="Times New Roman" w:hAnsi="Times New Roman" w:cs="Times New Roman"/>
          <w:b/>
          <w:bCs/>
          <w:sz w:val="24"/>
        </w:rPr>
        <w:t>Figure S</w:t>
      </w:r>
      <w:r>
        <w:rPr>
          <w:rFonts w:hint="eastAsia" w:ascii="Times New Roman" w:hAnsi="Times New Roman" w:cs="Times New Roman"/>
          <w:b/>
          <w:bCs/>
          <w:sz w:val="24"/>
        </w:rPr>
        <w:t xml:space="preserve">20 </w:t>
      </w:r>
      <w:r>
        <w:rPr>
          <w:rFonts w:hint="eastAsia" w:ascii="Times New Roman" w:hAnsi="Times New Roman" w:cs="Times New Roman"/>
          <w:sz w:val="24"/>
        </w:rPr>
        <w:t>Optical constants of PDMS</w:t>
      </w:r>
      <w:r>
        <w:rPr>
          <w:rFonts w:hint="eastAsia" w:ascii="Times New Roman" w:hAnsi="Times New Roman" w:cs="Times New Roman"/>
          <w:b/>
          <w:bCs/>
          <w:color w:val="0000FF"/>
          <w:sz w:val="24"/>
        </w:rPr>
        <w:t xml:space="preserve"> </w:t>
      </w:r>
      <w:r>
        <w:rPr>
          <w:rFonts w:hint="eastAsia" w:ascii="Times New Roman" w:hAnsi="Times New Roman" w:cs="Times New Roman"/>
          <w:b/>
          <w:bCs/>
          <w:color w:val="0000FF"/>
          <w:sz w:val="24"/>
        </w:rPr>
        <w:fldChar w:fldCharType="begin"/>
      </w:r>
      <w:r>
        <w:rPr>
          <w:rFonts w:hint="eastAsia" w:ascii="Times New Roman" w:hAnsi="Times New Roman" w:cs="Times New Roman"/>
          <w:b/>
          <w:bCs/>
          <w:color w:val="0000FF"/>
          <w:sz w:val="24"/>
        </w:rPr>
        <w:instrText xml:space="preserve"> ADDIN EN.CITE &lt;EndNote&gt;&lt;Cite&gt;&lt;Author&gt;Zhang&lt;/Author&gt;&lt;Year&gt;2020&lt;/Year&gt;&lt;RecNum&gt;1144&lt;/RecNum&gt;&lt;DisplayText&gt;[2]&lt;/DisplayText&gt;&lt;record&gt;&lt;rec-number&gt;1144&lt;/rec-number&gt;&lt;foreign-keys&gt;&lt;key app="EN" db-id="paaztsr04trapte5f9cpv9ss0fav5erzzr9a" timestamp="1757906514"&gt;1144&lt;/key&gt;&lt;/foreign-keys&gt;&lt;ref-type name="Journal Article"&gt;17&lt;/ref-type&gt;&lt;contributors&gt;&lt;authors&gt;&lt;author&gt;Zhang, Xiaoning&lt;/author&gt;&lt;author&gt;Qiu, Jun&lt;/author&gt;&lt;author&gt;Li, Xingcan&lt;/author&gt;&lt;author&gt;Zhao, Junming&lt;/author&gt;&lt;author&gt;Liu, Linhua&lt;/author&gt;&lt;/authors&gt;&lt;/contributors&gt;&lt;titles&gt;&lt;title&gt;Complex refractive indices measurements of polymers in visible and near-infrared bands&lt;/title&gt;&lt;secondary-title&gt;Applied optics&lt;/secondary-title&gt;&lt;/titles&gt;&lt;periodical&gt;&lt;full-title&gt;Applied Optics&lt;/full-title&gt;&lt;abbr-1&gt;Appl. Opt.&lt;/abbr-1&gt;&lt;/periodical&gt;&lt;pages&gt;2337-2344&lt;/pages&gt;&lt;volume&gt;59&lt;/volume&gt;&lt;number&gt;8&lt;/number&gt;&lt;dates&gt;&lt;year&gt;2020&lt;/year&gt;&lt;/dates&gt;&lt;isbn&gt;1559-128X&lt;/isbn&gt;&lt;urls&gt;&lt;/urls&gt;&lt;/record&gt;&lt;/Cite&gt;&lt;/EndNote&gt;</w:instrText>
      </w:r>
      <w:r>
        <w:rPr>
          <w:rFonts w:hint="eastAsia" w:ascii="Times New Roman" w:hAnsi="Times New Roman" w:cs="Times New Roman"/>
          <w:b/>
          <w:bCs/>
          <w:color w:val="0000FF"/>
          <w:sz w:val="24"/>
        </w:rPr>
        <w:fldChar w:fldCharType="separate"/>
      </w:r>
      <w:r>
        <w:rPr>
          <w:rFonts w:hint="eastAsia" w:ascii="Times New Roman" w:hAnsi="Times New Roman" w:cs="Times New Roman"/>
          <w:b/>
          <w:bCs/>
          <w:color w:val="0000FF"/>
          <w:sz w:val="24"/>
        </w:rPr>
        <w:t>[2]</w:t>
      </w:r>
      <w:r>
        <w:rPr>
          <w:rFonts w:hint="eastAsia" w:ascii="Times New Roman" w:hAnsi="Times New Roman" w:cs="Times New Roman"/>
          <w:b/>
          <w:bCs/>
          <w:color w:val="0000FF"/>
          <w:sz w:val="24"/>
        </w:rPr>
        <w:fldChar w:fldCharType="end"/>
      </w:r>
    </w:p>
    <w:p w14:paraId="048336F6">
      <w:pPr>
        <w:jc w:val="center"/>
        <w:rPr>
          <w:rFonts w:ascii="Times New Roman" w:hAnsi="Times New Roman" w:cs="Times New Roman"/>
          <w:sz w:val="24"/>
        </w:rPr>
      </w:pPr>
      <w:r>
        <w:rPr>
          <w:rFonts w:hint="eastAsia" w:ascii="Times New Roman" w:hAnsi="Times New Roman" w:eastAsia="宋体" w:cs="Times New Roman"/>
          <w:bCs/>
          <w:sz w:val="24"/>
        </w:rPr>
        <w:drawing>
          <wp:inline distT="0" distB="0" distL="114300" distR="114300">
            <wp:extent cx="3333750" cy="2341880"/>
            <wp:effectExtent l="0" t="0" r="0" b="1270"/>
            <wp:docPr id="1" name="图片 1" descr="PDMS emissitivy vali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PDMS emissitivy validation"/>
                    <pic:cNvPicPr>
                      <a:picLocks noChangeAspect="1"/>
                    </pic:cNvPicPr>
                  </pic:nvPicPr>
                  <pic:blipFill>
                    <a:blip r:embed="rId132"/>
                    <a:srcRect l="4691" t="9516" r="9709" b="4429"/>
                    <a:stretch>
                      <a:fillRect/>
                    </a:stretch>
                  </pic:blipFill>
                  <pic:spPr>
                    <a:xfrm>
                      <a:off x="0" y="0"/>
                      <a:ext cx="3333750" cy="2341880"/>
                    </a:xfrm>
                    <a:prstGeom prst="rect">
                      <a:avLst/>
                    </a:prstGeom>
                  </pic:spPr>
                </pic:pic>
              </a:graphicData>
            </a:graphic>
          </wp:inline>
        </w:drawing>
      </w:r>
    </w:p>
    <w:p w14:paraId="2D94942C">
      <w:pPr>
        <w:spacing w:after="936" w:afterLines="300"/>
        <w:jc w:val="center"/>
        <w:rPr>
          <w:rFonts w:ascii="Times New Roman" w:hAnsi="Times New Roman" w:cs="Times New Roman"/>
          <w:i/>
          <w:iCs/>
          <w:sz w:val="24"/>
        </w:rPr>
      </w:pPr>
      <w:r>
        <w:rPr>
          <w:rFonts w:ascii="Times New Roman" w:hAnsi="Times New Roman" w:cs="Times New Roman"/>
          <w:b/>
          <w:bCs/>
          <w:sz w:val="24"/>
        </w:rPr>
        <w:t>Figure S</w:t>
      </w:r>
      <w:r>
        <w:rPr>
          <w:rFonts w:hint="eastAsia" w:ascii="Times New Roman" w:hAnsi="Times New Roman" w:cs="Times New Roman"/>
          <w:b/>
          <w:bCs/>
          <w:sz w:val="24"/>
        </w:rPr>
        <w:t>21</w:t>
      </w:r>
      <w:r>
        <w:rPr>
          <w:rFonts w:hint="eastAsia" w:ascii="Times New Roman" w:hAnsi="Times New Roman" w:cs="Times New Roman"/>
          <w:b/>
          <w:bCs/>
          <w:i/>
          <w:iCs/>
          <w:sz w:val="24"/>
        </w:rPr>
        <w:t xml:space="preserve"> </w:t>
      </w:r>
      <w:r>
        <w:rPr>
          <w:rFonts w:hint="eastAsia" w:ascii="Times New Roman" w:hAnsi="Times New Roman" w:cs="Times New Roman"/>
          <w:sz w:val="24"/>
        </w:rPr>
        <w:t>Comparison between the tested emissivity and calculated data for PDMS</w:t>
      </w:r>
    </w:p>
    <w:p w14:paraId="37FECF54">
      <w:pPr>
        <w:jc w:val="center"/>
        <w:rPr>
          <w:rFonts w:ascii="Times New Roman" w:hAnsi="Times New Roman"/>
          <w:bCs/>
          <w:position w:val="-32"/>
          <w:sz w:val="24"/>
        </w:rPr>
      </w:pPr>
      <w:r>
        <w:rPr>
          <w:sz w:val="24"/>
        </w:rPr>
        <w:drawing>
          <wp:inline distT="0" distB="0" distL="114300" distR="114300">
            <wp:extent cx="1697355" cy="2540000"/>
            <wp:effectExtent l="0" t="0" r="17145" b="0"/>
            <wp:docPr id="39" name="图片 39" descr="PDMS e different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PDMS e different angle"/>
                    <pic:cNvPicPr>
                      <a:picLocks noChangeAspect="1"/>
                    </pic:cNvPicPr>
                  </pic:nvPicPr>
                  <pic:blipFill>
                    <a:blip r:embed="rId133"/>
                    <a:srcRect l="18558" t="5478" r="37260" b="8264"/>
                    <a:stretch>
                      <a:fillRect/>
                    </a:stretch>
                  </pic:blipFill>
                  <pic:spPr>
                    <a:xfrm>
                      <a:off x="0" y="0"/>
                      <a:ext cx="1697355" cy="2540000"/>
                    </a:xfrm>
                    <a:prstGeom prst="rect">
                      <a:avLst/>
                    </a:prstGeom>
                  </pic:spPr>
                </pic:pic>
              </a:graphicData>
            </a:graphic>
          </wp:inline>
        </w:drawing>
      </w:r>
    </w:p>
    <w:p w14:paraId="14C8160E">
      <w:pPr>
        <w:spacing w:after="936" w:afterLines="3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22</w:t>
      </w:r>
      <w:r>
        <w:rPr>
          <w:rFonts w:ascii="Times New Roman" w:hAnsi="Times New Roman" w:cs="Times New Roman"/>
          <w:sz w:val="24"/>
        </w:rPr>
        <w:t xml:space="preserve"> Averaged emissivity (8-13 μm) of </w:t>
      </w:r>
      <w:r>
        <w:rPr>
          <w:rFonts w:hint="eastAsia" w:ascii="Times New Roman" w:hAnsi="Times New Roman" w:cs="Times New Roman"/>
          <w:sz w:val="24"/>
        </w:rPr>
        <w:t xml:space="preserve">200 </w:t>
      </w:r>
      <w:r>
        <w:rPr>
          <w:rFonts w:ascii="Times New Roman" w:hAnsi="Times New Roman" w:cs="Times New Roman"/>
          <w:sz w:val="24"/>
        </w:rPr>
        <w:t>μ</w:t>
      </w:r>
      <w:r>
        <w:rPr>
          <w:rFonts w:hint="eastAsia" w:ascii="Times New Roman" w:hAnsi="Times New Roman" w:cs="Times New Roman"/>
          <w:sz w:val="24"/>
        </w:rPr>
        <w:t xml:space="preserve">m-thick </w:t>
      </w:r>
      <w:r>
        <w:rPr>
          <w:rFonts w:ascii="Times New Roman" w:hAnsi="Times New Roman" w:cs="Times New Roman"/>
          <w:sz w:val="24"/>
        </w:rPr>
        <w:t>PDMS layer in different angles</w:t>
      </w:r>
    </w:p>
    <w:p w14:paraId="22BE4AE1">
      <w:pPr>
        <w:jc w:val="center"/>
        <w:rPr>
          <w:rFonts w:ascii="Times New Roman" w:hAnsi="Times New Roman" w:cs="Times New Roman"/>
          <w:sz w:val="24"/>
        </w:rPr>
      </w:pPr>
      <w:r>
        <w:rPr>
          <w:sz w:val="24"/>
        </w:rPr>
        <w:drawing>
          <wp:inline distT="0" distB="0" distL="114300" distR="114300">
            <wp:extent cx="5262880" cy="1630045"/>
            <wp:effectExtent l="0" t="0" r="13970" b="825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134"/>
                    <a:stretch>
                      <a:fillRect/>
                    </a:stretch>
                  </pic:blipFill>
                  <pic:spPr>
                    <a:xfrm>
                      <a:off x="0" y="0"/>
                      <a:ext cx="5262880" cy="1630045"/>
                    </a:xfrm>
                    <a:prstGeom prst="rect">
                      <a:avLst/>
                    </a:prstGeom>
                    <a:noFill/>
                    <a:ln>
                      <a:noFill/>
                    </a:ln>
                  </pic:spPr>
                </pic:pic>
              </a:graphicData>
            </a:graphic>
          </wp:inline>
        </w:drawing>
      </w:r>
    </w:p>
    <w:p w14:paraId="02D74EA9">
      <w:pPr>
        <w:spacing w:after="936" w:afterLines="300"/>
        <w:jc w:val="center"/>
        <w:rPr>
          <w:sz w:val="24"/>
        </w:rPr>
      </w:pPr>
      <w:r>
        <w:rPr>
          <w:rFonts w:ascii="Times New Roman" w:hAnsi="Times New Roman" w:cs="Times New Roman"/>
          <w:b/>
          <w:bCs/>
          <w:sz w:val="24"/>
        </w:rPr>
        <w:t>Figure S</w:t>
      </w:r>
      <w:r>
        <w:rPr>
          <w:rFonts w:hint="eastAsia" w:ascii="Times New Roman" w:hAnsi="Times New Roman" w:cs="Times New Roman"/>
          <w:b/>
          <w:bCs/>
          <w:sz w:val="24"/>
        </w:rPr>
        <w:t xml:space="preserve">23 </w:t>
      </w:r>
      <w:r>
        <w:rPr>
          <w:rFonts w:hint="eastAsia" w:ascii="Times New Roman" w:hAnsi="Times New Roman" w:cs="Times New Roman"/>
          <w:sz w:val="24"/>
        </w:rPr>
        <w:t>SEM and AFM images of the PDMS layer</w:t>
      </w:r>
    </w:p>
    <w:p w14:paraId="6A8D09B9">
      <w:pPr>
        <w:jc w:val="center"/>
        <w:rPr>
          <w:rFonts w:ascii="Times New Roman" w:hAnsi="Times New Roman" w:cs="Times New Roman"/>
          <w:sz w:val="24"/>
        </w:rPr>
      </w:pPr>
      <w:r>
        <w:rPr>
          <w:rFonts w:hint="eastAsia" w:ascii="Times New Roman" w:hAnsi="Times New Roman" w:cs="Times New Roman"/>
          <w:sz w:val="24"/>
        </w:rPr>
        <w:drawing>
          <wp:inline distT="0" distB="0" distL="114300" distR="114300">
            <wp:extent cx="5263515" cy="3059430"/>
            <wp:effectExtent l="0" t="0" r="13335" b="7620"/>
            <wp:docPr id="22" name="图片 2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2"/>
                    <pic:cNvPicPr>
                      <a:picLocks noChangeAspect="1"/>
                    </pic:cNvPicPr>
                  </pic:nvPicPr>
                  <pic:blipFill>
                    <a:blip r:embed="rId135"/>
                    <a:stretch>
                      <a:fillRect/>
                    </a:stretch>
                  </pic:blipFill>
                  <pic:spPr>
                    <a:xfrm>
                      <a:off x="0" y="0"/>
                      <a:ext cx="5263515" cy="3059430"/>
                    </a:xfrm>
                    <a:prstGeom prst="rect">
                      <a:avLst/>
                    </a:prstGeom>
                  </pic:spPr>
                </pic:pic>
              </a:graphicData>
            </a:graphic>
          </wp:inline>
        </w:drawing>
      </w:r>
    </w:p>
    <w:p w14:paraId="2B4C6636">
      <w:pPr>
        <w:spacing w:after="624" w:afterLines="2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 xml:space="preserve">24 </w:t>
      </w:r>
      <w:r>
        <w:rPr>
          <w:rFonts w:hint="eastAsia" w:ascii="Times New Roman" w:hAnsi="Times New Roman" w:cs="Times New Roman"/>
          <w:sz w:val="24"/>
        </w:rPr>
        <w:t>Optical mechanisms of the optical materials in the JD window</w:t>
      </w:r>
    </w:p>
    <w:p w14:paraId="0038F34D">
      <w:pPr>
        <w:jc w:val="center"/>
        <w:rPr>
          <w:rFonts w:ascii="Times New Roman" w:hAnsi="Times New Roman" w:cs="Times New Roman"/>
          <w:sz w:val="24"/>
        </w:rPr>
      </w:pPr>
      <w:r>
        <w:rPr>
          <w:rFonts w:ascii="Times New Roman" w:hAnsi="Times New Roman" w:cs="Times New Roman"/>
          <w:sz w:val="24"/>
        </w:rPr>
        <w:drawing>
          <wp:inline distT="0" distB="0" distL="114300" distR="114300">
            <wp:extent cx="3269615" cy="2056765"/>
            <wp:effectExtent l="0" t="0" r="6985" b="635"/>
            <wp:docPr id="48" name="图片 48"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Figure 4"/>
                    <pic:cNvPicPr>
                      <a:picLocks noChangeAspect="1"/>
                    </pic:cNvPicPr>
                  </pic:nvPicPr>
                  <pic:blipFill>
                    <a:blip r:embed="rId136"/>
                    <a:srcRect l="54768"/>
                    <a:stretch>
                      <a:fillRect/>
                    </a:stretch>
                  </pic:blipFill>
                  <pic:spPr>
                    <a:xfrm>
                      <a:off x="0" y="0"/>
                      <a:ext cx="3269615" cy="2056765"/>
                    </a:xfrm>
                    <a:prstGeom prst="rect">
                      <a:avLst/>
                    </a:prstGeom>
                  </pic:spPr>
                </pic:pic>
              </a:graphicData>
            </a:graphic>
          </wp:inline>
        </w:drawing>
      </w:r>
    </w:p>
    <w:p w14:paraId="6217ED18">
      <w:pPr>
        <w:spacing w:after="936" w:afterLines="3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 xml:space="preserve">25 </w:t>
      </w:r>
      <w:r>
        <w:rPr>
          <w:rFonts w:hint="eastAsia" w:ascii="Times New Roman" w:hAnsi="Times New Roman" w:cs="Times New Roman"/>
          <w:sz w:val="24"/>
        </w:rPr>
        <w:t xml:space="preserve">SEM images of the 7.5 </w:t>
      </w:r>
      <w:r>
        <w:rPr>
          <w:rFonts w:ascii="Times New Roman" w:hAnsi="Times New Roman" w:cs="Times New Roman"/>
          <w:sz w:val="24"/>
        </w:rPr>
        <w:t xml:space="preserve">Ω </w:t>
      </w:r>
      <w:r>
        <w:rPr>
          <w:rFonts w:hint="eastAsia" w:ascii="Times New Roman" w:hAnsi="Times New Roman" w:cs="Times New Roman"/>
          <w:sz w:val="24"/>
        </w:rPr>
        <w:t xml:space="preserve">and 10 </w:t>
      </w:r>
      <w:r>
        <w:rPr>
          <w:rFonts w:ascii="Times New Roman" w:hAnsi="Times New Roman" w:cs="Times New Roman"/>
          <w:sz w:val="24"/>
        </w:rPr>
        <w:t>Ω</w:t>
      </w:r>
      <w:r>
        <w:rPr>
          <w:rFonts w:hint="eastAsia" w:ascii="Times New Roman" w:hAnsi="Times New Roman" w:cs="Times New Roman"/>
          <w:sz w:val="24"/>
        </w:rPr>
        <w:t xml:space="preserve"> AgNW/PET films</w:t>
      </w:r>
    </w:p>
    <w:p w14:paraId="09C7B999">
      <w:pPr>
        <w:jc w:val="center"/>
        <w:rPr>
          <w:rFonts w:ascii="Times New Roman" w:hAnsi="Times New Roman" w:cs="Times New Roman"/>
          <w:sz w:val="24"/>
        </w:rPr>
      </w:pPr>
      <w:r>
        <w:rPr>
          <w:rFonts w:ascii="Times New Roman" w:hAnsi="Times New Roman" w:cs="Times New Roman"/>
          <w:sz w:val="24"/>
        </w:rPr>
        <w:drawing>
          <wp:inline distT="0" distB="0" distL="114300" distR="114300">
            <wp:extent cx="5471160" cy="2165350"/>
            <wp:effectExtent l="0" t="0" r="15240" b="6350"/>
            <wp:docPr id="32" name="图片 32" descr="T and E of 10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T and E of 10Ω"/>
                    <pic:cNvPicPr>
                      <a:picLocks noChangeAspect="1"/>
                    </pic:cNvPicPr>
                  </pic:nvPicPr>
                  <pic:blipFill>
                    <a:blip r:embed="rId137"/>
                    <a:srcRect l="4955" t="10659" r="4980" b="9771"/>
                    <a:stretch>
                      <a:fillRect/>
                    </a:stretch>
                  </pic:blipFill>
                  <pic:spPr>
                    <a:xfrm>
                      <a:off x="0" y="0"/>
                      <a:ext cx="5471160" cy="2165350"/>
                    </a:xfrm>
                    <a:prstGeom prst="rect">
                      <a:avLst/>
                    </a:prstGeom>
                  </pic:spPr>
                </pic:pic>
              </a:graphicData>
            </a:graphic>
          </wp:inline>
        </w:drawing>
      </w:r>
    </w:p>
    <w:p w14:paraId="106A86C1">
      <w:pPr>
        <w:spacing w:after="936" w:afterLines="300"/>
        <w:jc w:val="center"/>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S26</w:t>
      </w:r>
      <w:r>
        <w:rPr>
          <w:rFonts w:ascii="Times New Roman" w:hAnsi="Times New Roman" w:cs="Times New Roman"/>
          <w:sz w:val="24"/>
        </w:rPr>
        <w:t xml:space="preserve"> </w:t>
      </w:r>
      <w:r>
        <w:rPr>
          <w:rFonts w:hint="eastAsia" w:ascii="Times New Roman" w:hAnsi="Times New Roman" w:cs="Times New Roman"/>
          <w:sz w:val="24"/>
        </w:rPr>
        <w:t xml:space="preserve">The tested transmittance </w:t>
      </w:r>
      <w:r>
        <w:rPr>
          <w:rFonts w:hint="eastAsia" w:ascii="Times New Roman" w:hAnsi="Times New Roman" w:cs="Times New Roman"/>
          <w:b/>
          <w:bCs/>
          <w:sz w:val="24"/>
        </w:rPr>
        <w:t>(a)</w:t>
      </w:r>
      <w:r>
        <w:rPr>
          <w:rFonts w:hint="eastAsia" w:ascii="Times New Roman" w:hAnsi="Times New Roman" w:cs="Times New Roman"/>
          <w:sz w:val="24"/>
        </w:rPr>
        <w:t xml:space="preserve"> and emissivity </w:t>
      </w:r>
      <w:r>
        <w:rPr>
          <w:rFonts w:hint="eastAsia" w:ascii="Times New Roman" w:hAnsi="Times New Roman" w:cs="Times New Roman"/>
          <w:b/>
          <w:bCs/>
          <w:sz w:val="24"/>
        </w:rPr>
        <w:t>(b)</w:t>
      </w:r>
      <w:r>
        <w:rPr>
          <w:rFonts w:hint="eastAsia" w:ascii="Times New Roman" w:hAnsi="Times New Roman" w:cs="Times New Roman"/>
          <w:sz w:val="24"/>
        </w:rPr>
        <w:t xml:space="preserve"> of the 10 </w:t>
      </w:r>
      <w:r>
        <w:rPr>
          <w:rFonts w:ascii="Times New Roman" w:hAnsi="Times New Roman" w:cs="Times New Roman"/>
          <w:sz w:val="24"/>
        </w:rPr>
        <w:t>Ω</w:t>
      </w:r>
      <w:r>
        <w:rPr>
          <w:rFonts w:hint="eastAsia" w:ascii="Times New Roman" w:hAnsi="Times New Roman" w:cs="Times New Roman"/>
          <w:sz w:val="24"/>
        </w:rPr>
        <w:t xml:space="preserve"> AgNW/PET film</w:t>
      </w:r>
    </w:p>
    <w:p w14:paraId="0B9055D2">
      <w:pPr>
        <w:jc w:val="center"/>
        <w:rPr>
          <w:rFonts w:ascii="Times New Roman" w:hAnsi="Times New Roman" w:cs="Times New Roman"/>
          <w:sz w:val="24"/>
        </w:rPr>
      </w:pPr>
      <w:r>
        <w:rPr>
          <w:rFonts w:ascii="Times New Roman" w:hAnsi="Times New Roman" w:cs="Times New Roman"/>
          <w:sz w:val="24"/>
        </w:rPr>
        <w:drawing>
          <wp:inline distT="0" distB="0" distL="114300" distR="114300">
            <wp:extent cx="4197985" cy="5231765"/>
            <wp:effectExtent l="0" t="0" r="0" b="0"/>
            <wp:docPr id="23" name="图片 2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3"/>
                    <pic:cNvPicPr>
                      <a:picLocks noChangeAspect="1"/>
                    </pic:cNvPicPr>
                  </pic:nvPicPr>
                  <pic:blipFill>
                    <a:blip r:embed="rId138"/>
                    <a:srcRect r="2421"/>
                    <a:stretch>
                      <a:fillRect/>
                    </a:stretch>
                  </pic:blipFill>
                  <pic:spPr>
                    <a:xfrm>
                      <a:off x="0" y="0"/>
                      <a:ext cx="4197985" cy="5231765"/>
                    </a:xfrm>
                    <a:prstGeom prst="rect">
                      <a:avLst/>
                    </a:prstGeom>
                  </pic:spPr>
                </pic:pic>
              </a:graphicData>
            </a:graphic>
          </wp:inline>
        </w:drawing>
      </w:r>
    </w:p>
    <w:p w14:paraId="0F038167">
      <w:pPr>
        <w:spacing w:after="936" w:afterLines="300"/>
        <w:jc w:val="center"/>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S27</w:t>
      </w:r>
      <w:r>
        <w:rPr>
          <w:rFonts w:ascii="Times New Roman" w:hAnsi="Times New Roman" w:cs="Times New Roman"/>
          <w:sz w:val="24"/>
        </w:rPr>
        <w:t xml:space="preserve"> </w:t>
      </w:r>
      <w:r>
        <w:rPr>
          <w:rFonts w:hint="eastAsia" w:ascii="Times New Roman" w:hAnsi="Times New Roman" w:cs="Times New Roman"/>
          <w:sz w:val="24"/>
        </w:rPr>
        <w:t>IR images of the PDMS surfaces and AgNW surfaces</w:t>
      </w:r>
    </w:p>
    <w:p w14:paraId="6F38D97B">
      <w:pPr>
        <w:jc w:val="center"/>
        <w:rPr>
          <w:rFonts w:ascii="Times New Roman" w:hAnsi="Times New Roman" w:cs="Times New Roman"/>
          <w:sz w:val="24"/>
        </w:rPr>
      </w:pPr>
      <w:r>
        <w:rPr>
          <w:sz w:val="24"/>
        </w:rPr>
        <w:drawing>
          <wp:inline distT="0" distB="0" distL="114300" distR="114300">
            <wp:extent cx="5266690" cy="1929765"/>
            <wp:effectExtent l="0" t="0" r="10160" b="13335"/>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139"/>
                    <a:stretch>
                      <a:fillRect/>
                    </a:stretch>
                  </pic:blipFill>
                  <pic:spPr>
                    <a:xfrm>
                      <a:off x="0" y="0"/>
                      <a:ext cx="5266690" cy="1929765"/>
                    </a:xfrm>
                    <a:prstGeom prst="rect">
                      <a:avLst/>
                    </a:prstGeom>
                    <a:noFill/>
                    <a:ln>
                      <a:noFill/>
                    </a:ln>
                  </pic:spPr>
                </pic:pic>
              </a:graphicData>
            </a:graphic>
          </wp:inline>
        </w:drawing>
      </w:r>
    </w:p>
    <w:p w14:paraId="0C3D626C">
      <w:pPr>
        <w:spacing w:after="936" w:afterLines="3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28</w:t>
      </w:r>
      <w:r>
        <w:rPr>
          <w:rFonts w:ascii="Times New Roman" w:hAnsi="Times New Roman" w:cs="Times New Roman"/>
          <w:sz w:val="24"/>
        </w:rPr>
        <w:t xml:space="preserve"> </w:t>
      </w:r>
      <w:r>
        <w:rPr>
          <w:rFonts w:hint="eastAsia" w:ascii="Times New Roman" w:hAnsi="Times New Roman" w:cs="Times New Roman"/>
          <w:sz w:val="24"/>
        </w:rPr>
        <w:t>Indoor view of the JD window on heating (left) and cooling (right) modes</w:t>
      </w:r>
    </w:p>
    <w:p w14:paraId="2272416E">
      <w:pPr>
        <w:jc w:val="center"/>
        <w:rPr>
          <w:rFonts w:ascii="Times New Roman" w:hAnsi="Times New Roman" w:cs="Times New Roman"/>
          <w:sz w:val="24"/>
        </w:rPr>
      </w:pPr>
      <w:r>
        <w:rPr>
          <w:rFonts w:hint="eastAsia" w:ascii="Times New Roman" w:hAnsi="Times New Roman" w:cs="Times New Roman"/>
          <w:sz w:val="24"/>
        </w:rPr>
        <w:drawing>
          <wp:inline distT="0" distB="0" distL="114300" distR="114300">
            <wp:extent cx="5268595" cy="5345430"/>
            <wp:effectExtent l="0" t="0" r="8255" b="7620"/>
            <wp:docPr id="8"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2"/>
                    <pic:cNvPicPr>
                      <a:picLocks noChangeAspect="1"/>
                    </pic:cNvPicPr>
                  </pic:nvPicPr>
                  <pic:blipFill>
                    <a:blip r:embed="rId140"/>
                    <a:stretch>
                      <a:fillRect/>
                    </a:stretch>
                  </pic:blipFill>
                  <pic:spPr>
                    <a:xfrm>
                      <a:off x="0" y="0"/>
                      <a:ext cx="5268595" cy="5345430"/>
                    </a:xfrm>
                    <a:prstGeom prst="rect">
                      <a:avLst/>
                    </a:prstGeom>
                  </pic:spPr>
                </pic:pic>
              </a:graphicData>
            </a:graphic>
          </wp:inline>
        </w:drawing>
      </w:r>
    </w:p>
    <w:p w14:paraId="37F9D00B">
      <w:pPr>
        <w:spacing w:after="624" w:afterLines="200"/>
        <w:jc w:val="center"/>
        <w:rPr>
          <w:rFonts w:ascii="Times New Roman" w:hAnsi="Times New Roman" w:cs="Times New Roman"/>
          <w:sz w:val="24"/>
        </w:rPr>
      </w:pPr>
      <w:r>
        <w:rPr>
          <w:rFonts w:hint="eastAsia" w:ascii="Times New Roman" w:hAnsi="Times New Roman" w:cs="Times New Roman"/>
          <w:b/>
          <w:bCs/>
          <w:sz w:val="24"/>
        </w:rPr>
        <w:t>Figure S29</w:t>
      </w:r>
      <w:r>
        <w:rPr>
          <w:rFonts w:hint="eastAsia" w:ascii="Times New Roman" w:hAnsi="Times New Roman" w:cs="Times New Roman"/>
          <w:sz w:val="24"/>
        </w:rPr>
        <w:t xml:space="preserve"> CIELAB coordinate space of the JD windows.</w:t>
      </w:r>
    </w:p>
    <w:p w14:paraId="003CB56A">
      <w:pPr>
        <w:jc w:val="center"/>
        <w:rPr>
          <w:bCs/>
          <w:sz w:val="24"/>
        </w:rPr>
      </w:pPr>
      <w:r>
        <w:rPr>
          <w:bCs/>
          <w:sz w:val="24"/>
        </w:rPr>
        <w:drawing>
          <wp:inline distT="0" distB="0" distL="0" distR="0">
            <wp:extent cx="3625850" cy="2512060"/>
            <wp:effectExtent l="0" t="0" r="1270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41" cstate="print">
                      <a:extLst>
                        <a:ext uri="{28A0092B-C50C-407E-A947-70E740481C1C}">
                          <a14:useLocalDpi xmlns:a14="http://schemas.microsoft.com/office/drawing/2010/main" val="0"/>
                        </a:ext>
                      </a:extLst>
                    </a:blip>
                    <a:srcRect r="54331"/>
                    <a:stretch>
                      <a:fillRect/>
                    </a:stretch>
                  </pic:blipFill>
                  <pic:spPr>
                    <a:xfrm>
                      <a:off x="0" y="0"/>
                      <a:ext cx="3625850" cy="2512060"/>
                    </a:xfrm>
                    <a:prstGeom prst="rect">
                      <a:avLst/>
                    </a:prstGeom>
                  </pic:spPr>
                </pic:pic>
              </a:graphicData>
            </a:graphic>
          </wp:inline>
        </w:drawing>
      </w:r>
    </w:p>
    <w:p w14:paraId="7EF23C31">
      <w:pPr>
        <w:spacing w:after="936" w:afterLines="300"/>
        <w:jc w:val="center"/>
        <w:rPr>
          <w:rFonts w:eastAsia="宋体"/>
          <w:bCs/>
          <w:sz w:val="24"/>
          <w:lang w:bidi="ar"/>
        </w:rPr>
      </w:pPr>
      <w:r>
        <w:rPr>
          <w:rFonts w:ascii="Times New Roman" w:hAnsi="Times New Roman" w:cs="Times New Roman"/>
          <w:b/>
          <w:bCs/>
          <w:sz w:val="24"/>
        </w:rPr>
        <w:t>Figure S</w:t>
      </w:r>
      <w:r>
        <w:rPr>
          <w:rFonts w:hint="eastAsia" w:ascii="Times New Roman" w:hAnsi="Times New Roman" w:cs="Times New Roman"/>
          <w:b/>
          <w:bCs/>
          <w:sz w:val="24"/>
        </w:rPr>
        <w:t xml:space="preserve">30 </w:t>
      </w:r>
      <w:r>
        <w:rPr>
          <w:rFonts w:ascii="Times New Roman" w:hAnsi="Times New Roman" w:cs="Times New Roman"/>
          <w:sz w:val="24"/>
        </w:rPr>
        <w:t>Comparison of the s</w:t>
      </w:r>
      <w:r>
        <w:rPr>
          <w:rFonts w:hint="eastAsia" w:ascii="Times New Roman" w:hAnsi="Times New Roman" w:cs="Times New Roman"/>
          <w:sz w:val="24"/>
        </w:rPr>
        <w:t>pectral</w:t>
      </w:r>
      <w:r>
        <w:rPr>
          <w:rFonts w:ascii="Times New Roman" w:hAnsi="Times New Roman" w:cs="Times New Roman"/>
          <w:sz w:val="24"/>
        </w:rPr>
        <w:t xml:space="preserve"> absorption of the Real skin and Artificial skin.</w:t>
      </w:r>
    </w:p>
    <w:p w14:paraId="5CE1867A">
      <w:pPr>
        <w:jc w:val="center"/>
        <w:rPr>
          <w:sz w:val="24"/>
        </w:rPr>
      </w:pPr>
      <w:r>
        <w:rPr>
          <w:sz w:val="24"/>
        </w:rPr>
        <w:drawing>
          <wp:inline distT="0" distB="0" distL="114300" distR="114300">
            <wp:extent cx="5271135" cy="2011680"/>
            <wp:effectExtent l="0" t="0" r="5715" b="762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142"/>
                    <a:stretch>
                      <a:fillRect/>
                    </a:stretch>
                  </pic:blipFill>
                  <pic:spPr>
                    <a:xfrm>
                      <a:off x="0" y="0"/>
                      <a:ext cx="5271135" cy="2011680"/>
                    </a:xfrm>
                    <a:prstGeom prst="rect">
                      <a:avLst/>
                    </a:prstGeom>
                    <a:noFill/>
                    <a:ln>
                      <a:noFill/>
                    </a:ln>
                  </pic:spPr>
                </pic:pic>
              </a:graphicData>
            </a:graphic>
          </wp:inline>
        </w:drawing>
      </w:r>
    </w:p>
    <w:p w14:paraId="3A87D691">
      <w:pPr>
        <w:spacing w:after="936" w:afterLines="3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31</w:t>
      </w:r>
      <w:r>
        <w:rPr>
          <w:rFonts w:ascii="Times New Roman" w:hAnsi="Times New Roman" w:cs="Times New Roman"/>
          <w:sz w:val="24"/>
        </w:rPr>
        <w:t xml:space="preserve"> Optical transmittance and reflectance of the experimental low-e glazing</w:t>
      </w:r>
    </w:p>
    <w:p w14:paraId="5A2E39E4">
      <w:pPr>
        <w:jc w:val="center"/>
        <w:rPr>
          <w:rFonts w:ascii="Times New Roman" w:hAnsi="Times New Roman"/>
          <w:bCs/>
          <w:position w:val="-32"/>
          <w:sz w:val="24"/>
        </w:rPr>
      </w:pPr>
      <w:r>
        <w:rPr>
          <w:sz w:val="24"/>
        </w:rPr>
        <w:drawing>
          <wp:inline distT="0" distB="0" distL="114300" distR="114300">
            <wp:extent cx="4904105" cy="6996430"/>
            <wp:effectExtent l="0" t="0" r="10795" b="13970"/>
            <wp:docPr id="4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4"/>
                    <pic:cNvPicPr>
                      <a:picLocks noChangeAspect="1"/>
                    </pic:cNvPicPr>
                  </pic:nvPicPr>
                  <pic:blipFill>
                    <a:blip r:embed="rId143"/>
                    <a:srcRect l="7711" t="3755" r="3398" b="3243"/>
                    <a:stretch>
                      <a:fillRect/>
                    </a:stretch>
                  </pic:blipFill>
                  <pic:spPr>
                    <a:xfrm>
                      <a:off x="0" y="0"/>
                      <a:ext cx="4904105" cy="6996430"/>
                    </a:xfrm>
                    <a:prstGeom prst="rect">
                      <a:avLst/>
                    </a:prstGeom>
                    <a:noFill/>
                    <a:ln>
                      <a:noFill/>
                    </a:ln>
                  </pic:spPr>
                </pic:pic>
              </a:graphicData>
            </a:graphic>
          </wp:inline>
        </w:drawing>
      </w:r>
    </w:p>
    <w:p w14:paraId="6A7EE5E4">
      <w:pPr>
        <w:spacing w:after="936" w:afterLines="300"/>
        <w:jc w:val="left"/>
        <w:rPr>
          <w:rFonts w:ascii="Times New Roman" w:hAnsi="Times New Roman" w:cs="Times New Roman"/>
          <w:bCs/>
          <w:position w:val="-32"/>
          <w:sz w:val="24"/>
        </w:rPr>
      </w:pPr>
      <w:r>
        <w:rPr>
          <w:rFonts w:ascii="Times New Roman" w:hAnsi="Times New Roman" w:cs="Times New Roman"/>
          <w:b/>
          <w:bCs/>
          <w:sz w:val="24"/>
        </w:rPr>
        <w:t>Figure S</w:t>
      </w:r>
      <w:r>
        <w:rPr>
          <w:rFonts w:hint="eastAsia" w:ascii="Times New Roman" w:hAnsi="Times New Roman" w:cs="Times New Roman"/>
          <w:b/>
          <w:bCs/>
          <w:sz w:val="24"/>
        </w:rPr>
        <w:t>32</w:t>
      </w:r>
      <w:r>
        <w:rPr>
          <w:rFonts w:ascii="Times New Roman" w:hAnsi="Times New Roman" w:cs="Times New Roman"/>
          <w:b/>
          <w:bCs/>
          <w:sz w:val="24"/>
        </w:rPr>
        <w:t xml:space="preserve"> </w:t>
      </w:r>
      <w:r>
        <w:rPr>
          <w:rFonts w:ascii="Times New Roman" w:hAnsi="Times New Roman" w:cs="Times New Roman"/>
          <w:sz w:val="24"/>
        </w:rPr>
        <w:t xml:space="preserve">Outdoor weather conditions of the experimental period. </w:t>
      </w:r>
      <w:r>
        <w:rPr>
          <w:rStyle w:val="9"/>
          <w:rFonts w:ascii="Times New Roman" w:hAnsi="Times New Roman" w:cs="Times New Roman"/>
          <w:sz w:val="24"/>
        </w:rPr>
        <w:t>a,</w:t>
      </w:r>
      <w:r>
        <w:rPr>
          <w:rFonts w:ascii="Times New Roman" w:hAnsi="Times New Roman" w:cs="Times New Roman"/>
          <w:sz w:val="24"/>
        </w:rPr>
        <w:t xml:space="preserve"> Global horizontal solar irradiance. </w:t>
      </w:r>
      <w:r>
        <w:rPr>
          <w:rStyle w:val="9"/>
          <w:rFonts w:ascii="Times New Roman" w:hAnsi="Times New Roman" w:cs="Times New Roman"/>
          <w:sz w:val="24"/>
        </w:rPr>
        <w:t>b,</w:t>
      </w:r>
      <w:r>
        <w:rPr>
          <w:rFonts w:ascii="Times New Roman" w:hAnsi="Times New Roman" w:cs="Times New Roman"/>
          <w:sz w:val="24"/>
        </w:rPr>
        <w:t xml:space="preserve"> direct horizontal solar irradiance. </w:t>
      </w:r>
      <w:r>
        <w:rPr>
          <w:rFonts w:ascii="Times New Roman" w:hAnsi="Times New Roman" w:cs="Times New Roman"/>
          <w:b/>
          <w:bCs/>
          <w:sz w:val="24"/>
        </w:rPr>
        <w:t xml:space="preserve">c, </w:t>
      </w:r>
      <w:r>
        <w:rPr>
          <w:rFonts w:ascii="Times New Roman" w:hAnsi="Times New Roman" w:cs="Times New Roman"/>
          <w:sz w:val="24"/>
        </w:rPr>
        <w:t xml:space="preserve">outdoor air temperature. </w:t>
      </w:r>
      <w:r>
        <w:rPr>
          <w:rStyle w:val="9"/>
          <w:rFonts w:ascii="Times New Roman" w:hAnsi="Times New Roman" w:cs="Times New Roman"/>
          <w:sz w:val="24"/>
        </w:rPr>
        <w:t>d,</w:t>
      </w:r>
      <w:r>
        <w:rPr>
          <w:rFonts w:ascii="Times New Roman" w:hAnsi="Times New Roman" w:cs="Times New Roman"/>
          <w:sz w:val="24"/>
        </w:rPr>
        <w:t xml:space="preserve"> outdoor wind speed during the experimental period.</w:t>
      </w:r>
    </w:p>
    <w:p w14:paraId="7E5CF507">
      <w:pPr>
        <w:jc w:val="center"/>
        <w:rPr>
          <w:rFonts w:ascii="Times New Roman" w:hAnsi="Times New Roman"/>
          <w:bCs/>
          <w:position w:val="-32"/>
          <w:sz w:val="24"/>
        </w:rPr>
      </w:pPr>
      <w:r>
        <w:rPr>
          <w:sz w:val="24"/>
        </w:rPr>
        <w:drawing>
          <wp:inline distT="0" distB="0" distL="114300" distR="114300">
            <wp:extent cx="5266690" cy="2332990"/>
            <wp:effectExtent l="0" t="0" r="10160" b="1016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144"/>
                    <a:stretch>
                      <a:fillRect/>
                    </a:stretch>
                  </pic:blipFill>
                  <pic:spPr>
                    <a:xfrm>
                      <a:off x="0" y="0"/>
                      <a:ext cx="5266690" cy="2332990"/>
                    </a:xfrm>
                    <a:prstGeom prst="rect">
                      <a:avLst/>
                    </a:prstGeom>
                    <a:noFill/>
                    <a:ln>
                      <a:noFill/>
                    </a:ln>
                  </pic:spPr>
                </pic:pic>
              </a:graphicData>
            </a:graphic>
          </wp:inline>
        </w:drawing>
      </w:r>
    </w:p>
    <w:p w14:paraId="0F9BD9B2">
      <w:pPr>
        <w:spacing w:after="936" w:afterLines="300"/>
        <w:jc w:val="center"/>
        <w:rPr>
          <w:rFonts w:ascii="Times New Roman" w:hAnsi="Times New Roman" w:cs="Times New Roman"/>
          <w:sz w:val="24"/>
        </w:rPr>
      </w:pPr>
      <w:r>
        <w:rPr>
          <w:rFonts w:ascii="Times New Roman" w:hAnsi="Times New Roman" w:cs="Times New Roman"/>
          <w:b/>
          <w:bCs/>
          <w:sz w:val="24"/>
        </w:rPr>
        <w:t>Figure S</w:t>
      </w:r>
      <w:r>
        <w:rPr>
          <w:rFonts w:hint="eastAsia" w:ascii="Times New Roman" w:hAnsi="Times New Roman" w:cs="Times New Roman"/>
          <w:b/>
          <w:bCs/>
          <w:sz w:val="24"/>
        </w:rPr>
        <w:t xml:space="preserve">33 </w:t>
      </w:r>
      <w:r>
        <w:rPr>
          <w:rFonts w:hint="eastAsia" w:ascii="Times New Roman" w:hAnsi="Times New Roman" w:cs="Times New Roman"/>
          <w:sz w:val="24"/>
        </w:rPr>
        <w:t>Comparison between the indoor illuminance of the experimental chambers in the experimental period</w:t>
      </w:r>
    </w:p>
    <w:p w14:paraId="69E1E62A">
      <w:pPr>
        <w:jc w:val="center"/>
        <w:rPr>
          <w:sz w:val="24"/>
        </w:rPr>
      </w:pPr>
      <w:r>
        <w:rPr>
          <w:sz w:val="24"/>
        </w:rPr>
        <w:drawing>
          <wp:inline distT="0" distB="0" distL="114300" distR="114300">
            <wp:extent cx="4903470" cy="4939665"/>
            <wp:effectExtent l="0" t="0" r="11430" b="13335"/>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145"/>
                    <a:srcRect l="4533" t="8282" r="2375" b="4068"/>
                    <a:stretch>
                      <a:fillRect/>
                    </a:stretch>
                  </pic:blipFill>
                  <pic:spPr>
                    <a:xfrm>
                      <a:off x="0" y="0"/>
                      <a:ext cx="4903470" cy="4939665"/>
                    </a:xfrm>
                    <a:prstGeom prst="rect">
                      <a:avLst/>
                    </a:prstGeom>
                    <a:noFill/>
                    <a:ln>
                      <a:noFill/>
                    </a:ln>
                  </pic:spPr>
                </pic:pic>
              </a:graphicData>
            </a:graphic>
          </wp:inline>
        </w:drawing>
      </w:r>
    </w:p>
    <w:p w14:paraId="3DB83643">
      <w:pPr>
        <w:spacing w:after="936" w:afterLines="300"/>
        <w:jc w:val="center"/>
        <w:rPr>
          <w:rFonts w:ascii="Times New Roman" w:hAnsi="Times New Roman" w:cs="Times New Roman"/>
          <w:sz w:val="24"/>
        </w:rPr>
      </w:pPr>
      <w:r>
        <w:rPr>
          <w:rFonts w:ascii="Times New Roman" w:hAnsi="Times New Roman" w:cs="Times New Roman"/>
          <w:b/>
          <w:bCs/>
          <w:sz w:val="24"/>
        </w:rPr>
        <w:t>Figure S3</w:t>
      </w:r>
      <w:r>
        <w:rPr>
          <w:rFonts w:hint="eastAsia" w:ascii="Times New Roman" w:hAnsi="Times New Roman" w:cs="Times New Roman"/>
          <w:b/>
          <w:bCs/>
          <w:sz w:val="24"/>
        </w:rPr>
        <w:t>4</w:t>
      </w:r>
      <w:r>
        <w:rPr>
          <w:rFonts w:ascii="Times New Roman" w:hAnsi="Times New Roman" w:cs="Times New Roman"/>
          <w:sz w:val="24"/>
        </w:rPr>
        <w:t xml:space="preserve"> </w:t>
      </w:r>
      <w:r>
        <w:rPr>
          <w:rStyle w:val="9"/>
          <w:rFonts w:hint="eastAsia" w:ascii="Times New Roman" w:hAnsi="Times New Roman" w:cs="Times New Roman"/>
          <w:b w:val="0"/>
          <w:sz w:val="24"/>
        </w:rPr>
        <w:t>Solar azimuth and elevation angles in Hong Kong during the experimental period</w:t>
      </w:r>
    </w:p>
    <w:p w14:paraId="591A5082">
      <w:pPr>
        <w:jc w:val="center"/>
        <w:rPr>
          <w:rFonts w:ascii="Times New Roman" w:hAnsi="Times New Roman" w:cs="Times New Roman"/>
          <w:sz w:val="24"/>
        </w:rPr>
      </w:pPr>
      <w:r>
        <w:rPr>
          <w:sz w:val="24"/>
        </w:rPr>
        <w:drawing>
          <wp:inline distT="0" distB="0" distL="114300" distR="114300">
            <wp:extent cx="5266055" cy="6076315"/>
            <wp:effectExtent l="0" t="0" r="10795" b="635"/>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146"/>
                    <a:stretch>
                      <a:fillRect/>
                    </a:stretch>
                  </pic:blipFill>
                  <pic:spPr>
                    <a:xfrm>
                      <a:off x="0" y="0"/>
                      <a:ext cx="5266055" cy="6076315"/>
                    </a:xfrm>
                    <a:prstGeom prst="rect">
                      <a:avLst/>
                    </a:prstGeom>
                    <a:noFill/>
                    <a:ln>
                      <a:noFill/>
                    </a:ln>
                  </pic:spPr>
                </pic:pic>
              </a:graphicData>
            </a:graphic>
          </wp:inline>
        </w:drawing>
      </w:r>
    </w:p>
    <w:p w14:paraId="367424B4">
      <w:pPr>
        <w:spacing w:after="936" w:afterLines="300"/>
        <w:jc w:val="center"/>
        <w:rPr>
          <w:rFonts w:ascii="Times New Roman" w:hAnsi="Times New Roman" w:cs="Times New Roman"/>
          <w:sz w:val="24"/>
        </w:rPr>
      </w:pPr>
      <w:r>
        <w:rPr>
          <w:rFonts w:ascii="Times New Roman" w:hAnsi="Times New Roman" w:cs="Times New Roman"/>
          <w:b/>
          <w:bCs/>
          <w:sz w:val="24"/>
        </w:rPr>
        <w:t>Figure S3</w:t>
      </w:r>
      <w:r>
        <w:rPr>
          <w:rFonts w:hint="eastAsia" w:ascii="Times New Roman" w:hAnsi="Times New Roman" w:cs="Times New Roman"/>
          <w:b/>
          <w:bCs/>
          <w:sz w:val="24"/>
        </w:rPr>
        <w:t>5</w:t>
      </w:r>
      <w:r>
        <w:rPr>
          <w:rFonts w:ascii="Times New Roman" w:hAnsi="Times New Roman" w:cs="Times New Roman"/>
          <w:sz w:val="24"/>
        </w:rPr>
        <w:t xml:space="preserve"> </w:t>
      </w:r>
      <w:r>
        <w:rPr>
          <w:rStyle w:val="9"/>
          <w:rFonts w:ascii="Times New Roman" w:hAnsi="Times New Roman" w:cs="Times New Roman"/>
          <w:b w:val="0"/>
          <w:sz w:val="24"/>
        </w:rPr>
        <w:t>Comparison of indoor</w:t>
      </w:r>
      <w:r>
        <w:rPr>
          <w:rStyle w:val="9"/>
          <w:rFonts w:ascii="Times New Roman" w:hAnsi="Times New Roman" w:cs="Times New Roman"/>
          <w:bCs/>
          <w:sz w:val="24"/>
        </w:rPr>
        <w:t xml:space="preserve"> </w:t>
      </w:r>
      <w:r>
        <w:rPr>
          <w:rStyle w:val="9"/>
          <w:rFonts w:ascii="Times New Roman" w:hAnsi="Times New Roman" w:cs="Times New Roman"/>
          <w:b w:val="0"/>
          <w:sz w:val="24"/>
        </w:rPr>
        <w:t xml:space="preserve">air </w:t>
      </w:r>
      <w:r>
        <w:rPr>
          <w:rStyle w:val="9"/>
          <w:rFonts w:ascii="Times New Roman" w:hAnsi="Times New Roman" w:cs="Times New Roman"/>
          <w:bCs/>
          <w:sz w:val="24"/>
        </w:rPr>
        <w:t>(a)</w:t>
      </w:r>
      <w:r>
        <w:rPr>
          <w:rStyle w:val="9"/>
          <w:rFonts w:ascii="Times New Roman" w:hAnsi="Times New Roman" w:cs="Times New Roman"/>
          <w:b w:val="0"/>
          <w:sz w:val="24"/>
        </w:rPr>
        <w:t xml:space="preserve">, skin </w:t>
      </w:r>
      <w:r>
        <w:rPr>
          <w:rStyle w:val="9"/>
          <w:rFonts w:ascii="Times New Roman" w:hAnsi="Times New Roman" w:eastAsia="宋体" w:cs="Times New Roman"/>
          <w:bCs/>
          <w:sz w:val="24"/>
        </w:rPr>
        <w:t>(b)</w:t>
      </w:r>
      <w:r>
        <w:rPr>
          <w:rStyle w:val="9"/>
          <w:rFonts w:ascii="Times New Roman" w:hAnsi="Times New Roman" w:cs="Times New Roman"/>
          <w:b w:val="0"/>
          <w:sz w:val="24"/>
        </w:rPr>
        <w:t xml:space="preserve">, floor </w:t>
      </w:r>
      <w:r>
        <w:rPr>
          <w:rStyle w:val="9"/>
          <w:rFonts w:ascii="Times New Roman" w:hAnsi="Times New Roman" w:eastAsia="宋体" w:cs="Times New Roman"/>
          <w:bCs/>
          <w:sz w:val="24"/>
        </w:rPr>
        <w:t>(c)</w:t>
      </w:r>
      <w:r>
        <w:rPr>
          <w:rStyle w:val="9"/>
          <w:rFonts w:ascii="Times New Roman" w:hAnsi="Times New Roman" w:cs="Times New Roman"/>
          <w:b w:val="0"/>
          <w:sz w:val="24"/>
        </w:rPr>
        <w:t>, and</w:t>
      </w:r>
      <w:r>
        <w:rPr>
          <w:rStyle w:val="9"/>
          <w:rFonts w:ascii="Times New Roman" w:hAnsi="Times New Roman" w:eastAsia="宋体" w:cs="Times New Roman"/>
          <w:bCs/>
          <w:sz w:val="24"/>
        </w:rPr>
        <w:t xml:space="preserve"> </w:t>
      </w:r>
      <w:r>
        <w:rPr>
          <w:rStyle w:val="9"/>
          <w:rFonts w:ascii="Times New Roman" w:hAnsi="Times New Roman" w:cs="Times New Roman"/>
          <w:b w:val="0"/>
          <w:sz w:val="24"/>
        </w:rPr>
        <w:t xml:space="preserve">glazing surface temperatures </w:t>
      </w:r>
      <w:r>
        <w:rPr>
          <w:rStyle w:val="9"/>
          <w:rFonts w:ascii="Times New Roman" w:hAnsi="Times New Roman" w:cs="Times New Roman"/>
          <w:sz w:val="24"/>
        </w:rPr>
        <w:t>(d)</w:t>
      </w:r>
      <w:r>
        <w:rPr>
          <w:rStyle w:val="9"/>
          <w:rFonts w:ascii="Times New Roman" w:hAnsi="Times New Roman" w:cs="Times New Roman"/>
          <w:b w:val="0"/>
          <w:sz w:val="24"/>
        </w:rPr>
        <w:t xml:space="preserve"> at different locations of the two chambers</w:t>
      </w:r>
      <w:r>
        <w:rPr>
          <w:rFonts w:hint="eastAsia" w:ascii="Times New Roman" w:hAnsi="Times New Roman" w:cs="Times New Roman"/>
          <w:sz w:val="24"/>
        </w:rPr>
        <w:t xml:space="preserve"> in the experimental period</w:t>
      </w:r>
    </w:p>
    <w:p w14:paraId="691D1F75">
      <w:pPr>
        <w:spacing w:after="936" w:afterLines="300"/>
        <w:jc w:val="center"/>
        <w:rPr>
          <w:rFonts w:ascii="Times New Roman" w:hAnsi="Times New Roman" w:cs="Times New Roman"/>
          <w:sz w:val="24"/>
        </w:rPr>
      </w:pPr>
    </w:p>
    <w:p w14:paraId="59B73400">
      <w:pPr>
        <w:jc w:val="center"/>
        <w:rPr>
          <w:rFonts w:ascii="Times New Roman" w:hAnsi="Times New Roman" w:cs="Times New Roman"/>
          <w:sz w:val="24"/>
        </w:rPr>
      </w:pPr>
      <w:r>
        <w:rPr>
          <w:rFonts w:hint="eastAsia" w:ascii="Times New Roman" w:hAnsi="Times New Roman" w:cs="Times New Roman"/>
          <w:sz w:val="24"/>
        </w:rPr>
        <w:drawing>
          <wp:inline distT="0" distB="0" distL="114300" distR="114300">
            <wp:extent cx="5676265" cy="3235325"/>
            <wp:effectExtent l="0" t="0" r="635" b="3175"/>
            <wp:docPr id="14" name="图片 1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1"/>
                    <pic:cNvPicPr>
                      <a:picLocks noChangeAspect="1"/>
                    </pic:cNvPicPr>
                  </pic:nvPicPr>
                  <pic:blipFill>
                    <a:blip r:embed="rId147"/>
                    <a:srcRect r="905"/>
                    <a:stretch>
                      <a:fillRect/>
                    </a:stretch>
                  </pic:blipFill>
                  <pic:spPr>
                    <a:xfrm>
                      <a:off x="0" y="0"/>
                      <a:ext cx="5676265" cy="3235325"/>
                    </a:xfrm>
                    <a:prstGeom prst="rect">
                      <a:avLst/>
                    </a:prstGeom>
                  </pic:spPr>
                </pic:pic>
              </a:graphicData>
            </a:graphic>
          </wp:inline>
        </w:drawing>
      </w:r>
    </w:p>
    <w:p w14:paraId="18FD9EDB">
      <w:pPr>
        <w:spacing w:after="936" w:afterLines="300"/>
        <w:jc w:val="center"/>
        <w:rPr>
          <w:rFonts w:ascii="Times New Roman" w:hAnsi="Times New Roman" w:cs="Times New Roman"/>
          <w:sz w:val="24"/>
        </w:rPr>
      </w:pPr>
      <w:r>
        <w:rPr>
          <w:rFonts w:ascii="Times New Roman" w:hAnsi="Times New Roman" w:cs="Times New Roman"/>
          <w:b/>
          <w:bCs/>
          <w:sz w:val="24"/>
        </w:rPr>
        <w:t>Figure S3</w:t>
      </w:r>
      <w:r>
        <w:rPr>
          <w:rFonts w:hint="eastAsia" w:ascii="Times New Roman" w:hAnsi="Times New Roman" w:cs="Times New Roman"/>
          <w:b/>
          <w:bCs/>
          <w:sz w:val="24"/>
        </w:rPr>
        <w:t xml:space="preserve">6 </w:t>
      </w:r>
      <w:r>
        <w:rPr>
          <w:rFonts w:ascii="Times New Roman" w:hAnsi="Times New Roman" w:cs="Times New Roman"/>
          <w:sz w:val="24"/>
        </w:rPr>
        <w:t>Schematic diagram of the heat transfer model for spectrally selective windows</w:t>
      </w:r>
    </w:p>
    <w:p w14:paraId="63BE512A">
      <w:pPr>
        <w:jc w:val="center"/>
        <w:rPr>
          <w:rFonts w:ascii="Times New Roman" w:hAnsi="Times New Roman" w:cs="Times New Roman"/>
          <w:sz w:val="24"/>
        </w:rPr>
      </w:pPr>
      <w:r>
        <w:rPr>
          <w:rFonts w:hint="eastAsia" w:ascii="Times New Roman" w:hAnsi="Times New Roman" w:cs="Times New Roman"/>
          <w:sz w:val="24"/>
        </w:rPr>
        <w:drawing>
          <wp:inline distT="0" distB="0" distL="114300" distR="114300">
            <wp:extent cx="5259705" cy="3545840"/>
            <wp:effectExtent l="0" t="0" r="17145" b="16510"/>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148"/>
                    <a:stretch>
                      <a:fillRect/>
                    </a:stretch>
                  </pic:blipFill>
                  <pic:spPr>
                    <a:xfrm>
                      <a:off x="0" y="0"/>
                      <a:ext cx="5259705" cy="3545840"/>
                    </a:xfrm>
                    <a:prstGeom prst="rect">
                      <a:avLst/>
                    </a:prstGeom>
                  </pic:spPr>
                </pic:pic>
              </a:graphicData>
            </a:graphic>
          </wp:inline>
        </w:drawing>
      </w:r>
    </w:p>
    <w:p w14:paraId="02FC6375">
      <w:pPr>
        <w:spacing w:after="936" w:afterLines="300"/>
        <w:jc w:val="center"/>
        <w:rPr>
          <w:rFonts w:ascii="Times New Roman" w:hAnsi="Times New Roman" w:cs="Times New Roman"/>
          <w:sz w:val="24"/>
        </w:rPr>
      </w:pPr>
      <w:r>
        <w:rPr>
          <w:rFonts w:hint="eastAsia" w:ascii="Times New Roman" w:hAnsi="Times New Roman" w:cs="Times New Roman"/>
          <w:b/>
          <w:bCs/>
          <w:sz w:val="24"/>
        </w:rPr>
        <w:t>Figure S37</w:t>
      </w:r>
      <w:r>
        <w:rPr>
          <w:rFonts w:hint="eastAsia" w:ascii="Times New Roman" w:hAnsi="Times New Roman" w:cs="Times New Roman"/>
          <w:sz w:val="24"/>
        </w:rPr>
        <w:t xml:space="preserve"> Solar spectral power distribution (SPD) at different solar elevation angles and different elevation. </w:t>
      </w:r>
      <w:r>
        <w:rPr>
          <w:rFonts w:hint="eastAsia" w:ascii="Times New Roman" w:hAnsi="Times New Roman" w:cs="Times New Roman"/>
          <w:b/>
          <w:bCs/>
          <w:sz w:val="24"/>
        </w:rPr>
        <w:t>a</w:t>
      </w:r>
      <w:r>
        <w:rPr>
          <w:rFonts w:ascii="Times New Roman" w:hAnsi="Times New Roman" w:eastAsia="宋体" w:cs="Times New Roman"/>
          <w:b/>
          <w:bCs/>
          <w:sz w:val="24"/>
        </w:rPr>
        <w:t>,</w:t>
      </w:r>
      <w:r>
        <w:rPr>
          <w:rFonts w:hint="eastAsia" w:ascii="Times New Roman" w:hAnsi="Times New Roman" w:cs="Times New Roman"/>
          <w:sz w:val="24"/>
        </w:rPr>
        <w:t xml:space="preserve"> 0 km. </w:t>
      </w:r>
      <w:r>
        <w:rPr>
          <w:rFonts w:hint="eastAsia" w:ascii="Times New Roman" w:hAnsi="Times New Roman" w:cs="Times New Roman"/>
          <w:b/>
          <w:bCs/>
          <w:sz w:val="24"/>
        </w:rPr>
        <w:t>b</w:t>
      </w:r>
      <w:r>
        <w:rPr>
          <w:rFonts w:ascii="Times New Roman" w:hAnsi="Times New Roman" w:eastAsia="宋体" w:cs="Times New Roman"/>
          <w:b/>
          <w:bCs/>
          <w:sz w:val="24"/>
        </w:rPr>
        <w:t>,</w:t>
      </w:r>
      <w:r>
        <w:rPr>
          <w:rFonts w:hint="eastAsia" w:ascii="Times New Roman" w:hAnsi="Times New Roman" w:cs="Times New Roman"/>
          <w:sz w:val="24"/>
        </w:rPr>
        <w:t xml:space="preserve"> 1 km. </w:t>
      </w:r>
      <w:r>
        <w:rPr>
          <w:rFonts w:hint="eastAsia" w:ascii="Times New Roman" w:hAnsi="Times New Roman" w:cs="Times New Roman"/>
          <w:b/>
          <w:bCs/>
          <w:sz w:val="24"/>
        </w:rPr>
        <w:t>c</w:t>
      </w:r>
      <w:r>
        <w:rPr>
          <w:rFonts w:ascii="Times New Roman" w:hAnsi="Times New Roman" w:eastAsia="宋体" w:cs="Times New Roman"/>
          <w:b/>
          <w:bCs/>
          <w:sz w:val="24"/>
        </w:rPr>
        <w:t>,</w:t>
      </w:r>
      <w:r>
        <w:rPr>
          <w:rFonts w:hint="eastAsia" w:ascii="Times New Roman" w:hAnsi="Times New Roman" w:cs="Times New Roman"/>
          <w:b/>
          <w:bCs/>
          <w:sz w:val="24"/>
        </w:rPr>
        <w:t xml:space="preserve"> </w:t>
      </w:r>
      <w:r>
        <w:rPr>
          <w:rFonts w:hint="eastAsia" w:ascii="Times New Roman" w:hAnsi="Times New Roman" w:cs="Times New Roman"/>
          <w:sz w:val="24"/>
        </w:rPr>
        <w:t>2 km.</w:t>
      </w:r>
      <w:r>
        <w:rPr>
          <w:rFonts w:hint="eastAsia" w:ascii="Times New Roman" w:hAnsi="Times New Roman" w:cs="Times New Roman"/>
          <w:b/>
          <w:bCs/>
          <w:sz w:val="24"/>
        </w:rPr>
        <w:t xml:space="preserve"> d</w:t>
      </w:r>
      <w:r>
        <w:rPr>
          <w:rFonts w:ascii="Times New Roman" w:hAnsi="Times New Roman" w:eastAsia="宋体" w:cs="Times New Roman"/>
          <w:b/>
          <w:bCs/>
          <w:sz w:val="24"/>
        </w:rPr>
        <w:t xml:space="preserve">, </w:t>
      </w:r>
      <w:r>
        <w:rPr>
          <w:rFonts w:hint="eastAsia" w:ascii="Times New Roman" w:hAnsi="Times New Roman" w:cs="Times New Roman"/>
          <w:sz w:val="24"/>
        </w:rPr>
        <w:t>4 km.</w:t>
      </w:r>
    </w:p>
    <w:p w14:paraId="23517F55">
      <w:pPr>
        <w:jc w:val="center"/>
        <w:rPr>
          <w:rFonts w:cs="Times New Roman"/>
          <w:sz w:val="24"/>
        </w:rPr>
      </w:pPr>
      <w:r>
        <w:rPr>
          <w:rFonts w:hint="eastAsia" w:cs="Times New Roman"/>
          <w:sz w:val="24"/>
        </w:rPr>
        <w:drawing>
          <wp:inline distT="0" distB="0" distL="114300" distR="114300">
            <wp:extent cx="4820920" cy="3375660"/>
            <wp:effectExtent l="0" t="0" r="17780" b="15240"/>
            <wp:docPr id="10" name="图片 1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1"/>
                    <pic:cNvPicPr>
                      <a:picLocks noChangeAspect="1"/>
                    </pic:cNvPicPr>
                  </pic:nvPicPr>
                  <pic:blipFill>
                    <a:blip r:embed="rId149"/>
                    <a:stretch>
                      <a:fillRect/>
                    </a:stretch>
                  </pic:blipFill>
                  <pic:spPr>
                    <a:xfrm>
                      <a:off x="0" y="0"/>
                      <a:ext cx="4820920" cy="3375660"/>
                    </a:xfrm>
                    <a:prstGeom prst="rect">
                      <a:avLst/>
                    </a:prstGeom>
                  </pic:spPr>
                </pic:pic>
              </a:graphicData>
            </a:graphic>
          </wp:inline>
        </w:drawing>
      </w:r>
    </w:p>
    <w:p w14:paraId="134BFBE0">
      <w:pPr>
        <w:tabs>
          <w:tab w:val="left" w:pos="567"/>
        </w:tabs>
        <w:snapToGrid w:val="0"/>
        <w:spacing w:after="312" w:afterLines="100" w:line="360" w:lineRule="auto"/>
        <w:jc w:val="center"/>
        <w:rPr>
          <w:rFonts w:ascii="Times New Roman" w:hAnsi="Times New Roman" w:cs="Times New Roman"/>
          <w:sz w:val="24"/>
        </w:rPr>
      </w:pPr>
      <w:bookmarkStart w:id="0" w:name="_Toc201166222"/>
      <w:r>
        <w:rPr>
          <w:rStyle w:val="9"/>
          <w:rFonts w:ascii="Times New Roman" w:hAnsi="Times New Roman" w:eastAsia="宋体" w:cs="Times New Roman"/>
          <w:sz w:val="24"/>
        </w:rPr>
        <w:t>Figure S3</w:t>
      </w:r>
      <w:bookmarkEnd w:id="0"/>
      <w:r>
        <w:rPr>
          <w:rStyle w:val="9"/>
          <w:rFonts w:hint="eastAsia" w:ascii="Times New Roman" w:hAnsi="Times New Roman" w:eastAsia="宋体" w:cs="Times New Roman"/>
          <w:sz w:val="24"/>
        </w:rPr>
        <w:t xml:space="preserve">8 </w:t>
      </w:r>
      <w:r>
        <w:rPr>
          <w:rFonts w:hint="eastAsia" w:ascii="Times New Roman" w:hAnsi="Times New Roman" w:cs="Times New Roman"/>
          <w:sz w:val="24"/>
        </w:rPr>
        <w:t xml:space="preserve">Atmospheric transmittance at different Total Column Water (TCW) and elevation. </w:t>
      </w:r>
      <w:r>
        <w:rPr>
          <w:rFonts w:hint="eastAsia" w:ascii="Times New Roman" w:hAnsi="Times New Roman" w:cs="Times New Roman"/>
          <w:b/>
          <w:bCs/>
          <w:sz w:val="24"/>
        </w:rPr>
        <w:t>a</w:t>
      </w:r>
      <w:r>
        <w:rPr>
          <w:rFonts w:ascii="Times New Roman" w:hAnsi="Times New Roman" w:eastAsia="宋体" w:cs="Times New Roman"/>
          <w:b/>
          <w:bCs/>
          <w:sz w:val="24"/>
        </w:rPr>
        <w:t>,</w:t>
      </w:r>
      <w:r>
        <w:rPr>
          <w:rFonts w:hint="eastAsia" w:ascii="Times New Roman" w:hAnsi="Times New Roman" w:cs="Times New Roman"/>
          <w:sz w:val="24"/>
        </w:rPr>
        <w:t xml:space="preserve"> 0 km. </w:t>
      </w:r>
      <w:r>
        <w:rPr>
          <w:rFonts w:hint="eastAsia" w:ascii="Times New Roman" w:hAnsi="Times New Roman" w:cs="Times New Roman"/>
          <w:b/>
          <w:bCs/>
          <w:sz w:val="24"/>
        </w:rPr>
        <w:t>b</w:t>
      </w:r>
      <w:r>
        <w:rPr>
          <w:rFonts w:ascii="Times New Roman" w:hAnsi="Times New Roman" w:eastAsia="宋体" w:cs="Times New Roman"/>
          <w:b/>
          <w:bCs/>
          <w:sz w:val="24"/>
        </w:rPr>
        <w:t>,</w:t>
      </w:r>
      <w:r>
        <w:rPr>
          <w:rFonts w:hint="eastAsia" w:ascii="Times New Roman" w:hAnsi="Times New Roman" w:cs="Times New Roman"/>
          <w:sz w:val="24"/>
        </w:rPr>
        <w:t xml:space="preserve"> 1 km. </w:t>
      </w:r>
      <w:r>
        <w:rPr>
          <w:rFonts w:hint="eastAsia" w:ascii="Times New Roman" w:hAnsi="Times New Roman" w:cs="Times New Roman"/>
          <w:b/>
          <w:bCs/>
          <w:sz w:val="24"/>
        </w:rPr>
        <w:t>c</w:t>
      </w:r>
      <w:r>
        <w:rPr>
          <w:rFonts w:ascii="Times New Roman" w:hAnsi="Times New Roman" w:eastAsia="宋体" w:cs="Times New Roman"/>
          <w:b/>
          <w:bCs/>
          <w:sz w:val="24"/>
        </w:rPr>
        <w:t>,</w:t>
      </w:r>
      <w:r>
        <w:rPr>
          <w:rFonts w:hint="eastAsia" w:ascii="Times New Roman" w:hAnsi="Times New Roman" w:cs="Times New Roman"/>
          <w:b/>
          <w:bCs/>
          <w:sz w:val="24"/>
        </w:rPr>
        <w:t xml:space="preserve"> </w:t>
      </w:r>
      <w:r>
        <w:rPr>
          <w:rFonts w:hint="eastAsia" w:ascii="Times New Roman" w:hAnsi="Times New Roman" w:cs="Times New Roman"/>
          <w:sz w:val="24"/>
        </w:rPr>
        <w:t>2 km.</w:t>
      </w:r>
      <w:r>
        <w:rPr>
          <w:rFonts w:hint="eastAsia" w:ascii="Times New Roman" w:hAnsi="Times New Roman" w:cs="Times New Roman"/>
          <w:b/>
          <w:bCs/>
          <w:sz w:val="24"/>
        </w:rPr>
        <w:t xml:space="preserve"> d</w:t>
      </w:r>
      <w:r>
        <w:rPr>
          <w:rFonts w:ascii="Times New Roman" w:hAnsi="Times New Roman" w:eastAsia="宋体" w:cs="Times New Roman"/>
          <w:b/>
          <w:bCs/>
          <w:sz w:val="24"/>
        </w:rPr>
        <w:t>,</w:t>
      </w:r>
      <w:r>
        <w:rPr>
          <w:rFonts w:hint="eastAsia" w:ascii="Times New Roman" w:hAnsi="Times New Roman" w:cs="Times New Roman"/>
          <w:b/>
          <w:bCs/>
          <w:sz w:val="24"/>
        </w:rPr>
        <w:t xml:space="preserve"> </w:t>
      </w:r>
      <w:r>
        <w:rPr>
          <w:rFonts w:hint="eastAsia" w:ascii="Times New Roman" w:hAnsi="Times New Roman" w:cs="Times New Roman"/>
          <w:sz w:val="24"/>
        </w:rPr>
        <w:t>4 km.</w:t>
      </w:r>
    </w:p>
    <w:p w14:paraId="72D0B075">
      <w:pPr>
        <w:jc w:val="center"/>
        <w:rPr>
          <w:rFonts w:ascii="Times New Roman" w:hAnsi="Times New Roman"/>
          <w:bCs/>
          <w:position w:val="-32"/>
          <w:sz w:val="24"/>
        </w:rPr>
      </w:pPr>
      <w:r>
        <w:rPr>
          <w:sz w:val="24"/>
        </w:rPr>
        <w:drawing>
          <wp:inline distT="0" distB="0" distL="114300" distR="114300">
            <wp:extent cx="4752975" cy="3482340"/>
            <wp:effectExtent l="0" t="0" r="9525" b="3810"/>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150"/>
                    <a:stretch>
                      <a:fillRect/>
                    </a:stretch>
                  </pic:blipFill>
                  <pic:spPr>
                    <a:xfrm>
                      <a:off x="0" y="0"/>
                      <a:ext cx="4752975" cy="3482340"/>
                    </a:xfrm>
                    <a:prstGeom prst="rect">
                      <a:avLst/>
                    </a:prstGeom>
                    <a:noFill/>
                    <a:ln>
                      <a:noFill/>
                    </a:ln>
                  </pic:spPr>
                </pic:pic>
              </a:graphicData>
            </a:graphic>
          </wp:inline>
        </w:drawing>
      </w:r>
    </w:p>
    <w:p w14:paraId="2DA9DFCF">
      <w:pPr>
        <w:spacing w:after="936" w:afterLines="300"/>
        <w:rPr>
          <w:rFonts w:ascii="Times New Roman" w:hAnsi="Times New Roman" w:cs="Times New Roman"/>
          <w:sz w:val="24"/>
        </w:rPr>
      </w:pPr>
      <w:r>
        <w:rPr>
          <w:rFonts w:ascii="Times New Roman" w:hAnsi="Times New Roman" w:cs="Times New Roman"/>
          <w:b/>
          <w:bCs/>
          <w:sz w:val="24"/>
        </w:rPr>
        <w:t>Figure S3</w:t>
      </w:r>
      <w:r>
        <w:rPr>
          <w:rFonts w:hint="eastAsia" w:ascii="Times New Roman" w:hAnsi="Times New Roman" w:cs="Times New Roman"/>
          <w:b/>
          <w:bCs/>
          <w:sz w:val="24"/>
        </w:rPr>
        <w:t>9</w:t>
      </w:r>
      <w:r>
        <w:rPr>
          <w:rFonts w:ascii="Times New Roman" w:hAnsi="Times New Roman" w:cs="Times New Roman"/>
          <w:sz w:val="24"/>
        </w:rPr>
        <w:t xml:space="preserve"> </w:t>
      </w:r>
      <w:r>
        <w:rPr>
          <w:rFonts w:ascii="Times New Roman" w:hAnsi="Times New Roman" w:eastAsia="宋体" w:cs="Times New Roman"/>
          <w:sz w:val="24"/>
        </w:rPr>
        <w:t>Model validation</w:t>
      </w:r>
      <w:r>
        <w:rPr>
          <w:rFonts w:hint="eastAsia" w:ascii="Times New Roman" w:hAnsi="Times New Roman" w:eastAsia="宋体" w:cs="Times New Roman"/>
          <w:sz w:val="24"/>
        </w:rPr>
        <w:t xml:space="preserve">. </w:t>
      </w:r>
      <w:r>
        <w:rPr>
          <w:rFonts w:hint="eastAsia" w:ascii="Times New Roman" w:hAnsi="Times New Roman" w:eastAsia="宋体" w:cs="Times New Roman"/>
          <w:b/>
          <w:bCs/>
          <w:sz w:val="24"/>
        </w:rPr>
        <w:t>a</w:t>
      </w:r>
      <w:r>
        <w:rPr>
          <w:rFonts w:ascii="Times New Roman" w:hAnsi="Times New Roman" w:eastAsia="宋体" w:cs="Times New Roman"/>
          <w:b/>
          <w:bCs/>
          <w:sz w:val="24"/>
        </w:rPr>
        <w:t>,</w:t>
      </w:r>
      <w:r>
        <w:rPr>
          <w:rFonts w:ascii="Times New Roman" w:hAnsi="Times New Roman" w:eastAsia="宋体" w:cs="Times New Roman"/>
          <w:sz w:val="24"/>
        </w:rPr>
        <w:t xml:space="preserve"> Comparison between measured and predicted surface temperatures of the J</w:t>
      </w:r>
      <w:r>
        <w:rPr>
          <w:rFonts w:hint="eastAsia" w:ascii="Times New Roman" w:hAnsi="Times New Roman" w:eastAsia="宋体" w:cs="Times New Roman"/>
          <w:sz w:val="24"/>
        </w:rPr>
        <w:t>D</w:t>
      </w:r>
      <w:r>
        <w:rPr>
          <w:rFonts w:ascii="Times New Roman" w:hAnsi="Times New Roman" w:eastAsia="宋体" w:cs="Times New Roman"/>
          <w:sz w:val="24"/>
        </w:rPr>
        <w:t xml:space="preserve"> window</w:t>
      </w:r>
      <w:r>
        <w:rPr>
          <w:rFonts w:hint="eastAsia" w:ascii="Times New Roman" w:hAnsi="Times New Roman" w:eastAsia="宋体" w:cs="Times New Roman"/>
          <w:sz w:val="24"/>
        </w:rPr>
        <w:t>.</w:t>
      </w:r>
      <w:r>
        <w:rPr>
          <w:rFonts w:hint="eastAsia" w:ascii="Times New Roman" w:hAnsi="Times New Roman" w:eastAsia="宋体" w:cs="Times New Roman"/>
          <w:b/>
          <w:bCs/>
          <w:sz w:val="24"/>
        </w:rPr>
        <w:t xml:space="preserve"> b</w:t>
      </w:r>
      <w:r>
        <w:rPr>
          <w:rFonts w:ascii="Times New Roman" w:hAnsi="Times New Roman" w:eastAsia="宋体" w:cs="Times New Roman"/>
          <w:b/>
          <w:bCs/>
          <w:sz w:val="24"/>
        </w:rPr>
        <w:t>,</w:t>
      </w:r>
      <w:r>
        <w:rPr>
          <w:rFonts w:hint="eastAsia" w:ascii="Times New Roman" w:hAnsi="Times New Roman" w:eastAsia="宋体" w:cs="Times New Roman"/>
          <w:sz w:val="24"/>
        </w:rPr>
        <w:t xml:space="preserve"> </w:t>
      </w:r>
      <w:r>
        <w:rPr>
          <w:rFonts w:ascii="Times New Roman" w:hAnsi="Times New Roman" w:eastAsia="宋体" w:cs="Times New Roman"/>
          <w:sz w:val="24"/>
        </w:rPr>
        <w:t>Error analysis between measured and predicted surface temperatures of the J</w:t>
      </w:r>
      <w:r>
        <w:rPr>
          <w:rFonts w:hint="eastAsia" w:ascii="Times New Roman" w:hAnsi="Times New Roman" w:eastAsia="宋体" w:cs="Times New Roman"/>
          <w:sz w:val="24"/>
        </w:rPr>
        <w:t>D</w:t>
      </w:r>
      <w:r>
        <w:rPr>
          <w:rFonts w:ascii="Times New Roman" w:hAnsi="Times New Roman" w:eastAsia="宋体" w:cs="Times New Roman"/>
          <w:sz w:val="24"/>
        </w:rPr>
        <w:t xml:space="preserve"> window glass</w:t>
      </w:r>
      <w:r>
        <w:rPr>
          <w:rFonts w:hint="eastAsia" w:ascii="Times New Roman" w:hAnsi="Times New Roman" w:eastAsia="宋体" w:cs="Times New Roman"/>
          <w:sz w:val="24"/>
        </w:rPr>
        <w:t xml:space="preserve">. </w:t>
      </w:r>
      <w:r>
        <w:rPr>
          <w:rFonts w:hint="eastAsia" w:ascii="Times New Roman" w:hAnsi="Times New Roman" w:eastAsia="宋体" w:cs="Times New Roman"/>
          <w:b/>
          <w:bCs/>
          <w:sz w:val="24"/>
        </w:rPr>
        <w:t>c</w:t>
      </w:r>
      <w:r>
        <w:rPr>
          <w:rFonts w:ascii="Times New Roman" w:hAnsi="Times New Roman" w:eastAsia="宋体" w:cs="Times New Roman"/>
          <w:b/>
          <w:bCs/>
          <w:sz w:val="24"/>
        </w:rPr>
        <w:t>,</w:t>
      </w:r>
      <w:r>
        <w:rPr>
          <w:rFonts w:ascii="Times New Roman" w:hAnsi="Times New Roman" w:eastAsia="宋体" w:cs="Times New Roman"/>
          <w:sz w:val="24"/>
        </w:rPr>
        <w:t xml:space="preserve"> Comparison between measured and predicted surface temperatures of the low-e glass</w:t>
      </w:r>
      <w:r>
        <w:rPr>
          <w:rFonts w:hint="eastAsia" w:ascii="Times New Roman" w:hAnsi="Times New Roman" w:eastAsia="宋体" w:cs="Times New Roman"/>
          <w:sz w:val="24"/>
        </w:rPr>
        <w:t xml:space="preserve">. </w:t>
      </w:r>
      <w:r>
        <w:rPr>
          <w:rFonts w:hint="eastAsia" w:ascii="Times New Roman" w:hAnsi="Times New Roman" w:eastAsia="宋体" w:cs="Times New Roman"/>
          <w:b/>
          <w:bCs/>
          <w:sz w:val="24"/>
        </w:rPr>
        <w:t>d</w:t>
      </w:r>
      <w:r>
        <w:rPr>
          <w:rFonts w:ascii="Times New Roman" w:hAnsi="Times New Roman" w:eastAsia="宋体" w:cs="Times New Roman"/>
          <w:b/>
          <w:bCs/>
          <w:sz w:val="24"/>
        </w:rPr>
        <w:t>,</w:t>
      </w:r>
      <w:r>
        <w:rPr>
          <w:rFonts w:ascii="Times New Roman" w:hAnsi="Times New Roman" w:eastAsia="宋体" w:cs="Times New Roman"/>
          <w:sz w:val="24"/>
        </w:rPr>
        <w:t xml:space="preserve"> Error analysis between measured and predicted surface temperatures of the low-e </w:t>
      </w:r>
      <w:r>
        <w:rPr>
          <w:rFonts w:hint="eastAsia" w:ascii="Times New Roman" w:hAnsi="Times New Roman" w:eastAsia="宋体" w:cs="Times New Roman"/>
          <w:sz w:val="24"/>
        </w:rPr>
        <w:t>glazing</w:t>
      </w:r>
      <w:r>
        <w:rPr>
          <w:rFonts w:ascii="Times New Roman" w:hAnsi="Times New Roman" w:eastAsia="宋体" w:cs="Times New Roman"/>
          <w:sz w:val="24"/>
        </w:rPr>
        <w:t>.</w:t>
      </w:r>
    </w:p>
    <w:p w14:paraId="48AA4EDD">
      <w:pPr>
        <w:jc w:val="center"/>
        <w:rPr>
          <w:rFonts w:ascii="Times New Roman" w:hAnsi="Times New Roman" w:cs="Times New Roman"/>
          <w:bCs/>
          <w:position w:val="-32"/>
          <w:sz w:val="24"/>
        </w:rPr>
      </w:pPr>
      <w:r>
        <w:rPr>
          <w:rFonts w:cs="Times New Roman"/>
          <w:sz w:val="24"/>
        </w:rPr>
        <w:drawing>
          <wp:inline distT="0" distB="0" distL="114300" distR="114300">
            <wp:extent cx="5039995" cy="2317750"/>
            <wp:effectExtent l="0" t="0" r="8255" b="0"/>
            <wp:docPr id="162" name="图片 162" descr="point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pointstation"/>
                    <pic:cNvPicPr>
                      <a:picLocks noChangeAspect="1"/>
                    </pic:cNvPicPr>
                  </pic:nvPicPr>
                  <pic:blipFill>
                    <a:blip r:embed="rId151"/>
                    <a:stretch>
                      <a:fillRect/>
                    </a:stretch>
                  </pic:blipFill>
                  <pic:spPr>
                    <a:xfrm>
                      <a:off x="0" y="0"/>
                      <a:ext cx="5039995" cy="2317750"/>
                    </a:xfrm>
                    <a:prstGeom prst="rect">
                      <a:avLst/>
                    </a:prstGeom>
                  </pic:spPr>
                </pic:pic>
              </a:graphicData>
            </a:graphic>
          </wp:inline>
        </w:drawing>
      </w:r>
    </w:p>
    <w:p w14:paraId="7A898E18">
      <w:pPr>
        <w:tabs>
          <w:tab w:val="left" w:pos="567"/>
        </w:tabs>
        <w:snapToGrid w:val="0"/>
        <w:spacing w:after="156" w:afterLines="50" w:line="360" w:lineRule="auto"/>
        <w:jc w:val="center"/>
        <w:rPr>
          <w:rFonts w:ascii="Times New Roman" w:hAnsi="Times New Roman" w:cs="Times New Roman"/>
          <w:sz w:val="24"/>
        </w:rPr>
      </w:pPr>
      <w:r>
        <w:rPr>
          <w:rFonts w:ascii="Times New Roman" w:hAnsi="Times New Roman" w:cs="Times New Roman"/>
          <w:b/>
          <w:bCs/>
          <w:sz w:val="24"/>
        </w:rPr>
        <w:t>Figure</w:t>
      </w:r>
      <w:r>
        <w:rPr>
          <w:rFonts w:hint="eastAsia" w:ascii="Times New Roman" w:hAnsi="Times New Roman" w:cs="Times New Roman"/>
          <w:b/>
          <w:bCs/>
          <w:sz w:val="24"/>
        </w:rPr>
        <w:t xml:space="preserve"> 40</w:t>
      </w:r>
      <w:r>
        <w:rPr>
          <w:rFonts w:ascii="Times New Roman" w:hAnsi="Times New Roman" w:cs="Times New Roman"/>
          <w:b/>
          <w:bCs/>
          <w:sz w:val="24"/>
        </w:rPr>
        <w:t xml:space="preserve"> </w:t>
      </w:r>
      <w:r>
        <w:rPr>
          <w:rFonts w:ascii="Times New Roman" w:hAnsi="Times New Roman" w:cs="Times New Roman"/>
          <w:sz w:val="24"/>
        </w:rPr>
        <w:t>Geographical Distribution of Energy Simulation Sites</w:t>
      </w:r>
    </w:p>
    <w:p w14:paraId="5175F5C9">
      <w:pPr>
        <w:jc w:val="center"/>
        <w:rPr>
          <w:rFonts w:ascii="Times New Roman" w:hAnsi="Times New Roman"/>
          <w:bCs/>
          <w:position w:val="-32"/>
          <w:sz w:val="24"/>
        </w:rPr>
      </w:pPr>
      <w:r>
        <w:rPr>
          <w:rFonts w:hint="eastAsia" w:ascii="Times New Roman" w:hAnsi="Times New Roman"/>
          <w:bCs/>
          <w:position w:val="-32"/>
          <w:sz w:val="24"/>
        </w:rPr>
        <w:drawing>
          <wp:inline distT="0" distB="0" distL="114300" distR="114300">
            <wp:extent cx="5266055" cy="2865120"/>
            <wp:effectExtent l="0" t="0" r="10795" b="0"/>
            <wp:docPr id="52" name="图片 52" descr="thermal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thermal zones"/>
                    <pic:cNvPicPr>
                      <a:picLocks noChangeAspect="1"/>
                    </pic:cNvPicPr>
                  </pic:nvPicPr>
                  <pic:blipFill>
                    <a:blip r:embed="rId152"/>
                    <a:stretch>
                      <a:fillRect/>
                    </a:stretch>
                  </pic:blipFill>
                  <pic:spPr>
                    <a:xfrm>
                      <a:off x="0" y="0"/>
                      <a:ext cx="5266055" cy="2865120"/>
                    </a:xfrm>
                    <a:prstGeom prst="rect">
                      <a:avLst/>
                    </a:prstGeom>
                  </pic:spPr>
                </pic:pic>
              </a:graphicData>
            </a:graphic>
          </wp:inline>
        </w:drawing>
      </w:r>
    </w:p>
    <w:p w14:paraId="3F344A34">
      <w:pPr>
        <w:tabs>
          <w:tab w:val="left" w:pos="567"/>
        </w:tabs>
        <w:snapToGrid w:val="0"/>
        <w:spacing w:after="156" w:afterLines="50" w:line="360" w:lineRule="auto"/>
        <w:jc w:val="center"/>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41</w:t>
      </w:r>
      <w:r>
        <w:rPr>
          <w:rFonts w:ascii="Times New Roman" w:hAnsi="Times New Roman" w:cs="Times New Roman"/>
          <w:b/>
          <w:bCs/>
          <w:sz w:val="24"/>
        </w:rPr>
        <w:t xml:space="preserve"> </w:t>
      </w:r>
      <w:r>
        <w:rPr>
          <w:rFonts w:ascii="Times New Roman" w:hAnsi="Times New Roman" w:cs="Times New Roman"/>
          <w:sz w:val="24"/>
        </w:rPr>
        <w:t>World climate zones map</w:t>
      </w:r>
      <w:r>
        <w:rPr>
          <w:rFonts w:hint="eastAsia" w:ascii="Times New Roman" w:hAnsi="Times New Roman" w:cs="Times New Roman"/>
          <w:sz w:val="24"/>
        </w:rPr>
        <w:t xml:space="preserve"> </w:t>
      </w:r>
      <w:r>
        <w:rPr>
          <w:rFonts w:hint="eastAsia" w:ascii="Times New Roman" w:hAnsi="Times New Roman" w:cs="Times New Roman"/>
          <w:b/>
          <w:bCs/>
          <w:color w:val="0000FF"/>
          <w:sz w:val="24"/>
        </w:rPr>
        <w:fldChar w:fldCharType="begin"/>
      </w:r>
      <w:r>
        <w:rPr>
          <w:rFonts w:hint="eastAsia" w:ascii="Times New Roman" w:hAnsi="Times New Roman" w:cs="Times New Roman"/>
          <w:b/>
          <w:bCs/>
          <w:color w:val="0000FF"/>
          <w:sz w:val="24"/>
        </w:rPr>
        <w:instrText xml:space="preserve"> ADDIN EN.CITE &lt;EndNote&gt;&lt;Cite&gt;&lt;Author&gt;Edition&lt;/Author&gt;&lt;Year&gt;2010&lt;/Year&gt;&lt;RecNum&gt;1145&lt;/RecNum&gt;&lt;DisplayText&gt;[11]&lt;/DisplayText&gt;&lt;record&gt;&lt;rec-number&gt;1145&lt;/rec-number&gt;&lt;foreign-keys&gt;&lt;key app="EN" db-id="paaztsr04trapte5f9cpv9ss0fav5erzzr9a" timestamp="1757945379"&gt;1145&lt;/key&gt;&lt;/foreign-keys&gt;&lt;ref-type name="Journal Article"&gt;17&lt;/ref-type&gt;&lt;contributors&gt;&lt;authors&gt;&lt;author&gt;Edition, SI&lt;/author&gt;&lt;author&gt;Erbe, DH&lt;/author&gt;&lt;author&gt;Lane, MD&lt;/author&gt;&lt;author&gt;Anderson, SI&lt;/author&gt;&lt;author&gt;Baselici, PA&lt;/author&gt;&lt;author&gt;Hanson, S&lt;/author&gt;&lt;author&gt;Heinisch, R&lt;/author&gt;&lt;author&gt;Humble, J&lt;/author&gt;&lt;author&gt;Taylor, S&lt;/author&gt;&lt;author&gt;Kurtz, R&lt;/author&gt;&lt;/authors&gt;&lt;/contributors&gt;&lt;titles&gt;&lt;title&gt;Energy standard for buildings except low-rise residential buildings&lt;/title&gt;&lt;secondary-title&gt;ASHRAE, Atlanta, GA, USA, Tech. Rep. IP Edition&lt;/secondary-title&gt;&lt;/titles&gt;&lt;periodical&gt;&lt;full-title&gt;ASHRAE, Atlanta, GA, USA, Tech. Rep. IP Edition&lt;/full-title&gt;&lt;/periodical&gt;&lt;dates&gt;&lt;year&gt;2010&lt;/year&gt;&lt;/dates&gt;&lt;urls&gt;&lt;/urls&gt;&lt;/record&gt;&lt;/Cite&gt;&lt;/EndNote&gt;</w:instrText>
      </w:r>
      <w:r>
        <w:rPr>
          <w:rFonts w:hint="eastAsia" w:ascii="Times New Roman" w:hAnsi="Times New Roman" w:cs="Times New Roman"/>
          <w:b/>
          <w:bCs/>
          <w:color w:val="0000FF"/>
          <w:sz w:val="24"/>
        </w:rPr>
        <w:fldChar w:fldCharType="separate"/>
      </w:r>
      <w:r>
        <w:rPr>
          <w:rFonts w:hint="eastAsia" w:ascii="Times New Roman" w:hAnsi="Times New Roman" w:cs="Times New Roman"/>
          <w:b/>
          <w:bCs/>
          <w:color w:val="0000FF"/>
          <w:sz w:val="24"/>
        </w:rPr>
        <w:t>[11]</w:t>
      </w:r>
      <w:r>
        <w:rPr>
          <w:rFonts w:hint="eastAsia" w:ascii="Times New Roman" w:hAnsi="Times New Roman" w:cs="Times New Roman"/>
          <w:b/>
          <w:bCs/>
          <w:color w:val="0000FF"/>
          <w:sz w:val="24"/>
        </w:rPr>
        <w:fldChar w:fldCharType="end"/>
      </w:r>
    </w:p>
    <w:p w14:paraId="50809565">
      <w:pPr>
        <w:rPr>
          <w:rFonts w:ascii="Times New Roman" w:hAnsi="Times New Roman"/>
          <w:bCs/>
          <w:position w:val="-32"/>
          <w:sz w:val="24"/>
        </w:rPr>
        <w:sectPr>
          <w:endnotePr>
            <w:numFmt w:val="decimal"/>
          </w:endnotePr>
          <w:pgSz w:w="11906" w:h="16838"/>
          <w:pgMar w:top="1417" w:right="1417" w:bottom="1417" w:left="1417" w:header="851" w:footer="992" w:gutter="0"/>
          <w:cols w:space="720" w:num="1"/>
          <w:docGrid w:type="lines" w:linePitch="312" w:charSpace="0"/>
        </w:sectPr>
      </w:pPr>
    </w:p>
    <w:p w14:paraId="2D690B8F">
      <w:pPr>
        <w:jc w:val="center"/>
        <w:rPr>
          <w:rFonts w:ascii="Times New Roman" w:hAnsi="Times New Roman"/>
          <w:bCs/>
          <w:position w:val="-32"/>
          <w:sz w:val="24"/>
        </w:rPr>
      </w:pPr>
      <w:r>
        <w:rPr>
          <w:rFonts w:hint="eastAsia" w:ascii="Times New Roman" w:hAnsi="Times New Roman"/>
          <w:bCs/>
          <w:position w:val="-32"/>
          <w:sz w:val="24"/>
        </w:rPr>
        <w:drawing>
          <wp:inline distT="0" distB="0" distL="114300" distR="114300">
            <wp:extent cx="8855075" cy="6502400"/>
            <wp:effectExtent l="0" t="0" r="3175" b="12700"/>
            <wp:docPr id="53" name="图片 5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1"/>
                    <pic:cNvPicPr>
                      <a:picLocks noChangeAspect="1"/>
                    </pic:cNvPicPr>
                  </pic:nvPicPr>
                  <pic:blipFill>
                    <a:blip r:embed="rId153"/>
                    <a:stretch>
                      <a:fillRect/>
                    </a:stretch>
                  </pic:blipFill>
                  <pic:spPr>
                    <a:xfrm>
                      <a:off x="0" y="0"/>
                      <a:ext cx="8855075" cy="6502400"/>
                    </a:xfrm>
                    <a:prstGeom prst="rect">
                      <a:avLst/>
                    </a:prstGeom>
                  </pic:spPr>
                </pic:pic>
              </a:graphicData>
            </a:graphic>
          </wp:inline>
        </w:drawing>
      </w:r>
    </w:p>
    <w:p w14:paraId="3F2F97CC">
      <w:pPr>
        <w:rPr>
          <w:rFonts w:ascii="Times New Roman" w:hAnsi="Times New Roman"/>
          <w:bCs/>
          <w:position w:val="-32"/>
          <w:sz w:val="24"/>
        </w:rPr>
      </w:pPr>
      <w:r>
        <w:rPr>
          <w:rFonts w:ascii="Times New Roman" w:hAnsi="Times New Roman" w:cs="Times New Roman"/>
          <w:b/>
          <w:bCs/>
          <w:sz w:val="24"/>
        </w:rPr>
        <w:t xml:space="preserve">Figure </w:t>
      </w:r>
      <w:r>
        <w:rPr>
          <w:rFonts w:hint="eastAsia" w:ascii="Times New Roman" w:hAnsi="Times New Roman" w:cs="Times New Roman"/>
          <w:b/>
          <w:bCs/>
          <w:sz w:val="24"/>
        </w:rPr>
        <w:t>42</w:t>
      </w:r>
      <w:r>
        <w:rPr>
          <w:rFonts w:ascii="Times New Roman" w:hAnsi="Times New Roman" w:cs="Times New Roman"/>
          <w:b/>
          <w:bCs/>
          <w:sz w:val="24"/>
        </w:rPr>
        <w:t xml:space="preserve"> </w:t>
      </w:r>
      <w:r>
        <w:rPr>
          <w:rFonts w:ascii="Times New Roman" w:hAnsi="Times New Roman" w:cs="Times New Roman"/>
          <w:sz w:val="24"/>
        </w:rPr>
        <w:t>Outdoor weather parameters across different regions</w:t>
      </w:r>
      <w:r>
        <w:rPr>
          <w:rFonts w:hint="eastAsia" w:ascii="Times New Roman" w:hAnsi="Times New Roman" w:cs="Times New Roman"/>
          <w:sz w:val="24"/>
        </w:rPr>
        <w:t xml:space="preserve">. </w:t>
      </w:r>
      <w:r>
        <w:rPr>
          <w:rFonts w:ascii="Times New Roman" w:hAnsi="Times New Roman" w:cs="Times New Roman"/>
          <w:b/>
          <w:bCs/>
          <w:sz w:val="24"/>
        </w:rPr>
        <w:t>a</w:t>
      </w:r>
      <w:r>
        <w:rPr>
          <w:rFonts w:ascii="Times New Roman" w:hAnsi="Times New Roman" w:cs="Times New Roman"/>
          <w:sz w:val="24"/>
        </w:rPr>
        <w:t xml:space="preserve"> Annual cumulative direct solar radiation received by vertical surfaces (south-facing for Northern Hemisphere and north-facing for Southern Hemisphere)</w:t>
      </w:r>
      <w:r>
        <w:rPr>
          <w:rFonts w:hint="eastAsia" w:ascii="Times New Roman" w:hAnsi="Times New Roman" w:cs="Times New Roman"/>
          <w:sz w:val="24"/>
        </w:rPr>
        <w:t>.</w:t>
      </w:r>
      <w:r>
        <w:rPr>
          <w:rFonts w:ascii="Times New Roman" w:hAnsi="Times New Roman" w:cs="Times New Roman"/>
          <w:sz w:val="24"/>
        </w:rPr>
        <w:t xml:space="preserve"> </w:t>
      </w:r>
      <w:r>
        <w:rPr>
          <w:rFonts w:ascii="Times New Roman" w:hAnsi="Times New Roman" w:cs="Times New Roman"/>
          <w:b/>
          <w:bCs/>
          <w:sz w:val="24"/>
        </w:rPr>
        <w:t>b</w:t>
      </w:r>
      <w:r>
        <w:rPr>
          <w:rFonts w:ascii="Times New Roman" w:hAnsi="Times New Roman" w:cs="Times New Roman"/>
          <w:sz w:val="24"/>
        </w:rPr>
        <w:t xml:space="preserve"> Annual cumulative diffuse solar radiation received by vertical exterior surfaces</w:t>
      </w:r>
      <w:r>
        <w:rPr>
          <w:rFonts w:hint="eastAsia" w:ascii="Times New Roman" w:hAnsi="Times New Roman" w:cs="Times New Roman"/>
          <w:sz w:val="24"/>
        </w:rPr>
        <w:t xml:space="preserve">. </w:t>
      </w:r>
      <w:r>
        <w:rPr>
          <w:rFonts w:ascii="Times New Roman" w:hAnsi="Times New Roman" w:cs="Times New Roman"/>
          <w:b/>
          <w:bCs/>
          <w:sz w:val="24"/>
        </w:rPr>
        <w:t>c</w:t>
      </w:r>
      <w:r>
        <w:rPr>
          <w:rFonts w:hint="eastAsia" w:ascii="Times New Roman" w:hAnsi="Times New Roman" w:cs="Times New Roman"/>
          <w:sz w:val="24"/>
        </w:rPr>
        <w:t xml:space="preserve"> </w:t>
      </w:r>
      <w:r>
        <w:rPr>
          <w:rFonts w:ascii="Times New Roman" w:hAnsi="Times New Roman" w:cs="Times New Roman"/>
          <w:sz w:val="24"/>
        </w:rPr>
        <w:t>Annual average outdoor air temperature</w:t>
      </w:r>
      <w:r>
        <w:rPr>
          <w:rFonts w:hint="eastAsia" w:ascii="Times New Roman" w:hAnsi="Times New Roman" w:cs="Times New Roman"/>
          <w:sz w:val="24"/>
        </w:rPr>
        <w:t xml:space="preserve">. </w:t>
      </w:r>
      <w:r>
        <w:rPr>
          <w:rFonts w:ascii="Times New Roman" w:hAnsi="Times New Roman" w:cs="Times New Roman"/>
          <w:b/>
          <w:bCs/>
          <w:sz w:val="24"/>
        </w:rPr>
        <w:t>D</w:t>
      </w:r>
      <w:r>
        <w:rPr>
          <w:rFonts w:hint="eastAsia" w:ascii="Times New Roman" w:hAnsi="Times New Roman" w:cs="Times New Roman"/>
          <w:b/>
          <w:bCs/>
          <w:sz w:val="24"/>
        </w:rPr>
        <w:t xml:space="preserve"> </w:t>
      </w:r>
      <w:r>
        <w:rPr>
          <w:rFonts w:ascii="Times New Roman" w:hAnsi="Times New Roman" w:cs="Times New Roman"/>
          <w:sz w:val="24"/>
        </w:rPr>
        <w:t>Annual average outdoor wind speed</w:t>
      </w:r>
      <w:r>
        <w:rPr>
          <w:rFonts w:hint="eastAsia" w:ascii="Times New Roman" w:hAnsi="Times New Roman" w:cs="Times New Roman"/>
          <w:sz w:val="24"/>
        </w:rPr>
        <w:t>.</w:t>
      </w:r>
      <w:r>
        <w:rPr>
          <w:rFonts w:hint="eastAsia" w:ascii="Times New Roman" w:hAnsi="Times New Roman" w:cs="Times New Roman"/>
          <w:b/>
          <w:bCs/>
          <w:sz w:val="24"/>
        </w:rPr>
        <w:t xml:space="preserve"> </w:t>
      </w:r>
      <w:r>
        <w:rPr>
          <w:rFonts w:ascii="Times New Roman" w:hAnsi="Times New Roman" w:cs="Times New Roman"/>
          <w:b/>
          <w:bCs/>
          <w:sz w:val="24"/>
        </w:rPr>
        <w:t xml:space="preserve">e </w:t>
      </w:r>
      <w:r>
        <w:rPr>
          <w:rFonts w:ascii="Times New Roman" w:hAnsi="Times New Roman" w:cs="Times New Roman"/>
          <w:sz w:val="24"/>
        </w:rPr>
        <w:t>Annual average total column water and</w:t>
      </w:r>
      <w:r>
        <w:rPr>
          <w:rFonts w:ascii="Times New Roman" w:hAnsi="Times New Roman" w:cs="Times New Roman"/>
          <w:b/>
          <w:bCs/>
          <w:sz w:val="24"/>
        </w:rPr>
        <w:t xml:space="preserve"> (f)</w:t>
      </w:r>
      <w:r>
        <w:rPr>
          <w:rFonts w:ascii="Times New Roman" w:hAnsi="Times New Roman" w:cs="Times New Roman"/>
          <w:sz w:val="24"/>
        </w:rPr>
        <w:t xml:space="preserve"> Annual average cloud cover.</w:t>
      </w:r>
    </w:p>
    <w:p w14:paraId="4DB62A27">
      <w:pPr>
        <w:rPr>
          <w:rFonts w:ascii="Times New Roman" w:hAnsi="Times New Roman"/>
          <w:bCs/>
          <w:position w:val="-32"/>
          <w:sz w:val="24"/>
        </w:rPr>
        <w:sectPr>
          <w:endnotePr>
            <w:numFmt w:val="decimal"/>
          </w:endnotePr>
          <w:pgSz w:w="16838" w:h="16838"/>
          <w:pgMar w:top="1417" w:right="1417" w:bottom="1417" w:left="1417" w:header="851" w:footer="992" w:gutter="0"/>
          <w:cols w:space="0" w:num="1"/>
          <w:docGrid w:type="lines" w:linePitch="322" w:charSpace="0"/>
        </w:sectPr>
      </w:pPr>
    </w:p>
    <w:p w14:paraId="2B135A67">
      <w:pPr>
        <w:jc w:val="center"/>
        <w:rPr>
          <w:sz w:val="24"/>
        </w:rPr>
      </w:pPr>
      <w:r>
        <w:rPr>
          <w:rFonts w:hint="eastAsia"/>
          <w:sz w:val="24"/>
        </w:rPr>
        <w:drawing>
          <wp:inline distT="0" distB="0" distL="114300" distR="114300">
            <wp:extent cx="5601335" cy="5805805"/>
            <wp:effectExtent l="0" t="0" r="18415" b="4445"/>
            <wp:docPr id="57" name="图片 5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图片2"/>
                    <pic:cNvPicPr>
                      <a:picLocks noChangeAspect="1"/>
                    </pic:cNvPicPr>
                  </pic:nvPicPr>
                  <pic:blipFill>
                    <a:blip r:embed="rId154"/>
                    <a:stretch>
                      <a:fillRect/>
                    </a:stretch>
                  </pic:blipFill>
                  <pic:spPr>
                    <a:xfrm>
                      <a:off x="0" y="0"/>
                      <a:ext cx="5601335" cy="5805805"/>
                    </a:xfrm>
                    <a:prstGeom prst="rect">
                      <a:avLst/>
                    </a:prstGeom>
                  </pic:spPr>
                </pic:pic>
              </a:graphicData>
            </a:graphic>
          </wp:inline>
        </w:drawing>
      </w:r>
    </w:p>
    <w:p w14:paraId="53B3EDC7">
      <w:pPr>
        <w:tabs>
          <w:tab w:val="left" w:pos="567"/>
        </w:tabs>
        <w:snapToGrid w:val="0"/>
        <w:spacing w:line="288" w:lineRule="auto"/>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 xml:space="preserve">43 </w:t>
      </w:r>
      <w:r>
        <w:rPr>
          <w:rFonts w:ascii="Times New Roman" w:hAnsi="Times New Roman" w:cs="Times New Roman"/>
          <w:sz w:val="24"/>
        </w:rPr>
        <w:t>World map of the load reduction of Janus window compared to low-e glazing</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ascii="Times New Roman" w:hAnsi="Times New Roman" w:cs="Times New Roman"/>
          <w:sz w:val="24"/>
        </w:rPr>
        <w:t xml:space="preserve"> </w:t>
      </w:r>
      <w:r>
        <w:rPr>
          <w:rFonts w:hint="eastAsia" w:ascii="Times New Roman" w:hAnsi="Times New Roman" w:cs="Times New Roman"/>
          <w:sz w:val="24"/>
        </w:rPr>
        <w:t>S</w:t>
      </w:r>
      <w:r>
        <w:rPr>
          <w:rFonts w:ascii="Times New Roman" w:hAnsi="Times New Roman" w:cs="Times New Roman"/>
          <w:sz w:val="24"/>
        </w:rPr>
        <w:t>pace cooling load reduction</w:t>
      </w:r>
      <w:r>
        <w:rPr>
          <w:rFonts w:hint="eastAsia" w:ascii="Times New Roman" w:hAnsi="Times New Roman" w:cs="Times New Roman"/>
          <w:sz w:val="24"/>
        </w:rPr>
        <w:t xml:space="preserve">. </w:t>
      </w:r>
      <w:r>
        <w:rPr>
          <w:rFonts w:hint="eastAsia" w:ascii="Times New Roman" w:hAnsi="Times New Roman" w:cs="Times New Roman"/>
          <w:b/>
          <w:bCs/>
          <w:sz w:val="24"/>
        </w:rPr>
        <w:t>b</w:t>
      </w:r>
      <w:r>
        <w:rPr>
          <w:rFonts w:hint="eastAsia" w:ascii="Times New Roman" w:hAnsi="Times New Roman" w:cs="Times New Roman"/>
          <w:sz w:val="24"/>
        </w:rPr>
        <w:t xml:space="preserve"> S</w:t>
      </w:r>
      <w:r>
        <w:rPr>
          <w:rFonts w:ascii="Times New Roman" w:hAnsi="Times New Roman" w:cs="Times New Roman"/>
          <w:sz w:val="24"/>
        </w:rPr>
        <w:t>pace heating load reduction.</w:t>
      </w:r>
    </w:p>
    <w:p w14:paraId="1DD19801">
      <w:pPr>
        <w:tabs>
          <w:tab w:val="left" w:pos="567"/>
        </w:tabs>
        <w:rPr>
          <w:sz w:val="24"/>
        </w:rPr>
      </w:pPr>
    </w:p>
    <w:p w14:paraId="732E0457">
      <w:pPr>
        <w:jc w:val="center"/>
        <w:rPr>
          <w:sz w:val="24"/>
        </w:rPr>
      </w:pPr>
      <w:r>
        <w:rPr>
          <w:rFonts w:hint="eastAsia"/>
          <w:sz w:val="24"/>
        </w:rPr>
        <w:drawing>
          <wp:inline distT="0" distB="0" distL="114300" distR="114300">
            <wp:extent cx="5555615" cy="5695950"/>
            <wp:effectExtent l="0" t="0" r="6985" b="0"/>
            <wp:docPr id="65" name="图片 6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1"/>
                    <pic:cNvPicPr>
                      <a:picLocks noChangeAspect="1"/>
                    </pic:cNvPicPr>
                  </pic:nvPicPr>
                  <pic:blipFill>
                    <a:blip r:embed="rId155"/>
                    <a:stretch>
                      <a:fillRect/>
                    </a:stretch>
                  </pic:blipFill>
                  <pic:spPr>
                    <a:xfrm>
                      <a:off x="0" y="0"/>
                      <a:ext cx="5555615" cy="5695950"/>
                    </a:xfrm>
                    <a:prstGeom prst="rect">
                      <a:avLst/>
                    </a:prstGeom>
                  </pic:spPr>
                </pic:pic>
              </a:graphicData>
            </a:graphic>
          </wp:inline>
        </w:drawing>
      </w:r>
    </w:p>
    <w:p w14:paraId="22E389F1">
      <w:pPr>
        <w:tabs>
          <w:tab w:val="left" w:pos="567"/>
        </w:tabs>
        <w:snapToGrid w:val="0"/>
        <w:spacing w:after="936" w:afterLines="300" w:line="288" w:lineRule="auto"/>
        <w:rPr>
          <w:sz w:val="24"/>
        </w:rPr>
      </w:pPr>
      <w:r>
        <w:rPr>
          <w:rFonts w:ascii="Times New Roman" w:hAnsi="Times New Roman" w:cs="Times New Roman"/>
          <w:b/>
          <w:bCs/>
          <w:sz w:val="24"/>
        </w:rPr>
        <w:t xml:space="preserve">Figure </w:t>
      </w:r>
      <w:r>
        <w:rPr>
          <w:rFonts w:hint="eastAsia" w:ascii="Times New Roman" w:hAnsi="Times New Roman" w:cs="Times New Roman"/>
          <w:b/>
          <w:bCs/>
          <w:sz w:val="24"/>
        </w:rPr>
        <w:t xml:space="preserve">44 </w:t>
      </w:r>
      <w:r>
        <w:rPr>
          <w:rFonts w:ascii="Times New Roman" w:hAnsi="Times New Roman" w:cs="Times New Roman"/>
          <w:sz w:val="24"/>
        </w:rPr>
        <w:t xml:space="preserve">World map of the </w:t>
      </w:r>
      <w:r>
        <w:rPr>
          <w:rFonts w:hint="eastAsia" w:ascii="Times New Roman" w:hAnsi="Times New Roman" w:cs="Times New Roman"/>
          <w:sz w:val="24"/>
        </w:rPr>
        <w:t>yearly cumulative solar heat gain of the</w:t>
      </w:r>
      <w:r>
        <w:rPr>
          <w:rFonts w:hint="eastAsia" w:ascii="Times New Roman" w:hAnsi="Times New Roman" w:cs="Times New Roman"/>
          <w:b/>
          <w:bCs/>
          <w:sz w:val="24"/>
        </w:rPr>
        <w:t xml:space="preserve"> (a) </w:t>
      </w:r>
      <w:r>
        <w:rPr>
          <w:rFonts w:hint="eastAsia" w:ascii="Times New Roman" w:hAnsi="Times New Roman" w:cs="Times New Roman"/>
          <w:sz w:val="24"/>
        </w:rPr>
        <w:t>JD window and</w:t>
      </w:r>
      <w:r>
        <w:rPr>
          <w:rFonts w:hint="eastAsia" w:ascii="Times New Roman" w:hAnsi="Times New Roman" w:cs="Times New Roman"/>
          <w:b/>
          <w:bCs/>
          <w:sz w:val="24"/>
        </w:rPr>
        <w:t xml:space="preserve"> (b)</w:t>
      </w:r>
      <w:r>
        <w:rPr>
          <w:rFonts w:hint="eastAsia" w:ascii="Times New Roman" w:hAnsi="Times New Roman" w:cs="Times New Roman"/>
          <w:sz w:val="24"/>
        </w:rPr>
        <w:t xml:space="preserve"> low-e glazing. </w:t>
      </w:r>
    </w:p>
    <w:p w14:paraId="58480489">
      <w:pPr>
        <w:jc w:val="center"/>
        <w:rPr>
          <w:sz w:val="24"/>
        </w:rPr>
      </w:pPr>
      <w:r>
        <w:rPr>
          <w:rFonts w:hint="eastAsia"/>
          <w:sz w:val="24"/>
        </w:rPr>
        <w:drawing>
          <wp:inline distT="0" distB="0" distL="114300" distR="114300">
            <wp:extent cx="5266055" cy="2684145"/>
            <wp:effectExtent l="0" t="0" r="10795" b="0"/>
            <wp:docPr id="67" name="图片 67" descr="Yearly radiative cooling power of the JB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Yearly radiative cooling power of the JB window"/>
                    <pic:cNvPicPr>
                      <a:picLocks noChangeAspect="1"/>
                    </pic:cNvPicPr>
                  </pic:nvPicPr>
                  <pic:blipFill>
                    <a:blip r:embed="rId156"/>
                    <a:stretch>
                      <a:fillRect/>
                    </a:stretch>
                  </pic:blipFill>
                  <pic:spPr>
                    <a:xfrm>
                      <a:off x="0" y="0"/>
                      <a:ext cx="5266055" cy="2684145"/>
                    </a:xfrm>
                    <a:prstGeom prst="rect">
                      <a:avLst/>
                    </a:prstGeom>
                  </pic:spPr>
                </pic:pic>
              </a:graphicData>
            </a:graphic>
          </wp:inline>
        </w:drawing>
      </w:r>
    </w:p>
    <w:p w14:paraId="63964408">
      <w:pPr>
        <w:tabs>
          <w:tab w:val="left" w:pos="567"/>
        </w:tabs>
        <w:snapToGrid w:val="0"/>
        <w:spacing w:after="936" w:afterLines="300" w:line="288" w:lineRule="auto"/>
        <w:jc w:val="center"/>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 xml:space="preserve">45 </w:t>
      </w:r>
      <w:r>
        <w:rPr>
          <w:rFonts w:ascii="Times New Roman" w:hAnsi="Times New Roman" w:cs="Times New Roman"/>
          <w:sz w:val="24"/>
        </w:rPr>
        <w:t xml:space="preserve">World map of the </w:t>
      </w:r>
      <w:r>
        <w:rPr>
          <w:rFonts w:hint="eastAsia" w:ascii="Times New Roman" w:hAnsi="Times New Roman" w:cs="Times New Roman"/>
          <w:sz w:val="24"/>
        </w:rPr>
        <w:t>yearly cumulative radiative cooling power of the JD window</w:t>
      </w:r>
    </w:p>
    <w:p w14:paraId="75C52CC0">
      <w:pPr>
        <w:jc w:val="center"/>
        <w:rPr>
          <w:rFonts w:ascii="Times New Roman" w:hAnsi="Times New Roman" w:cs="Times New Roman"/>
          <w:sz w:val="24"/>
        </w:rPr>
      </w:pPr>
      <w:r>
        <w:rPr>
          <w:rFonts w:hint="eastAsia" w:ascii="Times New Roman" w:hAnsi="Times New Roman" w:cs="Times New Roman"/>
          <w:sz w:val="24"/>
        </w:rPr>
        <w:drawing>
          <wp:inline distT="0" distB="0" distL="114300" distR="114300">
            <wp:extent cx="5741035" cy="2687955"/>
            <wp:effectExtent l="0" t="0" r="12065" b="17145"/>
            <wp:docPr id="7" name="图片 7" descr="City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ity comparison"/>
                    <pic:cNvPicPr>
                      <a:picLocks noChangeAspect="1"/>
                    </pic:cNvPicPr>
                  </pic:nvPicPr>
                  <pic:blipFill>
                    <a:blip r:embed="rId157"/>
                    <a:srcRect l="9612" t="23436" r="9564" b="14758"/>
                    <a:stretch>
                      <a:fillRect/>
                    </a:stretch>
                  </pic:blipFill>
                  <pic:spPr>
                    <a:xfrm>
                      <a:off x="0" y="0"/>
                      <a:ext cx="5741035" cy="2687955"/>
                    </a:xfrm>
                    <a:prstGeom prst="rect">
                      <a:avLst/>
                    </a:prstGeom>
                  </pic:spPr>
                </pic:pic>
              </a:graphicData>
            </a:graphic>
          </wp:inline>
        </w:drawing>
      </w:r>
    </w:p>
    <w:p w14:paraId="49176434">
      <w:pPr>
        <w:tabs>
          <w:tab w:val="left" w:pos="567"/>
        </w:tabs>
        <w:snapToGrid w:val="0"/>
        <w:spacing w:line="288" w:lineRule="auto"/>
        <w:jc w:val="center"/>
        <w:rPr>
          <w:rFonts w:ascii="Times New Roman" w:hAnsi="Times New Roman" w:cs="Times New Roman"/>
          <w:sz w:val="24"/>
        </w:rPr>
      </w:pPr>
      <w:r>
        <w:rPr>
          <w:rFonts w:ascii="Times New Roman" w:hAnsi="Times New Roman" w:cs="Times New Roman"/>
          <w:b/>
          <w:bCs/>
          <w:sz w:val="24"/>
        </w:rPr>
        <w:t xml:space="preserve">Figure </w:t>
      </w:r>
      <w:r>
        <w:rPr>
          <w:rFonts w:hint="eastAsia" w:ascii="Times New Roman" w:hAnsi="Times New Roman" w:cs="Times New Roman"/>
          <w:b/>
          <w:bCs/>
          <w:sz w:val="24"/>
        </w:rPr>
        <w:t>46</w:t>
      </w:r>
      <w:r>
        <w:rPr>
          <w:rFonts w:ascii="Times New Roman" w:hAnsi="Times New Roman" w:cs="Times New Roman"/>
          <w:sz w:val="24"/>
        </w:rPr>
        <w:t xml:space="preserve"> </w:t>
      </w:r>
      <w:r>
        <w:rPr>
          <w:rFonts w:hint="eastAsia" w:ascii="Times New Roman" w:hAnsi="Times New Roman" w:cs="Times New Roman"/>
          <w:sz w:val="24"/>
        </w:rPr>
        <w:t>Energy-saving performance of the JD window across 23 major global cities</w:t>
      </w:r>
    </w:p>
    <w:p w14:paraId="2F6B0956">
      <w:pPr>
        <w:tabs>
          <w:tab w:val="left" w:pos="567"/>
        </w:tabs>
        <w:snapToGrid w:val="0"/>
        <w:spacing w:line="288" w:lineRule="auto"/>
        <w:rPr>
          <w:rFonts w:ascii="Times New Roman" w:hAnsi="Times New Roman" w:cs="Times New Roman"/>
          <w:sz w:val="24"/>
        </w:rPr>
      </w:pPr>
    </w:p>
    <w:p w14:paraId="6D929132">
      <w:pPr>
        <w:tabs>
          <w:tab w:val="left" w:pos="567"/>
        </w:tabs>
        <w:snapToGrid w:val="0"/>
        <w:spacing w:line="288" w:lineRule="auto"/>
        <w:rPr>
          <w:rFonts w:ascii="Times New Roman" w:hAnsi="Times New Roman" w:cs="Times New Roman"/>
          <w:sz w:val="24"/>
        </w:rPr>
      </w:pPr>
    </w:p>
    <w:p w14:paraId="5FBBD1FD">
      <w:pPr>
        <w:tabs>
          <w:tab w:val="left" w:pos="567"/>
        </w:tabs>
        <w:snapToGrid w:val="0"/>
        <w:spacing w:line="288" w:lineRule="auto"/>
        <w:rPr>
          <w:rFonts w:ascii="Times New Roman" w:hAnsi="Times New Roman" w:cs="Times New Roman"/>
          <w:sz w:val="24"/>
        </w:rPr>
      </w:pPr>
    </w:p>
    <w:p w14:paraId="100599DA">
      <w:pPr>
        <w:tabs>
          <w:tab w:val="left" w:pos="567"/>
        </w:tabs>
        <w:snapToGrid w:val="0"/>
        <w:spacing w:line="288" w:lineRule="auto"/>
        <w:rPr>
          <w:rFonts w:ascii="Times New Roman" w:hAnsi="Times New Roman" w:cs="Times New Roman"/>
          <w:sz w:val="24"/>
        </w:rPr>
      </w:pPr>
    </w:p>
    <w:p w14:paraId="6944171E">
      <w:pPr>
        <w:tabs>
          <w:tab w:val="left" w:pos="567"/>
        </w:tabs>
        <w:snapToGrid w:val="0"/>
        <w:spacing w:line="288" w:lineRule="auto"/>
        <w:rPr>
          <w:rFonts w:ascii="Times New Roman" w:hAnsi="Times New Roman" w:cs="Times New Roman"/>
          <w:sz w:val="24"/>
        </w:rPr>
      </w:pPr>
    </w:p>
    <w:p w14:paraId="561AD789">
      <w:pPr>
        <w:tabs>
          <w:tab w:val="left" w:pos="567"/>
        </w:tabs>
        <w:rPr>
          <w:sz w:val="24"/>
        </w:rPr>
        <w:sectPr>
          <w:endnotePr>
            <w:numFmt w:val="decimal"/>
          </w:endnotePr>
          <w:pgSz w:w="11906" w:h="16838"/>
          <w:pgMar w:top="1417" w:right="1417" w:bottom="1417" w:left="1417" w:header="851" w:footer="992" w:gutter="0"/>
          <w:cols w:space="720" w:num="1"/>
          <w:docGrid w:type="lines" w:linePitch="312" w:charSpace="0"/>
        </w:sectPr>
      </w:pPr>
    </w:p>
    <w:p w14:paraId="54C92CBB">
      <w:pPr>
        <w:pStyle w:val="5"/>
        <w:widowControl/>
        <w:spacing w:beforeAutospacing="0" w:after="332" w:afterLines="100" w:afterAutospacing="0" w:line="480" w:lineRule="auto"/>
        <w:jc w:val="both"/>
        <w:rPr>
          <w:rFonts w:ascii="Times New Roman" w:hAnsi="Times New Roman" w:eastAsia="宋体"/>
          <w:b/>
          <w:bCs/>
          <w:shd w:val="clear" w:color="auto" w:fill="FFFFFF"/>
        </w:rPr>
      </w:pPr>
      <w:bookmarkStart w:id="1" w:name="_Toc201166453"/>
      <w:r>
        <w:rPr>
          <w:rFonts w:ascii="Times New Roman" w:hAnsi="Times New Roman" w:eastAsia="sans-serif"/>
          <w:b/>
          <w:bCs/>
          <w:shd w:val="clear" w:color="auto" w:fill="FFFFFF"/>
        </w:rPr>
        <w:t>Supplementary</w:t>
      </w:r>
      <w:r>
        <w:rPr>
          <w:rFonts w:hint="eastAsia" w:ascii="Times New Roman" w:hAnsi="Times New Roman" w:eastAsia="宋体"/>
          <w:b/>
          <w:bCs/>
          <w:shd w:val="clear" w:color="auto" w:fill="FFFFFF"/>
        </w:rPr>
        <w:t xml:space="preserve"> Tables</w:t>
      </w:r>
    </w:p>
    <w:p w14:paraId="7234059A">
      <w:pPr>
        <w:tabs>
          <w:tab w:val="left" w:pos="567"/>
        </w:tabs>
        <w:spacing w:before="996" w:beforeLines="300" w:after="332" w:afterLines="100" w:line="360" w:lineRule="auto"/>
        <w:rPr>
          <w:rFonts w:ascii="Times New Roman" w:hAnsi="Times New Roman" w:cs="Times New Roman"/>
          <w:sz w:val="24"/>
        </w:rPr>
      </w:pPr>
      <w:r>
        <w:rPr>
          <w:rFonts w:ascii="Times New Roman" w:hAnsi="Times New Roman" w:cs="Times New Roman"/>
          <w:b/>
          <w:bCs/>
          <w:iCs/>
          <w:sz w:val="24"/>
        </w:rPr>
        <w:t xml:space="preserve">Table </w:t>
      </w:r>
      <w:r>
        <w:rPr>
          <w:rFonts w:hint="eastAsia" w:ascii="Times New Roman" w:hAnsi="Times New Roman" w:cs="Times New Roman"/>
          <w:b/>
          <w:bCs/>
          <w:iCs/>
          <w:sz w:val="24"/>
        </w:rPr>
        <w:t>S1</w:t>
      </w:r>
      <w:r>
        <w:rPr>
          <w:rFonts w:ascii="Times New Roman" w:hAnsi="Times New Roman" w:cs="Times New Roman"/>
          <w:sz w:val="24"/>
        </w:rPr>
        <w:t xml:space="preserve"> </w:t>
      </w:r>
      <w:r>
        <w:rPr>
          <w:rFonts w:hint="eastAsia" w:ascii="Times New Roman" w:hAnsi="Times New Roman" w:cs="Times New Roman"/>
          <w:sz w:val="24"/>
        </w:rPr>
        <w:t>ICP analysis of the HL</w:t>
      </w:r>
    </w:p>
    <w:tbl>
      <w:tblPr>
        <w:tblStyle w:val="6"/>
        <w:tblW w:w="10375" w:type="dxa"/>
        <w:tblInd w:w="0" w:type="dxa"/>
        <w:tblLayout w:type="fixed"/>
        <w:tblCellMar>
          <w:top w:w="0" w:type="dxa"/>
          <w:left w:w="108" w:type="dxa"/>
          <w:bottom w:w="0" w:type="dxa"/>
          <w:right w:w="108" w:type="dxa"/>
        </w:tblCellMar>
      </w:tblPr>
      <w:tblGrid>
        <w:gridCol w:w="2821"/>
        <w:gridCol w:w="1431"/>
        <w:gridCol w:w="1200"/>
        <w:gridCol w:w="946"/>
        <w:gridCol w:w="1489"/>
        <w:gridCol w:w="957"/>
        <w:gridCol w:w="1531"/>
      </w:tblGrid>
      <w:tr w14:paraId="7E63EA6B">
        <w:tblPrEx>
          <w:tblCellMar>
            <w:top w:w="0" w:type="dxa"/>
            <w:left w:w="108" w:type="dxa"/>
            <w:bottom w:w="0" w:type="dxa"/>
            <w:right w:w="108" w:type="dxa"/>
          </w:tblCellMar>
        </w:tblPrEx>
        <w:trPr>
          <w:trHeight w:val="1061" w:hRule="atLeast"/>
        </w:trPr>
        <w:tc>
          <w:tcPr>
            <w:tcW w:w="2821" w:type="dxa"/>
            <w:tcBorders>
              <w:top w:val="single" w:color="auto" w:sz="12" w:space="0"/>
              <w:bottom w:val="single" w:color="auto" w:sz="4" w:space="0"/>
            </w:tcBorders>
            <w:shd w:val="clear" w:color="auto" w:fill="auto"/>
            <w:vAlign w:val="center"/>
          </w:tcPr>
          <w:p w14:paraId="3F3B6A6F">
            <w:pPr>
              <w:widowControl/>
              <w:jc w:val="center"/>
              <w:rPr>
                <w:rFonts w:ascii="Times New Roman" w:hAnsi="Times New Roman" w:eastAsia="宋体" w:cs="Times New Roman"/>
                <w:b/>
                <w:bCs/>
                <w:kern w:val="0"/>
                <w:sz w:val="20"/>
                <w:szCs w:val="20"/>
                <w:lang w:bidi="ar"/>
              </w:rPr>
            </w:pPr>
            <w:r>
              <w:rPr>
                <w:rFonts w:ascii="Times New Roman" w:hAnsi="Times New Roman" w:eastAsia="宋体" w:cs="Times New Roman"/>
                <w:b/>
                <w:bCs/>
                <w:kern w:val="0"/>
                <w:sz w:val="20"/>
                <w:szCs w:val="20"/>
                <w:lang w:bidi="ar"/>
              </w:rPr>
              <w:t>Solute</w:t>
            </w:r>
          </w:p>
        </w:tc>
        <w:tc>
          <w:tcPr>
            <w:tcW w:w="1431" w:type="dxa"/>
            <w:tcBorders>
              <w:top w:val="single" w:color="auto" w:sz="12" w:space="0"/>
              <w:bottom w:val="single" w:color="auto" w:sz="4" w:space="0"/>
            </w:tcBorders>
            <w:shd w:val="clear" w:color="auto" w:fill="auto"/>
            <w:vAlign w:val="center"/>
          </w:tcPr>
          <w:p w14:paraId="584BE2C6">
            <w:pPr>
              <w:widowControl/>
              <w:jc w:val="center"/>
              <w:rPr>
                <w:rFonts w:ascii="Times New Roman" w:hAnsi="Times New Roman" w:eastAsia="宋体" w:cs="Times New Roman"/>
                <w:color w:val="000000"/>
                <w:sz w:val="20"/>
                <w:szCs w:val="20"/>
              </w:rPr>
            </w:pPr>
            <w:r>
              <w:rPr>
                <w:rFonts w:ascii="Times New Roman" w:hAnsi="Times New Roman" w:eastAsia="宋体" w:cs="Times New Roman"/>
                <w:b/>
                <w:bCs/>
                <w:kern w:val="0"/>
                <w:sz w:val="20"/>
                <w:szCs w:val="20"/>
                <w:lang w:bidi="ar"/>
              </w:rPr>
              <w:t xml:space="preserve">Sample Volume </w:t>
            </w:r>
            <w:r>
              <w:rPr>
                <w:rFonts w:ascii="Times New Roman" w:hAnsi="Times New Roman" w:eastAsia="宋体" w:cs="Times New Roman"/>
                <w:kern w:val="0"/>
                <w:sz w:val="20"/>
                <w:szCs w:val="20"/>
                <w:lang w:bidi="ar"/>
              </w:rPr>
              <w:t>(mL)</w:t>
            </w:r>
          </w:p>
        </w:tc>
        <w:tc>
          <w:tcPr>
            <w:tcW w:w="1200" w:type="dxa"/>
            <w:tcBorders>
              <w:top w:val="single" w:color="auto" w:sz="12" w:space="0"/>
              <w:bottom w:val="single" w:color="auto" w:sz="4" w:space="0"/>
            </w:tcBorders>
            <w:shd w:val="clear" w:color="auto" w:fill="auto"/>
            <w:vAlign w:val="center"/>
          </w:tcPr>
          <w:p w14:paraId="161B1792">
            <w:pPr>
              <w:widowControl/>
              <w:jc w:val="center"/>
              <w:rPr>
                <w:rFonts w:ascii="Times New Roman" w:hAnsi="Times New Roman" w:eastAsia="宋体" w:cs="Times New Roman"/>
                <w:color w:val="000000"/>
                <w:sz w:val="20"/>
                <w:szCs w:val="20"/>
              </w:rPr>
            </w:pPr>
            <w:r>
              <w:rPr>
                <w:rFonts w:ascii="Times New Roman" w:hAnsi="Times New Roman" w:eastAsia="宋体" w:cs="Times New Roman"/>
                <w:b/>
                <w:bCs/>
                <w:kern w:val="0"/>
                <w:sz w:val="20"/>
                <w:szCs w:val="20"/>
                <w:lang w:bidi="ar"/>
              </w:rPr>
              <w:t>Final Volume V</w:t>
            </w:r>
            <w:r>
              <w:rPr>
                <w:rFonts w:hint="eastAsia" w:ascii="Times New Roman" w:hAnsi="Times New Roman" w:eastAsia="宋体" w:cs="Times New Roman"/>
                <w:b/>
                <w:bCs/>
                <w:kern w:val="0"/>
                <w:sz w:val="20"/>
                <w:szCs w:val="20"/>
                <w:vertAlign w:val="subscript"/>
                <w:lang w:bidi="ar"/>
              </w:rPr>
              <w:t>0</w:t>
            </w:r>
            <w:r>
              <w:rPr>
                <w:rFonts w:hint="eastAsia" w:ascii="Times New Roman" w:hAnsi="Times New Roman" w:eastAsia="宋体" w:cs="Times New Roman"/>
                <w:b/>
                <w:bCs/>
                <w:kern w:val="0"/>
                <w:sz w:val="20"/>
                <w:szCs w:val="20"/>
                <w:lang w:bidi="ar"/>
              </w:rPr>
              <w:t xml:space="preserve"> </w:t>
            </w:r>
            <w:r>
              <w:rPr>
                <w:rFonts w:ascii="Times New Roman" w:hAnsi="Times New Roman" w:eastAsia="宋体" w:cs="Times New Roman"/>
                <w:kern w:val="0"/>
                <w:sz w:val="20"/>
                <w:szCs w:val="20"/>
                <w:lang w:bidi="ar"/>
              </w:rPr>
              <w:t>(mL)</w:t>
            </w:r>
          </w:p>
        </w:tc>
        <w:tc>
          <w:tcPr>
            <w:tcW w:w="946" w:type="dxa"/>
            <w:tcBorders>
              <w:top w:val="single" w:color="auto" w:sz="12" w:space="0"/>
              <w:bottom w:val="single" w:color="auto" w:sz="4" w:space="0"/>
            </w:tcBorders>
            <w:shd w:val="clear" w:color="auto" w:fill="auto"/>
            <w:vAlign w:val="center"/>
          </w:tcPr>
          <w:p w14:paraId="3028C3C3">
            <w:pPr>
              <w:widowControl/>
              <w:jc w:val="center"/>
              <w:rPr>
                <w:rFonts w:ascii="Times New Roman" w:hAnsi="Times New Roman" w:eastAsia="宋体" w:cs="Times New Roman"/>
                <w:color w:val="000000"/>
                <w:sz w:val="20"/>
                <w:szCs w:val="20"/>
              </w:rPr>
            </w:pPr>
            <w:r>
              <w:rPr>
                <w:rFonts w:ascii="Times New Roman" w:hAnsi="Times New Roman" w:eastAsia="宋体" w:cs="Times New Roman"/>
                <w:b/>
                <w:bCs/>
                <w:kern w:val="0"/>
                <w:sz w:val="20"/>
                <w:szCs w:val="20"/>
                <w:lang w:bidi="ar"/>
              </w:rPr>
              <w:t>Element</w:t>
            </w:r>
          </w:p>
        </w:tc>
        <w:tc>
          <w:tcPr>
            <w:tcW w:w="1489" w:type="dxa"/>
            <w:tcBorders>
              <w:top w:val="single" w:color="auto" w:sz="12" w:space="0"/>
              <w:bottom w:val="single" w:color="auto" w:sz="4" w:space="0"/>
            </w:tcBorders>
            <w:shd w:val="clear" w:color="auto" w:fill="auto"/>
            <w:vAlign w:val="center"/>
          </w:tcPr>
          <w:p w14:paraId="026B3997">
            <w:pPr>
              <w:widowControl/>
              <w:jc w:val="center"/>
              <w:rPr>
                <w:rFonts w:ascii="Times New Roman" w:hAnsi="Times New Roman" w:eastAsia="宋体" w:cs="Times New Roman"/>
                <w:color w:val="000000"/>
                <w:sz w:val="20"/>
                <w:szCs w:val="20"/>
              </w:rPr>
            </w:pPr>
            <w:r>
              <w:rPr>
                <w:rFonts w:ascii="Times New Roman" w:hAnsi="Times New Roman" w:eastAsia="宋体" w:cs="Times New Roman"/>
                <w:b/>
                <w:bCs/>
                <w:kern w:val="0"/>
                <w:sz w:val="20"/>
                <w:szCs w:val="20"/>
                <w:lang w:bidi="ar"/>
              </w:rPr>
              <w:t>Concentration C</w:t>
            </w:r>
            <w:r>
              <w:rPr>
                <w:rFonts w:hint="eastAsia" w:ascii="Times New Roman" w:hAnsi="Times New Roman" w:eastAsia="宋体" w:cs="Times New Roman"/>
                <w:b/>
                <w:bCs/>
                <w:kern w:val="0"/>
                <w:sz w:val="20"/>
                <w:szCs w:val="20"/>
                <w:vertAlign w:val="subscript"/>
                <w:lang w:bidi="ar"/>
              </w:rPr>
              <w:t>0</w:t>
            </w:r>
            <w:r>
              <w:rPr>
                <w:rFonts w:ascii="Times New Roman" w:hAnsi="Times New Roman" w:eastAsia="宋体" w:cs="Times New Roman"/>
                <w:kern w:val="0"/>
                <w:sz w:val="20"/>
                <w:szCs w:val="20"/>
                <w:lang w:bidi="ar"/>
              </w:rPr>
              <w:t xml:space="preserve"> (mg/L)</w:t>
            </w:r>
          </w:p>
        </w:tc>
        <w:tc>
          <w:tcPr>
            <w:tcW w:w="957" w:type="dxa"/>
            <w:tcBorders>
              <w:top w:val="single" w:color="auto" w:sz="12" w:space="0"/>
              <w:bottom w:val="single" w:color="auto" w:sz="4" w:space="0"/>
            </w:tcBorders>
            <w:shd w:val="clear" w:color="auto" w:fill="auto"/>
            <w:vAlign w:val="center"/>
          </w:tcPr>
          <w:p w14:paraId="7E3FE816">
            <w:pPr>
              <w:widowControl/>
              <w:jc w:val="center"/>
              <w:rPr>
                <w:rFonts w:ascii="Times New Roman" w:hAnsi="Times New Roman" w:eastAsia="宋体" w:cs="Times New Roman"/>
                <w:color w:val="000000"/>
                <w:sz w:val="20"/>
                <w:szCs w:val="20"/>
              </w:rPr>
            </w:pPr>
            <w:r>
              <w:rPr>
                <w:rFonts w:ascii="Times New Roman" w:hAnsi="Times New Roman" w:eastAsia="宋体" w:cs="Times New Roman"/>
                <w:b/>
                <w:bCs/>
                <w:kern w:val="0"/>
                <w:sz w:val="20"/>
                <w:szCs w:val="20"/>
                <w:lang w:bidi="ar"/>
              </w:rPr>
              <w:t xml:space="preserve">Dilution Factor </w:t>
            </w:r>
            <w:r>
              <w:rPr>
                <w:rStyle w:val="11"/>
                <w:rFonts w:ascii="Times New Roman" w:hAnsi="Times New Roman" w:eastAsia="宋体" w:cs="Times New Roman"/>
                <w:kern w:val="0"/>
                <w:sz w:val="20"/>
                <w:szCs w:val="20"/>
                <w:lang w:bidi="ar"/>
              </w:rPr>
              <w:t>f</w:t>
            </w:r>
          </w:p>
        </w:tc>
        <w:tc>
          <w:tcPr>
            <w:tcW w:w="1531" w:type="dxa"/>
            <w:tcBorders>
              <w:top w:val="single" w:color="auto" w:sz="12" w:space="0"/>
              <w:bottom w:val="single" w:color="auto" w:sz="4" w:space="0"/>
            </w:tcBorders>
            <w:shd w:val="clear" w:color="auto" w:fill="auto"/>
            <w:vAlign w:val="center"/>
          </w:tcPr>
          <w:p w14:paraId="39184BF1">
            <w:pPr>
              <w:widowControl/>
              <w:jc w:val="center"/>
              <w:rPr>
                <w:rFonts w:ascii="Times New Roman" w:hAnsi="Times New Roman" w:eastAsia="宋体" w:cs="Times New Roman"/>
                <w:color w:val="000000"/>
                <w:sz w:val="20"/>
                <w:szCs w:val="20"/>
              </w:rPr>
            </w:pPr>
            <w:r>
              <w:rPr>
                <w:rFonts w:ascii="Times New Roman" w:hAnsi="Times New Roman" w:eastAsia="宋体" w:cs="Times New Roman"/>
                <w:b/>
                <w:bCs/>
                <w:kern w:val="0"/>
                <w:sz w:val="20"/>
                <w:szCs w:val="20"/>
                <w:lang w:bidi="ar"/>
              </w:rPr>
              <w:t>Element Concentration</w:t>
            </w:r>
            <w:r>
              <w:rPr>
                <w:rFonts w:hint="eastAsia" w:ascii="Times New Roman" w:hAnsi="Times New Roman" w:eastAsia="宋体" w:cs="Times New Roman"/>
                <w:b/>
                <w:bCs/>
                <w:kern w:val="0"/>
                <w:sz w:val="20"/>
                <w:szCs w:val="20"/>
                <w:lang w:bidi="ar"/>
              </w:rPr>
              <w:t xml:space="preserve"> </w:t>
            </w:r>
            <w:r>
              <w:rPr>
                <w:rFonts w:ascii="Times New Roman" w:hAnsi="Times New Roman" w:eastAsia="宋体" w:cs="Times New Roman"/>
                <w:b/>
                <w:bCs/>
                <w:kern w:val="0"/>
                <w:sz w:val="20"/>
                <w:szCs w:val="20"/>
                <w:lang w:bidi="ar"/>
              </w:rPr>
              <w:t>C</w:t>
            </w:r>
            <w:r>
              <w:rPr>
                <w:rFonts w:hint="eastAsia" w:ascii="Times New Roman" w:hAnsi="Times New Roman" w:eastAsia="宋体" w:cs="Times New Roman"/>
                <w:b/>
                <w:bCs/>
                <w:kern w:val="0"/>
                <w:sz w:val="20"/>
                <w:szCs w:val="20"/>
                <w:vertAlign w:val="subscript"/>
                <w:lang w:bidi="ar"/>
              </w:rPr>
              <w:t>1</w:t>
            </w:r>
            <w:r>
              <w:rPr>
                <w:rFonts w:ascii="Times New Roman" w:hAnsi="Times New Roman" w:eastAsia="宋体" w:cs="Times New Roman"/>
                <w:kern w:val="0"/>
                <w:sz w:val="20"/>
                <w:szCs w:val="20"/>
                <w:lang w:bidi="ar"/>
              </w:rPr>
              <w:t xml:space="preserve"> (mg/L)</w:t>
            </w:r>
          </w:p>
        </w:tc>
      </w:tr>
      <w:tr w14:paraId="26F84AFD">
        <w:tblPrEx>
          <w:tblCellMar>
            <w:top w:w="0" w:type="dxa"/>
            <w:left w:w="108" w:type="dxa"/>
            <w:bottom w:w="0" w:type="dxa"/>
            <w:right w:w="108" w:type="dxa"/>
          </w:tblCellMar>
        </w:tblPrEx>
        <w:trPr>
          <w:trHeight w:val="353" w:hRule="atLeast"/>
        </w:trPr>
        <w:tc>
          <w:tcPr>
            <w:tcW w:w="2821" w:type="dxa"/>
            <w:vMerge w:val="restart"/>
            <w:tcBorders>
              <w:top w:val="single" w:color="auto" w:sz="4" w:space="0"/>
            </w:tcBorders>
            <w:shd w:val="clear" w:color="auto" w:fill="auto"/>
            <w:noWrap/>
            <w:vAlign w:val="bottom"/>
          </w:tcPr>
          <w:p w14:paraId="7EF60EB9">
            <w:pPr>
              <w:widowControl/>
              <w:jc w:val="center"/>
              <w:textAlignment w:val="bottom"/>
              <w:rPr>
                <w:rFonts w:ascii="Times New Roman" w:hAnsi="Times New Roman" w:eastAsia="宋体" w:cs="Times New Roman"/>
                <w:color w:val="000000"/>
                <w:kern w:val="0"/>
                <w:sz w:val="20"/>
                <w:szCs w:val="20"/>
                <w:lang w:bidi="ar"/>
              </w:rPr>
            </w:pPr>
            <w:r>
              <w:drawing>
                <wp:inline distT="0" distB="0" distL="114300" distR="114300">
                  <wp:extent cx="1798955" cy="1698625"/>
                  <wp:effectExtent l="0" t="0" r="0" b="15875"/>
                  <wp:docPr id="9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9"/>
                          <pic:cNvPicPr>
                            <a:picLocks noChangeAspect="1"/>
                          </pic:cNvPicPr>
                        </pic:nvPicPr>
                        <pic:blipFill>
                          <a:blip r:embed="rId158"/>
                          <a:stretch>
                            <a:fillRect/>
                          </a:stretch>
                        </pic:blipFill>
                        <pic:spPr>
                          <a:xfrm>
                            <a:off x="0" y="0"/>
                            <a:ext cx="1798955" cy="1698625"/>
                          </a:xfrm>
                          <a:prstGeom prst="rect">
                            <a:avLst/>
                          </a:prstGeom>
                          <a:noFill/>
                          <a:ln>
                            <a:noFill/>
                          </a:ln>
                        </pic:spPr>
                      </pic:pic>
                    </a:graphicData>
                  </a:graphic>
                </wp:inline>
              </w:drawing>
            </w:r>
          </w:p>
        </w:tc>
        <w:tc>
          <w:tcPr>
            <w:tcW w:w="1431" w:type="dxa"/>
            <w:tcBorders>
              <w:top w:val="single" w:color="auto" w:sz="4" w:space="0"/>
            </w:tcBorders>
            <w:shd w:val="clear" w:color="auto" w:fill="auto"/>
            <w:noWrap/>
            <w:vAlign w:val="bottom"/>
          </w:tcPr>
          <w:p w14:paraId="779C6821">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w:t>
            </w:r>
          </w:p>
        </w:tc>
        <w:tc>
          <w:tcPr>
            <w:tcW w:w="1200" w:type="dxa"/>
            <w:tcBorders>
              <w:top w:val="single" w:color="auto" w:sz="4" w:space="0"/>
            </w:tcBorders>
            <w:shd w:val="clear" w:color="auto" w:fill="auto"/>
            <w:noWrap/>
            <w:vAlign w:val="bottom"/>
          </w:tcPr>
          <w:p w14:paraId="4632590F">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10</w:t>
            </w:r>
          </w:p>
        </w:tc>
        <w:tc>
          <w:tcPr>
            <w:tcW w:w="946" w:type="dxa"/>
            <w:tcBorders>
              <w:top w:val="single" w:color="auto" w:sz="4" w:space="0"/>
            </w:tcBorders>
            <w:shd w:val="clear" w:color="auto" w:fill="auto"/>
            <w:noWrap/>
            <w:vAlign w:val="bottom"/>
          </w:tcPr>
          <w:p w14:paraId="429F47B7">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Na</w:t>
            </w:r>
          </w:p>
        </w:tc>
        <w:tc>
          <w:tcPr>
            <w:tcW w:w="1489" w:type="dxa"/>
            <w:tcBorders>
              <w:top w:val="single" w:color="auto" w:sz="4" w:space="0"/>
            </w:tcBorders>
            <w:shd w:val="clear" w:color="auto" w:fill="auto"/>
            <w:noWrap/>
            <w:vAlign w:val="bottom"/>
          </w:tcPr>
          <w:p w14:paraId="776674B3">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0.51 </w:t>
            </w:r>
          </w:p>
        </w:tc>
        <w:tc>
          <w:tcPr>
            <w:tcW w:w="957" w:type="dxa"/>
            <w:tcBorders>
              <w:top w:val="single" w:color="auto" w:sz="4" w:space="0"/>
            </w:tcBorders>
            <w:shd w:val="clear" w:color="auto" w:fill="auto"/>
            <w:noWrap/>
            <w:vAlign w:val="bottom"/>
          </w:tcPr>
          <w:p w14:paraId="335A99D8">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w:t>
            </w:r>
          </w:p>
        </w:tc>
        <w:tc>
          <w:tcPr>
            <w:tcW w:w="1531" w:type="dxa"/>
            <w:tcBorders>
              <w:top w:val="single" w:color="auto" w:sz="4" w:space="0"/>
            </w:tcBorders>
            <w:shd w:val="clear" w:color="auto" w:fill="auto"/>
            <w:noWrap/>
            <w:vAlign w:val="bottom"/>
          </w:tcPr>
          <w:p w14:paraId="2FBCE5FC">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0.5</w:t>
            </w:r>
            <w:r>
              <w:rPr>
                <w:rFonts w:hint="eastAsia" w:ascii="Times New Roman" w:hAnsi="Times New Roman" w:eastAsia="宋体" w:cs="Times New Roman"/>
                <w:color w:val="000000"/>
                <w:kern w:val="0"/>
                <w:sz w:val="20"/>
                <w:szCs w:val="20"/>
                <w:lang w:bidi="ar"/>
              </w:rPr>
              <w:t>06</w:t>
            </w:r>
            <w:r>
              <w:rPr>
                <w:rFonts w:ascii="Times New Roman" w:hAnsi="Times New Roman" w:eastAsia="宋体" w:cs="Times New Roman"/>
                <w:color w:val="000000"/>
                <w:kern w:val="0"/>
                <w:sz w:val="20"/>
                <w:szCs w:val="20"/>
                <w:lang w:bidi="ar"/>
              </w:rPr>
              <w:t xml:space="preserve"> </w:t>
            </w:r>
          </w:p>
        </w:tc>
      </w:tr>
      <w:tr w14:paraId="0FEE31E7">
        <w:tblPrEx>
          <w:tblCellMar>
            <w:top w:w="0" w:type="dxa"/>
            <w:left w:w="108" w:type="dxa"/>
            <w:bottom w:w="0" w:type="dxa"/>
            <w:right w:w="108" w:type="dxa"/>
          </w:tblCellMar>
        </w:tblPrEx>
        <w:trPr>
          <w:trHeight w:val="334" w:hRule="atLeast"/>
        </w:trPr>
        <w:tc>
          <w:tcPr>
            <w:tcW w:w="2821" w:type="dxa"/>
            <w:vMerge w:val="continue"/>
            <w:shd w:val="clear" w:color="auto" w:fill="auto"/>
            <w:noWrap/>
            <w:vAlign w:val="bottom"/>
          </w:tcPr>
          <w:p w14:paraId="175F18C4">
            <w:pPr>
              <w:widowControl/>
              <w:jc w:val="center"/>
              <w:textAlignment w:val="bottom"/>
              <w:rPr>
                <w:rFonts w:ascii="Times New Roman" w:hAnsi="Times New Roman" w:eastAsia="宋体" w:cs="Times New Roman"/>
                <w:color w:val="000000"/>
                <w:kern w:val="0"/>
                <w:sz w:val="20"/>
                <w:szCs w:val="20"/>
                <w:lang w:bidi="ar"/>
              </w:rPr>
            </w:pPr>
          </w:p>
        </w:tc>
        <w:tc>
          <w:tcPr>
            <w:tcW w:w="1431" w:type="dxa"/>
            <w:shd w:val="clear" w:color="auto" w:fill="auto"/>
            <w:noWrap/>
            <w:vAlign w:val="bottom"/>
          </w:tcPr>
          <w:p w14:paraId="64E31CAE">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w:t>
            </w:r>
          </w:p>
        </w:tc>
        <w:tc>
          <w:tcPr>
            <w:tcW w:w="1200" w:type="dxa"/>
            <w:shd w:val="clear" w:color="auto" w:fill="auto"/>
            <w:noWrap/>
            <w:vAlign w:val="bottom"/>
          </w:tcPr>
          <w:p w14:paraId="44B890B8">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10</w:t>
            </w:r>
          </w:p>
        </w:tc>
        <w:tc>
          <w:tcPr>
            <w:tcW w:w="946" w:type="dxa"/>
            <w:shd w:val="clear" w:color="auto" w:fill="auto"/>
            <w:noWrap/>
            <w:vAlign w:val="bottom"/>
          </w:tcPr>
          <w:p w14:paraId="55FC00A8">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Na</w:t>
            </w:r>
          </w:p>
        </w:tc>
        <w:tc>
          <w:tcPr>
            <w:tcW w:w="1489" w:type="dxa"/>
            <w:shd w:val="clear" w:color="auto" w:fill="auto"/>
            <w:noWrap/>
            <w:vAlign w:val="bottom"/>
          </w:tcPr>
          <w:p w14:paraId="292FC811">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0.52 </w:t>
            </w:r>
          </w:p>
        </w:tc>
        <w:tc>
          <w:tcPr>
            <w:tcW w:w="957" w:type="dxa"/>
            <w:shd w:val="clear" w:color="auto" w:fill="auto"/>
            <w:noWrap/>
            <w:vAlign w:val="bottom"/>
          </w:tcPr>
          <w:p w14:paraId="61D40A72">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w:t>
            </w:r>
          </w:p>
        </w:tc>
        <w:tc>
          <w:tcPr>
            <w:tcW w:w="1531" w:type="dxa"/>
            <w:shd w:val="clear" w:color="auto" w:fill="auto"/>
            <w:noWrap/>
            <w:vAlign w:val="bottom"/>
          </w:tcPr>
          <w:p w14:paraId="058ED58F">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0.5</w:t>
            </w:r>
            <w:r>
              <w:rPr>
                <w:rFonts w:hint="eastAsia" w:ascii="Times New Roman" w:hAnsi="Times New Roman" w:eastAsia="宋体" w:cs="Times New Roman"/>
                <w:color w:val="000000"/>
                <w:kern w:val="0"/>
                <w:sz w:val="20"/>
                <w:szCs w:val="20"/>
                <w:lang w:bidi="ar"/>
              </w:rPr>
              <w:t>16</w:t>
            </w:r>
            <w:r>
              <w:rPr>
                <w:rFonts w:ascii="Times New Roman" w:hAnsi="Times New Roman" w:eastAsia="宋体" w:cs="Times New Roman"/>
                <w:color w:val="000000"/>
                <w:kern w:val="0"/>
                <w:sz w:val="20"/>
                <w:szCs w:val="20"/>
                <w:lang w:bidi="ar"/>
              </w:rPr>
              <w:t xml:space="preserve"> </w:t>
            </w:r>
          </w:p>
        </w:tc>
      </w:tr>
      <w:tr w14:paraId="7EBAD924">
        <w:tblPrEx>
          <w:tblCellMar>
            <w:top w:w="0" w:type="dxa"/>
            <w:left w:w="108" w:type="dxa"/>
            <w:bottom w:w="0" w:type="dxa"/>
            <w:right w:w="108" w:type="dxa"/>
          </w:tblCellMar>
        </w:tblPrEx>
        <w:trPr>
          <w:trHeight w:val="334" w:hRule="atLeast"/>
        </w:trPr>
        <w:tc>
          <w:tcPr>
            <w:tcW w:w="2821" w:type="dxa"/>
            <w:vMerge w:val="continue"/>
            <w:shd w:val="clear" w:color="auto" w:fill="auto"/>
            <w:noWrap/>
            <w:vAlign w:val="bottom"/>
          </w:tcPr>
          <w:p w14:paraId="48BBA148">
            <w:pPr>
              <w:widowControl/>
              <w:jc w:val="center"/>
              <w:textAlignment w:val="bottom"/>
              <w:rPr>
                <w:rFonts w:ascii="Times New Roman" w:hAnsi="Times New Roman" w:eastAsia="宋体" w:cs="Times New Roman"/>
                <w:color w:val="000000"/>
                <w:kern w:val="0"/>
                <w:sz w:val="20"/>
                <w:szCs w:val="20"/>
                <w:lang w:bidi="ar"/>
              </w:rPr>
            </w:pPr>
          </w:p>
        </w:tc>
        <w:tc>
          <w:tcPr>
            <w:tcW w:w="1431" w:type="dxa"/>
            <w:shd w:val="clear" w:color="auto" w:fill="auto"/>
            <w:noWrap/>
            <w:vAlign w:val="bottom"/>
          </w:tcPr>
          <w:p w14:paraId="4A96A733">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w:t>
            </w:r>
          </w:p>
        </w:tc>
        <w:tc>
          <w:tcPr>
            <w:tcW w:w="1200" w:type="dxa"/>
            <w:shd w:val="clear" w:color="auto" w:fill="auto"/>
            <w:noWrap/>
            <w:vAlign w:val="bottom"/>
          </w:tcPr>
          <w:p w14:paraId="2FCD7DDD">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10</w:t>
            </w:r>
          </w:p>
        </w:tc>
        <w:tc>
          <w:tcPr>
            <w:tcW w:w="946" w:type="dxa"/>
            <w:shd w:val="clear" w:color="auto" w:fill="auto"/>
            <w:noWrap/>
            <w:vAlign w:val="bottom"/>
          </w:tcPr>
          <w:p w14:paraId="4657EE9C">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Na</w:t>
            </w:r>
          </w:p>
        </w:tc>
        <w:tc>
          <w:tcPr>
            <w:tcW w:w="1489" w:type="dxa"/>
            <w:shd w:val="clear" w:color="auto" w:fill="auto"/>
            <w:noWrap/>
            <w:vAlign w:val="bottom"/>
          </w:tcPr>
          <w:p w14:paraId="0CB49A91">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0.51 </w:t>
            </w:r>
          </w:p>
        </w:tc>
        <w:tc>
          <w:tcPr>
            <w:tcW w:w="957" w:type="dxa"/>
            <w:shd w:val="clear" w:color="auto" w:fill="auto"/>
            <w:noWrap/>
            <w:vAlign w:val="bottom"/>
          </w:tcPr>
          <w:p w14:paraId="665B5CDC">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w:t>
            </w:r>
          </w:p>
        </w:tc>
        <w:tc>
          <w:tcPr>
            <w:tcW w:w="1531" w:type="dxa"/>
            <w:shd w:val="clear" w:color="auto" w:fill="auto"/>
            <w:noWrap/>
            <w:vAlign w:val="bottom"/>
          </w:tcPr>
          <w:p w14:paraId="207CADC2">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0.51</w:t>
            </w:r>
            <w:r>
              <w:rPr>
                <w:rFonts w:hint="eastAsia" w:ascii="Times New Roman" w:hAnsi="Times New Roman" w:eastAsia="宋体" w:cs="Times New Roman"/>
                <w:color w:val="000000"/>
                <w:kern w:val="0"/>
                <w:sz w:val="20"/>
                <w:szCs w:val="20"/>
                <w:lang w:bidi="ar"/>
              </w:rPr>
              <w:t>4</w:t>
            </w:r>
          </w:p>
        </w:tc>
      </w:tr>
      <w:tr w14:paraId="19185003">
        <w:tblPrEx>
          <w:tblCellMar>
            <w:top w:w="0" w:type="dxa"/>
            <w:left w:w="108" w:type="dxa"/>
            <w:bottom w:w="0" w:type="dxa"/>
            <w:right w:w="108" w:type="dxa"/>
          </w:tblCellMar>
        </w:tblPrEx>
        <w:trPr>
          <w:trHeight w:val="334" w:hRule="atLeast"/>
        </w:trPr>
        <w:tc>
          <w:tcPr>
            <w:tcW w:w="2821" w:type="dxa"/>
            <w:vMerge w:val="continue"/>
            <w:shd w:val="clear" w:color="auto" w:fill="auto"/>
            <w:noWrap/>
            <w:vAlign w:val="bottom"/>
          </w:tcPr>
          <w:p w14:paraId="1EF1FECB">
            <w:pPr>
              <w:widowControl/>
              <w:jc w:val="center"/>
              <w:textAlignment w:val="bottom"/>
              <w:rPr>
                <w:rFonts w:ascii="Times New Roman" w:hAnsi="Times New Roman" w:eastAsia="宋体" w:cs="Times New Roman"/>
                <w:color w:val="000000"/>
                <w:kern w:val="0"/>
                <w:sz w:val="20"/>
                <w:szCs w:val="20"/>
                <w:lang w:bidi="ar"/>
              </w:rPr>
            </w:pPr>
          </w:p>
        </w:tc>
        <w:tc>
          <w:tcPr>
            <w:tcW w:w="1431" w:type="dxa"/>
            <w:shd w:val="clear" w:color="auto" w:fill="auto"/>
            <w:noWrap/>
            <w:vAlign w:val="bottom"/>
          </w:tcPr>
          <w:p w14:paraId="1E2EBF10">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w:t>
            </w:r>
          </w:p>
        </w:tc>
        <w:tc>
          <w:tcPr>
            <w:tcW w:w="1200" w:type="dxa"/>
            <w:shd w:val="clear" w:color="auto" w:fill="auto"/>
            <w:noWrap/>
            <w:vAlign w:val="bottom"/>
          </w:tcPr>
          <w:p w14:paraId="2880CB89">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10</w:t>
            </w:r>
          </w:p>
        </w:tc>
        <w:tc>
          <w:tcPr>
            <w:tcW w:w="946" w:type="dxa"/>
            <w:shd w:val="clear" w:color="auto" w:fill="auto"/>
            <w:noWrap/>
            <w:vAlign w:val="bottom"/>
          </w:tcPr>
          <w:p w14:paraId="114C06FF">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Cu</w:t>
            </w:r>
          </w:p>
        </w:tc>
        <w:tc>
          <w:tcPr>
            <w:tcW w:w="1489" w:type="dxa"/>
            <w:shd w:val="clear" w:color="auto" w:fill="auto"/>
            <w:noWrap/>
            <w:vAlign w:val="bottom"/>
          </w:tcPr>
          <w:p w14:paraId="21371615">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2.58 </w:t>
            </w:r>
          </w:p>
        </w:tc>
        <w:tc>
          <w:tcPr>
            <w:tcW w:w="957" w:type="dxa"/>
            <w:shd w:val="clear" w:color="auto" w:fill="auto"/>
            <w:noWrap/>
            <w:vAlign w:val="bottom"/>
          </w:tcPr>
          <w:p w14:paraId="704DCCB0">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1000</w:t>
            </w:r>
          </w:p>
        </w:tc>
        <w:tc>
          <w:tcPr>
            <w:tcW w:w="1531" w:type="dxa"/>
            <w:shd w:val="clear" w:color="auto" w:fill="auto"/>
            <w:noWrap/>
            <w:vAlign w:val="bottom"/>
          </w:tcPr>
          <w:p w14:paraId="2CE8E9FA">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2581.06 </w:t>
            </w:r>
          </w:p>
        </w:tc>
      </w:tr>
      <w:tr w14:paraId="63A0FBC7">
        <w:tblPrEx>
          <w:tblCellMar>
            <w:top w:w="0" w:type="dxa"/>
            <w:left w:w="108" w:type="dxa"/>
            <w:bottom w:w="0" w:type="dxa"/>
            <w:right w:w="108" w:type="dxa"/>
          </w:tblCellMar>
        </w:tblPrEx>
        <w:trPr>
          <w:trHeight w:val="334" w:hRule="atLeast"/>
        </w:trPr>
        <w:tc>
          <w:tcPr>
            <w:tcW w:w="2821" w:type="dxa"/>
            <w:vMerge w:val="continue"/>
            <w:shd w:val="clear" w:color="auto" w:fill="auto"/>
            <w:noWrap/>
            <w:vAlign w:val="bottom"/>
          </w:tcPr>
          <w:p w14:paraId="266FA97C">
            <w:pPr>
              <w:widowControl/>
              <w:jc w:val="center"/>
              <w:textAlignment w:val="bottom"/>
              <w:rPr>
                <w:rFonts w:ascii="Times New Roman" w:hAnsi="Times New Roman" w:eastAsia="宋体" w:cs="Times New Roman"/>
                <w:color w:val="000000"/>
                <w:kern w:val="0"/>
                <w:sz w:val="20"/>
                <w:szCs w:val="20"/>
                <w:lang w:bidi="ar"/>
              </w:rPr>
            </w:pPr>
          </w:p>
        </w:tc>
        <w:tc>
          <w:tcPr>
            <w:tcW w:w="1431" w:type="dxa"/>
            <w:shd w:val="clear" w:color="auto" w:fill="auto"/>
            <w:noWrap/>
            <w:vAlign w:val="bottom"/>
          </w:tcPr>
          <w:p w14:paraId="03B12E11">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w:t>
            </w:r>
          </w:p>
        </w:tc>
        <w:tc>
          <w:tcPr>
            <w:tcW w:w="1200" w:type="dxa"/>
            <w:shd w:val="clear" w:color="auto" w:fill="auto"/>
            <w:noWrap/>
            <w:vAlign w:val="bottom"/>
          </w:tcPr>
          <w:p w14:paraId="530DF1BC">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10</w:t>
            </w:r>
          </w:p>
        </w:tc>
        <w:tc>
          <w:tcPr>
            <w:tcW w:w="946" w:type="dxa"/>
            <w:shd w:val="clear" w:color="auto" w:fill="auto"/>
            <w:noWrap/>
            <w:vAlign w:val="bottom"/>
          </w:tcPr>
          <w:p w14:paraId="679BF342">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Cu</w:t>
            </w:r>
          </w:p>
        </w:tc>
        <w:tc>
          <w:tcPr>
            <w:tcW w:w="1489" w:type="dxa"/>
            <w:shd w:val="clear" w:color="auto" w:fill="auto"/>
            <w:noWrap/>
            <w:vAlign w:val="bottom"/>
          </w:tcPr>
          <w:p w14:paraId="2B8875E7">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2.54 </w:t>
            </w:r>
          </w:p>
        </w:tc>
        <w:tc>
          <w:tcPr>
            <w:tcW w:w="957" w:type="dxa"/>
            <w:shd w:val="clear" w:color="auto" w:fill="auto"/>
            <w:noWrap/>
            <w:vAlign w:val="bottom"/>
          </w:tcPr>
          <w:p w14:paraId="3EC42409">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1000</w:t>
            </w:r>
          </w:p>
        </w:tc>
        <w:tc>
          <w:tcPr>
            <w:tcW w:w="1531" w:type="dxa"/>
            <w:shd w:val="clear" w:color="auto" w:fill="auto"/>
            <w:noWrap/>
            <w:vAlign w:val="bottom"/>
          </w:tcPr>
          <w:p w14:paraId="186C7FF9">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2538.11 </w:t>
            </w:r>
          </w:p>
        </w:tc>
      </w:tr>
      <w:tr w14:paraId="0503300F">
        <w:tblPrEx>
          <w:tblCellMar>
            <w:top w:w="0" w:type="dxa"/>
            <w:left w:w="108" w:type="dxa"/>
            <w:bottom w:w="0" w:type="dxa"/>
            <w:right w:w="108" w:type="dxa"/>
          </w:tblCellMar>
        </w:tblPrEx>
        <w:trPr>
          <w:trHeight w:val="394" w:hRule="atLeast"/>
        </w:trPr>
        <w:tc>
          <w:tcPr>
            <w:tcW w:w="2821" w:type="dxa"/>
            <w:vMerge w:val="continue"/>
            <w:tcBorders>
              <w:bottom w:val="single" w:color="000000" w:sz="12" w:space="0"/>
            </w:tcBorders>
            <w:shd w:val="clear" w:color="auto" w:fill="auto"/>
            <w:noWrap/>
            <w:vAlign w:val="bottom"/>
          </w:tcPr>
          <w:p w14:paraId="7FC69B78">
            <w:pPr>
              <w:widowControl/>
              <w:jc w:val="center"/>
              <w:textAlignment w:val="bottom"/>
              <w:rPr>
                <w:rFonts w:ascii="Times New Roman" w:hAnsi="Times New Roman" w:eastAsia="宋体" w:cs="Times New Roman"/>
                <w:color w:val="000000"/>
                <w:kern w:val="0"/>
                <w:sz w:val="20"/>
                <w:szCs w:val="20"/>
                <w:lang w:bidi="ar"/>
              </w:rPr>
            </w:pPr>
          </w:p>
        </w:tc>
        <w:tc>
          <w:tcPr>
            <w:tcW w:w="1431" w:type="dxa"/>
            <w:tcBorders>
              <w:bottom w:val="single" w:color="000000" w:sz="12" w:space="0"/>
            </w:tcBorders>
            <w:shd w:val="clear" w:color="auto" w:fill="auto"/>
            <w:noWrap/>
            <w:vAlign w:val="bottom"/>
          </w:tcPr>
          <w:p w14:paraId="1D57AF11">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w:t>
            </w:r>
          </w:p>
        </w:tc>
        <w:tc>
          <w:tcPr>
            <w:tcW w:w="1200" w:type="dxa"/>
            <w:tcBorders>
              <w:bottom w:val="single" w:color="000000" w:sz="12" w:space="0"/>
            </w:tcBorders>
            <w:shd w:val="clear" w:color="auto" w:fill="auto"/>
            <w:noWrap/>
            <w:vAlign w:val="bottom"/>
          </w:tcPr>
          <w:p w14:paraId="61AC59F9">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10</w:t>
            </w:r>
          </w:p>
        </w:tc>
        <w:tc>
          <w:tcPr>
            <w:tcW w:w="946" w:type="dxa"/>
            <w:tcBorders>
              <w:bottom w:val="single" w:color="000000" w:sz="12" w:space="0"/>
            </w:tcBorders>
            <w:shd w:val="clear" w:color="auto" w:fill="auto"/>
            <w:noWrap/>
            <w:vAlign w:val="bottom"/>
          </w:tcPr>
          <w:p w14:paraId="06871EF3">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Cu</w:t>
            </w:r>
          </w:p>
        </w:tc>
        <w:tc>
          <w:tcPr>
            <w:tcW w:w="1489" w:type="dxa"/>
            <w:tcBorders>
              <w:bottom w:val="single" w:color="000000" w:sz="12" w:space="0"/>
            </w:tcBorders>
            <w:shd w:val="clear" w:color="auto" w:fill="auto"/>
            <w:noWrap/>
            <w:vAlign w:val="bottom"/>
          </w:tcPr>
          <w:p w14:paraId="3DB7EF20">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2.55 </w:t>
            </w:r>
          </w:p>
        </w:tc>
        <w:tc>
          <w:tcPr>
            <w:tcW w:w="957" w:type="dxa"/>
            <w:tcBorders>
              <w:bottom w:val="single" w:color="000000" w:sz="12" w:space="0"/>
            </w:tcBorders>
            <w:shd w:val="clear" w:color="auto" w:fill="auto"/>
            <w:noWrap/>
            <w:vAlign w:val="bottom"/>
          </w:tcPr>
          <w:p w14:paraId="3C0DC454">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1000</w:t>
            </w:r>
          </w:p>
        </w:tc>
        <w:tc>
          <w:tcPr>
            <w:tcW w:w="1531" w:type="dxa"/>
            <w:tcBorders>
              <w:bottom w:val="single" w:color="000000" w:sz="12" w:space="0"/>
            </w:tcBorders>
            <w:shd w:val="clear" w:color="auto" w:fill="auto"/>
            <w:noWrap/>
            <w:vAlign w:val="bottom"/>
          </w:tcPr>
          <w:p w14:paraId="5BD2E494">
            <w:pPr>
              <w:widowControl/>
              <w:spacing w:line="360" w:lineRule="auto"/>
              <w:jc w:val="center"/>
              <w:textAlignment w:val="bottom"/>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2553.79 </w:t>
            </w:r>
          </w:p>
        </w:tc>
      </w:tr>
    </w:tbl>
    <w:p w14:paraId="05D3D7C1">
      <w:pPr>
        <w:rPr>
          <w:rFonts w:ascii="Times New Roman" w:hAnsi="Times New Roman" w:eastAsia="宋体" w:cs="Times New Roman"/>
          <w:sz w:val="24"/>
          <w:shd w:val="clear" w:color="auto" w:fill="FFFFFF"/>
          <w:vertAlign w:val="subscript"/>
        </w:rPr>
      </w:pPr>
      <w:r>
        <w:rPr>
          <w:rFonts w:hint="eastAsia" w:ascii="Times New Roman" w:hAnsi="Times New Roman" w:eastAsia="宋体" w:cs="Times New Roman"/>
          <w:sz w:val="24"/>
          <w:shd w:val="clear" w:color="auto" w:fill="FFFFFF"/>
          <w:vertAlign w:val="subscript"/>
        </w:rPr>
        <w:t>Note: Elemental content in samples is tested using ICP analysis with the Agilent720ES. The test was conducted with the RF pow</w:t>
      </w:r>
      <w:r>
        <w:rPr>
          <w:rFonts w:ascii="Times New Roman" w:hAnsi="Times New Roman" w:eastAsia="宋体" w:cs="Times New Roman"/>
          <w:sz w:val="24"/>
          <w:shd w:val="clear" w:color="auto" w:fill="FFFFFF"/>
          <w:vertAlign w:val="subscript"/>
        </w:rPr>
        <w:t xml:space="preserve">er </w:t>
      </w:r>
      <w:r>
        <w:rPr>
          <w:rFonts w:hint="eastAsia" w:ascii="Times New Roman" w:hAnsi="Times New Roman" w:eastAsia="宋体" w:cs="Times New Roman"/>
          <w:sz w:val="24"/>
          <w:shd w:val="clear" w:color="auto" w:fill="FFFFFF"/>
          <w:vertAlign w:val="subscript"/>
        </w:rPr>
        <w:t xml:space="preserve">of </w:t>
      </w:r>
      <w:r>
        <w:rPr>
          <w:rFonts w:ascii="Times New Roman" w:hAnsi="Times New Roman" w:eastAsia="宋体" w:cs="Times New Roman"/>
          <w:sz w:val="24"/>
          <w:shd w:val="clear" w:color="auto" w:fill="FFFFFF"/>
          <w:vertAlign w:val="subscript"/>
        </w:rPr>
        <w:t xml:space="preserve">1.20–1.55 kW, plasma gas flow </w:t>
      </w:r>
      <w:r>
        <w:rPr>
          <w:rFonts w:hint="eastAsia" w:ascii="Times New Roman" w:hAnsi="Times New Roman" w:eastAsia="宋体" w:cs="Times New Roman"/>
          <w:sz w:val="24"/>
          <w:shd w:val="clear" w:color="auto" w:fill="FFFFFF"/>
          <w:vertAlign w:val="subscript"/>
        </w:rPr>
        <w:t xml:space="preserve">of </w:t>
      </w:r>
      <w:r>
        <w:rPr>
          <w:rFonts w:ascii="Times New Roman" w:hAnsi="Times New Roman" w:eastAsia="宋体" w:cs="Times New Roman"/>
          <w:sz w:val="24"/>
          <w:shd w:val="clear" w:color="auto" w:fill="FFFFFF"/>
          <w:vertAlign w:val="subscript"/>
        </w:rPr>
        <w:t xml:space="preserve">15.0 L/min, auxiliary gas flow </w:t>
      </w:r>
      <w:r>
        <w:rPr>
          <w:rFonts w:hint="eastAsia" w:ascii="Times New Roman" w:hAnsi="Times New Roman" w:eastAsia="宋体" w:cs="Times New Roman"/>
          <w:sz w:val="24"/>
          <w:shd w:val="clear" w:color="auto" w:fill="FFFFFF"/>
          <w:vertAlign w:val="subscript"/>
        </w:rPr>
        <w:t xml:space="preserve">of </w:t>
      </w:r>
      <w:r>
        <w:rPr>
          <w:rFonts w:ascii="Times New Roman" w:hAnsi="Times New Roman" w:eastAsia="宋体" w:cs="Times New Roman"/>
          <w:sz w:val="24"/>
          <w:shd w:val="clear" w:color="auto" w:fill="FFFFFF"/>
          <w:vertAlign w:val="subscript"/>
        </w:rPr>
        <w:t xml:space="preserve">1.50 L/min, carrier/nebulizer gas flow </w:t>
      </w:r>
      <w:r>
        <w:rPr>
          <w:rFonts w:hint="eastAsia" w:ascii="Times New Roman" w:hAnsi="Times New Roman" w:eastAsia="宋体" w:cs="Times New Roman"/>
          <w:sz w:val="24"/>
          <w:shd w:val="clear" w:color="auto" w:fill="FFFFFF"/>
          <w:vertAlign w:val="subscript"/>
        </w:rPr>
        <w:t xml:space="preserve">of </w:t>
      </w:r>
      <w:r>
        <w:rPr>
          <w:rFonts w:ascii="Times New Roman" w:hAnsi="Times New Roman" w:eastAsia="宋体" w:cs="Times New Roman"/>
          <w:sz w:val="24"/>
          <w:shd w:val="clear" w:color="auto" w:fill="FFFFFF"/>
          <w:vertAlign w:val="subscript"/>
        </w:rPr>
        <w:t xml:space="preserve">0.71–0.75 L/min, and makeup gas </w:t>
      </w:r>
      <w:r>
        <w:rPr>
          <w:rFonts w:hint="eastAsia" w:ascii="Times New Roman" w:hAnsi="Times New Roman" w:eastAsia="宋体" w:cs="Times New Roman"/>
          <w:sz w:val="24"/>
          <w:shd w:val="clear" w:color="auto" w:fill="FFFFFF"/>
          <w:vertAlign w:val="subscript"/>
        </w:rPr>
        <w:t xml:space="preserve">of </w:t>
      </w:r>
      <w:r>
        <w:rPr>
          <w:rFonts w:ascii="Times New Roman" w:hAnsi="Times New Roman" w:eastAsia="宋体" w:cs="Times New Roman"/>
          <w:sz w:val="24"/>
          <w:shd w:val="clear" w:color="auto" w:fill="FFFFFF"/>
          <w:vertAlign w:val="subscript"/>
        </w:rPr>
        <w:t>0.48 L/min. Sample uptake time is 45 sec, with stabilization and delay times set to ensure accuracy. Each sample is measured in triplicate with 0.90 sec integration per mass. Calculations are based on the sample mass (m₀), final volume after digestion (V₀), dilution factor (f), and measured concentration in the test solution (C₀). From these, the concentrations in the digested solution (C₁), in the original sample (Cₓ, mg/kg), and as a percentage (W%) are derived. Solid and powder samples require digestion and are calculated using standard formulas, while liquid samples may be analyzed directly.</w:t>
      </w:r>
    </w:p>
    <w:p w14:paraId="0CCC3649">
      <w:pPr>
        <w:tabs>
          <w:tab w:val="left" w:pos="567"/>
        </w:tabs>
        <w:spacing w:before="996" w:beforeLines="300" w:after="332" w:afterLines="100" w:line="360" w:lineRule="auto"/>
        <w:rPr>
          <w:rFonts w:ascii="Times New Roman" w:hAnsi="Times New Roman" w:cs="Times New Roman"/>
          <w:sz w:val="24"/>
        </w:rPr>
      </w:pPr>
      <w:r>
        <w:rPr>
          <w:rFonts w:ascii="Times New Roman" w:hAnsi="Times New Roman" w:cs="Times New Roman"/>
          <w:b/>
          <w:bCs/>
          <w:iCs/>
          <w:sz w:val="24"/>
        </w:rPr>
        <w:t xml:space="preserve">Table </w:t>
      </w:r>
      <w:r>
        <w:rPr>
          <w:rFonts w:hint="eastAsia" w:ascii="Times New Roman" w:hAnsi="Times New Roman" w:cs="Times New Roman"/>
          <w:b/>
          <w:bCs/>
          <w:iCs/>
          <w:sz w:val="24"/>
        </w:rPr>
        <w:t>S</w:t>
      </w:r>
      <w:r>
        <w:rPr>
          <w:rFonts w:hint="eastAsia" w:ascii="Times New Roman" w:hAnsi="Times New Roman" w:cs="Times New Roman"/>
          <w:b/>
          <w:bCs/>
          <w:iCs/>
          <w:sz w:val="24"/>
          <w:lang w:val="en-US" w:eastAsia="zh-CN"/>
        </w:rPr>
        <w:t>2</w:t>
      </w:r>
      <w:bookmarkStart w:id="2" w:name="_GoBack"/>
      <w:bookmarkEnd w:id="2"/>
      <w:r>
        <w:rPr>
          <w:rFonts w:ascii="Times New Roman" w:hAnsi="Times New Roman" w:cs="Times New Roman"/>
          <w:sz w:val="24"/>
        </w:rPr>
        <w:t xml:space="preserve"> </w:t>
      </w:r>
      <w:r>
        <w:rPr>
          <w:rFonts w:hint="eastAsia" w:ascii="Times New Roman" w:hAnsi="Times New Roman" w:eastAsia="宋体" w:cs="Times New Roman"/>
          <w:color w:val="000000"/>
          <w:kern w:val="0"/>
          <w:sz w:val="24"/>
          <w:lang w:bidi="ar"/>
        </w:rPr>
        <w:t>GPC Molecular Weight (MW) of liquid paraffin used in this study</w:t>
      </w:r>
    </w:p>
    <w:tbl>
      <w:tblPr>
        <w:tblStyle w:val="6"/>
        <w:tblW w:w="10156" w:type="dxa"/>
        <w:tblInd w:w="93" w:type="dxa"/>
        <w:tblLayout w:type="fixed"/>
        <w:tblCellMar>
          <w:top w:w="0" w:type="dxa"/>
          <w:left w:w="108" w:type="dxa"/>
          <w:bottom w:w="0" w:type="dxa"/>
          <w:right w:w="108" w:type="dxa"/>
        </w:tblCellMar>
      </w:tblPr>
      <w:tblGrid>
        <w:gridCol w:w="1584"/>
        <w:gridCol w:w="1671"/>
        <w:gridCol w:w="1147"/>
        <w:gridCol w:w="1542"/>
        <w:gridCol w:w="1125"/>
        <w:gridCol w:w="1340"/>
        <w:gridCol w:w="1747"/>
      </w:tblGrid>
      <w:tr w14:paraId="41D63EC6">
        <w:tblPrEx>
          <w:tblCellMar>
            <w:top w:w="0" w:type="dxa"/>
            <w:left w:w="108" w:type="dxa"/>
            <w:bottom w:w="0" w:type="dxa"/>
            <w:right w:w="108" w:type="dxa"/>
          </w:tblCellMar>
        </w:tblPrEx>
        <w:trPr>
          <w:trHeight w:val="888" w:hRule="atLeast"/>
        </w:trPr>
        <w:tc>
          <w:tcPr>
            <w:tcW w:w="1584" w:type="dxa"/>
            <w:tcBorders>
              <w:top w:val="single" w:color="auto" w:sz="12" w:space="0"/>
              <w:left w:val="nil"/>
              <w:bottom w:val="single" w:color="auto" w:sz="4" w:space="0"/>
              <w:right w:val="nil"/>
            </w:tcBorders>
            <w:shd w:val="clear" w:color="auto" w:fill="auto"/>
            <w:noWrap/>
          </w:tcPr>
          <w:p w14:paraId="14C254C3">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Component</w:t>
            </w:r>
          </w:p>
        </w:tc>
        <w:tc>
          <w:tcPr>
            <w:tcW w:w="1671" w:type="dxa"/>
            <w:tcBorders>
              <w:top w:val="single" w:color="auto" w:sz="12" w:space="0"/>
              <w:left w:val="nil"/>
              <w:bottom w:val="single" w:color="auto" w:sz="4" w:space="0"/>
              <w:right w:val="nil"/>
            </w:tcBorders>
            <w:shd w:val="clear" w:color="auto" w:fill="auto"/>
          </w:tcPr>
          <w:p w14:paraId="1DEA7D6D">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Number average </w:t>
            </w:r>
            <w:r>
              <w:rPr>
                <w:rFonts w:hint="eastAsia" w:ascii="Times New Roman" w:hAnsi="Times New Roman" w:eastAsia="宋体" w:cs="Times New Roman"/>
                <w:color w:val="000000"/>
                <w:kern w:val="0"/>
                <w:sz w:val="20"/>
                <w:szCs w:val="20"/>
                <w:lang w:bidi="ar"/>
              </w:rPr>
              <w:t>MW</w:t>
            </w:r>
            <w:r>
              <w:rPr>
                <w:rFonts w:ascii="Times New Roman" w:hAnsi="Times New Roman" w:eastAsia="宋体" w:cs="Times New Roman"/>
                <w:color w:val="000000"/>
                <w:kern w:val="0"/>
                <w:sz w:val="20"/>
                <w:szCs w:val="20"/>
                <w:lang w:bidi="ar"/>
              </w:rPr>
              <w:t xml:space="preserve"> (</w:t>
            </w:r>
            <w:r>
              <w:rPr>
                <w:rFonts w:hint="eastAsia" w:ascii="Times New Roman" w:hAnsi="Times New Roman" w:eastAsia="宋体" w:cs="Times New Roman"/>
                <w:color w:val="000000"/>
                <w:kern w:val="0"/>
                <w:sz w:val="20"/>
                <w:szCs w:val="20"/>
                <w:lang w:bidi="ar"/>
              </w:rPr>
              <w:t>M</w:t>
            </w:r>
            <w:r>
              <w:rPr>
                <w:rFonts w:hint="eastAsia" w:ascii="Times New Roman" w:hAnsi="Times New Roman" w:eastAsia="宋体" w:cs="Times New Roman"/>
                <w:color w:val="000000"/>
                <w:kern w:val="0"/>
                <w:sz w:val="20"/>
                <w:szCs w:val="20"/>
                <w:vertAlign w:val="subscript"/>
                <w:lang w:bidi="ar"/>
              </w:rPr>
              <w:t>n</w:t>
            </w:r>
            <w:r>
              <w:rPr>
                <w:rFonts w:ascii="Times New Roman" w:hAnsi="Times New Roman" w:eastAsia="宋体" w:cs="Times New Roman"/>
                <w:color w:val="000000"/>
                <w:kern w:val="0"/>
                <w:sz w:val="20"/>
                <w:szCs w:val="20"/>
                <w:lang w:bidi="ar"/>
              </w:rPr>
              <w:t>)</w:t>
            </w:r>
          </w:p>
        </w:tc>
        <w:tc>
          <w:tcPr>
            <w:tcW w:w="1147" w:type="dxa"/>
            <w:tcBorders>
              <w:top w:val="single" w:color="auto" w:sz="12" w:space="0"/>
              <w:left w:val="nil"/>
              <w:bottom w:val="single" w:color="auto" w:sz="4" w:space="0"/>
              <w:right w:val="nil"/>
            </w:tcBorders>
            <w:shd w:val="clear" w:color="auto" w:fill="auto"/>
          </w:tcPr>
          <w:p w14:paraId="05D1C6E6">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Peak </w:t>
            </w:r>
            <w:r>
              <w:rPr>
                <w:rFonts w:hint="eastAsia" w:ascii="Times New Roman" w:hAnsi="Times New Roman" w:eastAsia="宋体" w:cs="Times New Roman"/>
                <w:color w:val="000000"/>
                <w:kern w:val="0"/>
                <w:sz w:val="20"/>
                <w:szCs w:val="20"/>
                <w:lang w:bidi="ar"/>
              </w:rPr>
              <w:t>MW</w:t>
            </w:r>
            <w:r>
              <w:rPr>
                <w:rFonts w:ascii="Times New Roman" w:hAnsi="Times New Roman" w:eastAsia="宋体" w:cs="Times New Roman"/>
                <w:color w:val="000000"/>
                <w:kern w:val="0"/>
                <w:sz w:val="20"/>
                <w:szCs w:val="20"/>
                <w:lang w:bidi="ar"/>
              </w:rPr>
              <w:t xml:space="preserve"> (</w:t>
            </w:r>
            <w:r>
              <w:rPr>
                <w:rFonts w:hint="eastAsia" w:ascii="Times New Roman" w:hAnsi="Times New Roman" w:eastAsia="宋体" w:cs="Times New Roman"/>
                <w:color w:val="000000"/>
                <w:kern w:val="0"/>
                <w:sz w:val="20"/>
                <w:szCs w:val="20"/>
                <w:lang w:bidi="ar"/>
              </w:rPr>
              <w:t>M</w:t>
            </w:r>
            <w:r>
              <w:rPr>
                <w:rFonts w:hint="eastAsia" w:ascii="Times New Roman" w:hAnsi="Times New Roman" w:eastAsia="宋体" w:cs="Times New Roman"/>
                <w:color w:val="000000"/>
                <w:kern w:val="0"/>
                <w:sz w:val="20"/>
                <w:szCs w:val="20"/>
                <w:vertAlign w:val="subscript"/>
                <w:lang w:bidi="ar"/>
              </w:rPr>
              <w:t>p</w:t>
            </w:r>
            <w:r>
              <w:rPr>
                <w:rFonts w:ascii="Times New Roman" w:hAnsi="Times New Roman" w:eastAsia="宋体" w:cs="Times New Roman"/>
                <w:color w:val="000000"/>
                <w:kern w:val="0"/>
                <w:sz w:val="20"/>
                <w:szCs w:val="20"/>
                <w:lang w:bidi="ar"/>
              </w:rPr>
              <w:t>)</w:t>
            </w:r>
          </w:p>
        </w:tc>
        <w:tc>
          <w:tcPr>
            <w:tcW w:w="1542" w:type="dxa"/>
            <w:tcBorders>
              <w:top w:val="single" w:color="auto" w:sz="12" w:space="0"/>
              <w:left w:val="nil"/>
              <w:bottom w:val="single" w:color="auto" w:sz="4" w:space="0"/>
              <w:right w:val="nil"/>
            </w:tcBorders>
            <w:shd w:val="clear" w:color="auto" w:fill="auto"/>
          </w:tcPr>
          <w:p w14:paraId="7733836D">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Weight average </w:t>
            </w:r>
            <w:r>
              <w:rPr>
                <w:rFonts w:hint="eastAsia" w:ascii="Times New Roman" w:hAnsi="Times New Roman" w:eastAsia="宋体" w:cs="Times New Roman"/>
                <w:color w:val="000000"/>
                <w:kern w:val="0"/>
                <w:sz w:val="20"/>
                <w:szCs w:val="20"/>
                <w:lang w:bidi="ar"/>
              </w:rPr>
              <w:t>MW</w:t>
            </w:r>
            <w:r>
              <w:rPr>
                <w:rFonts w:ascii="Times New Roman" w:hAnsi="Times New Roman" w:eastAsia="宋体" w:cs="Times New Roman"/>
                <w:color w:val="000000"/>
                <w:kern w:val="0"/>
                <w:sz w:val="20"/>
                <w:szCs w:val="20"/>
                <w:lang w:bidi="ar"/>
              </w:rPr>
              <w:t xml:space="preserve"> (</w:t>
            </w:r>
            <w:r>
              <w:rPr>
                <w:rFonts w:hint="eastAsia" w:ascii="Times New Roman" w:hAnsi="Times New Roman" w:eastAsia="宋体" w:cs="Times New Roman"/>
                <w:color w:val="000000"/>
                <w:kern w:val="0"/>
                <w:sz w:val="20"/>
                <w:szCs w:val="20"/>
                <w:lang w:bidi="ar"/>
              </w:rPr>
              <w:t>M</w:t>
            </w:r>
            <w:r>
              <w:rPr>
                <w:rFonts w:hint="eastAsia" w:ascii="Times New Roman" w:hAnsi="Times New Roman" w:eastAsia="宋体" w:cs="Times New Roman"/>
                <w:color w:val="000000"/>
                <w:kern w:val="0"/>
                <w:sz w:val="20"/>
                <w:szCs w:val="20"/>
                <w:vertAlign w:val="subscript"/>
                <w:lang w:bidi="ar"/>
              </w:rPr>
              <w:t>w</w:t>
            </w:r>
            <w:r>
              <w:rPr>
                <w:rFonts w:ascii="Times New Roman" w:hAnsi="Times New Roman" w:eastAsia="宋体" w:cs="Times New Roman"/>
                <w:color w:val="000000"/>
                <w:kern w:val="0"/>
                <w:sz w:val="20"/>
                <w:szCs w:val="20"/>
                <w:lang w:bidi="ar"/>
              </w:rPr>
              <w:t>)</w:t>
            </w:r>
          </w:p>
        </w:tc>
        <w:tc>
          <w:tcPr>
            <w:tcW w:w="1125" w:type="dxa"/>
            <w:tcBorders>
              <w:top w:val="single" w:color="auto" w:sz="12" w:space="0"/>
              <w:left w:val="nil"/>
              <w:bottom w:val="single" w:color="auto" w:sz="4" w:space="0"/>
              <w:right w:val="nil"/>
            </w:tcBorders>
            <w:shd w:val="clear" w:color="auto" w:fill="auto"/>
          </w:tcPr>
          <w:p w14:paraId="03BFFF6D">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Z average </w:t>
            </w:r>
            <w:r>
              <w:rPr>
                <w:rFonts w:hint="eastAsia" w:ascii="Times New Roman" w:hAnsi="Times New Roman" w:eastAsia="宋体" w:cs="Times New Roman"/>
                <w:color w:val="000000"/>
                <w:kern w:val="0"/>
                <w:sz w:val="20"/>
                <w:szCs w:val="20"/>
                <w:lang w:bidi="ar"/>
              </w:rPr>
              <w:t>MW</w:t>
            </w:r>
            <w:r>
              <w:rPr>
                <w:rFonts w:ascii="Times New Roman" w:hAnsi="Times New Roman" w:eastAsia="宋体" w:cs="Times New Roman"/>
                <w:color w:val="000000"/>
                <w:kern w:val="0"/>
                <w:sz w:val="20"/>
                <w:szCs w:val="20"/>
                <w:lang w:bidi="ar"/>
              </w:rPr>
              <w:t xml:space="preserve"> (</w:t>
            </w:r>
            <w:r>
              <w:rPr>
                <w:rFonts w:hint="eastAsia" w:ascii="Times New Roman" w:hAnsi="Times New Roman" w:eastAsia="宋体" w:cs="Times New Roman"/>
                <w:color w:val="000000"/>
                <w:kern w:val="0"/>
                <w:sz w:val="20"/>
                <w:szCs w:val="20"/>
                <w:lang w:bidi="ar"/>
              </w:rPr>
              <w:t>M</w:t>
            </w:r>
            <w:r>
              <w:rPr>
                <w:rFonts w:hint="eastAsia" w:ascii="Times New Roman" w:hAnsi="Times New Roman" w:eastAsia="宋体" w:cs="Times New Roman"/>
                <w:color w:val="000000"/>
                <w:kern w:val="0"/>
                <w:sz w:val="20"/>
                <w:szCs w:val="20"/>
                <w:vertAlign w:val="subscript"/>
                <w:lang w:bidi="ar"/>
              </w:rPr>
              <w:t>z</w:t>
            </w:r>
            <w:r>
              <w:rPr>
                <w:rFonts w:ascii="Times New Roman" w:hAnsi="Times New Roman" w:eastAsia="宋体" w:cs="Times New Roman"/>
                <w:color w:val="000000"/>
                <w:kern w:val="0"/>
                <w:sz w:val="20"/>
                <w:szCs w:val="20"/>
                <w:lang w:bidi="ar"/>
              </w:rPr>
              <w:t>)</w:t>
            </w:r>
          </w:p>
        </w:tc>
        <w:tc>
          <w:tcPr>
            <w:tcW w:w="1340" w:type="dxa"/>
            <w:tcBorders>
              <w:top w:val="single" w:color="auto" w:sz="12" w:space="0"/>
              <w:left w:val="nil"/>
              <w:bottom w:val="single" w:color="auto" w:sz="4" w:space="0"/>
              <w:right w:val="nil"/>
            </w:tcBorders>
            <w:shd w:val="clear" w:color="auto" w:fill="auto"/>
          </w:tcPr>
          <w:p w14:paraId="0E511335">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 xml:space="preserve">Z+1 average </w:t>
            </w:r>
            <w:r>
              <w:rPr>
                <w:rFonts w:hint="eastAsia" w:ascii="Times New Roman" w:hAnsi="Times New Roman" w:eastAsia="宋体" w:cs="Times New Roman"/>
                <w:color w:val="000000"/>
                <w:kern w:val="0"/>
                <w:sz w:val="20"/>
                <w:szCs w:val="20"/>
                <w:lang w:bidi="ar"/>
              </w:rPr>
              <w:t>MW</w:t>
            </w:r>
            <w:r>
              <w:rPr>
                <w:rFonts w:ascii="Times New Roman" w:hAnsi="Times New Roman" w:eastAsia="宋体" w:cs="Times New Roman"/>
                <w:color w:val="000000"/>
                <w:kern w:val="0"/>
                <w:sz w:val="20"/>
                <w:szCs w:val="20"/>
                <w:lang w:bidi="ar"/>
              </w:rPr>
              <w:t xml:space="preserve"> (</w:t>
            </w:r>
            <w:r>
              <w:rPr>
                <w:rFonts w:hint="eastAsia" w:ascii="Times New Roman" w:hAnsi="Times New Roman" w:eastAsia="宋体" w:cs="Times New Roman"/>
                <w:color w:val="000000"/>
                <w:kern w:val="0"/>
                <w:sz w:val="20"/>
                <w:szCs w:val="20"/>
                <w:lang w:bidi="ar"/>
              </w:rPr>
              <w:t>M</w:t>
            </w:r>
            <w:r>
              <w:rPr>
                <w:rFonts w:hint="eastAsia" w:ascii="Times New Roman" w:hAnsi="Times New Roman" w:eastAsia="宋体" w:cs="Times New Roman"/>
                <w:color w:val="000000"/>
                <w:kern w:val="0"/>
                <w:sz w:val="20"/>
                <w:szCs w:val="20"/>
                <w:vertAlign w:val="subscript"/>
                <w:lang w:bidi="ar"/>
              </w:rPr>
              <w:t>z+1</w:t>
            </w:r>
            <w:r>
              <w:rPr>
                <w:rFonts w:ascii="Times New Roman" w:hAnsi="Times New Roman" w:eastAsia="宋体" w:cs="Times New Roman"/>
                <w:color w:val="000000"/>
                <w:kern w:val="0"/>
                <w:sz w:val="20"/>
                <w:szCs w:val="20"/>
                <w:lang w:bidi="ar"/>
              </w:rPr>
              <w:t>)</w:t>
            </w:r>
          </w:p>
        </w:tc>
        <w:tc>
          <w:tcPr>
            <w:tcW w:w="1747" w:type="dxa"/>
            <w:tcBorders>
              <w:top w:val="single" w:color="auto" w:sz="12" w:space="0"/>
              <w:left w:val="nil"/>
              <w:bottom w:val="single" w:color="auto" w:sz="4" w:space="0"/>
              <w:right w:val="nil"/>
            </w:tcBorders>
            <w:shd w:val="clear" w:color="auto" w:fill="auto"/>
          </w:tcPr>
          <w:p w14:paraId="720DF85F">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Polydispersity index</w:t>
            </w:r>
            <w:r>
              <w:rPr>
                <w:rFonts w:hint="eastAsia" w:ascii="Times New Roman" w:hAnsi="Times New Roman" w:eastAsia="宋体" w:cs="Times New Roman"/>
                <w:color w:val="000000"/>
                <w:kern w:val="0"/>
                <w:sz w:val="20"/>
                <w:szCs w:val="20"/>
                <w:lang w:bidi="ar"/>
              </w:rPr>
              <w:t xml:space="preserve"> (M</w:t>
            </w:r>
            <w:r>
              <w:rPr>
                <w:rFonts w:hint="eastAsia" w:ascii="Times New Roman" w:hAnsi="Times New Roman" w:eastAsia="宋体" w:cs="Times New Roman"/>
                <w:color w:val="000000"/>
                <w:kern w:val="0"/>
                <w:sz w:val="20"/>
                <w:szCs w:val="20"/>
                <w:vertAlign w:val="subscript"/>
                <w:lang w:bidi="ar"/>
              </w:rPr>
              <w:t>w</w:t>
            </w:r>
            <w:r>
              <w:rPr>
                <w:rFonts w:hint="eastAsia" w:ascii="Times New Roman" w:hAnsi="Times New Roman" w:eastAsia="宋体" w:cs="Times New Roman"/>
                <w:color w:val="000000"/>
                <w:kern w:val="0"/>
                <w:sz w:val="20"/>
                <w:szCs w:val="20"/>
                <w:lang w:bidi="ar"/>
              </w:rPr>
              <w:t>/M</w:t>
            </w:r>
            <w:r>
              <w:rPr>
                <w:rFonts w:hint="eastAsia" w:ascii="Times New Roman" w:hAnsi="Times New Roman" w:eastAsia="宋体" w:cs="Times New Roman"/>
                <w:color w:val="000000"/>
                <w:kern w:val="0"/>
                <w:sz w:val="20"/>
                <w:szCs w:val="20"/>
                <w:vertAlign w:val="subscript"/>
                <w:lang w:bidi="ar"/>
              </w:rPr>
              <w:t>n</w:t>
            </w:r>
            <w:r>
              <w:rPr>
                <w:rFonts w:hint="eastAsia" w:ascii="Times New Roman" w:hAnsi="Times New Roman" w:eastAsia="宋体" w:cs="Times New Roman"/>
                <w:color w:val="000000"/>
                <w:kern w:val="0"/>
                <w:sz w:val="20"/>
                <w:szCs w:val="20"/>
                <w:lang w:bidi="ar"/>
              </w:rPr>
              <w:t>)</w:t>
            </w:r>
          </w:p>
        </w:tc>
      </w:tr>
      <w:tr w14:paraId="42FB181D">
        <w:tblPrEx>
          <w:tblCellMar>
            <w:top w:w="0" w:type="dxa"/>
            <w:left w:w="108" w:type="dxa"/>
            <w:bottom w:w="0" w:type="dxa"/>
            <w:right w:w="108" w:type="dxa"/>
          </w:tblCellMar>
        </w:tblPrEx>
        <w:trPr>
          <w:trHeight w:val="719" w:hRule="atLeast"/>
        </w:trPr>
        <w:tc>
          <w:tcPr>
            <w:tcW w:w="1584" w:type="dxa"/>
            <w:tcBorders>
              <w:top w:val="single" w:color="auto" w:sz="4" w:space="0"/>
              <w:left w:val="nil"/>
              <w:bottom w:val="single" w:color="auto" w:sz="12" w:space="0"/>
              <w:right w:val="nil"/>
            </w:tcBorders>
            <w:shd w:val="clear" w:color="auto" w:fill="auto"/>
            <w:noWrap/>
          </w:tcPr>
          <w:p w14:paraId="3EE10E74">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Liquid paraffin</w:t>
            </w:r>
            <w:r>
              <w:rPr>
                <w:rFonts w:hint="eastAsia" w:ascii="Times New Roman" w:hAnsi="Times New Roman" w:eastAsia="宋体" w:cs="Times New Roman"/>
                <w:color w:val="000000"/>
                <w:kern w:val="0"/>
                <w:sz w:val="20"/>
                <w:szCs w:val="20"/>
                <w:lang w:bidi="ar"/>
              </w:rPr>
              <w:t xml:space="preserve"> (C</w:t>
            </w:r>
            <w:r>
              <w:rPr>
                <w:rFonts w:hint="eastAsia" w:ascii="Times New Roman" w:hAnsi="Times New Roman" w:eastAsia="宋体" w:cs="Times New Roman"/>
                <w:color w:val="000000"/>
                <w:kern w:val="0"/>
                <w:sz w:val="20"/>
                <w:szCs w:val="20"/>
                <w:vertAlign w:val="subscript"/>
                <w:lang w:bidi="ar"/>
              </w:rPr>
              <w:t>n</w:t>
            </w:r>
            <w:r>
              <w:rPr>
                <w:rFonts w:hint="eastAsia" w:ascii="Times New Roman" w:hAnsi="Times New Roman" w:eastAsia="宋体" w:cs="Times New Roman"/>
                <w:color w:val="000000"/>
                <w:kern w:val="0"/>
                <w:sz w:val="20"/>
                <w:szCs w:val="20"/>
                <w:lang w:bidi="ar"/>
              </w:rPr>
              <w:t>H</w:t>
            </w:r>
            <w:r>
              <w:rPr>
                <w:rFonts w:hint="eastAsia" w:ascii="Times New Roman" w:hAnsi="Times New Roman" w:eastAsia="宋体" w:cs="Times New Roman"/>
                <w:color w:val="000000"/>
                <w:kern w:val="0"/>
                <w:sz w:val="20"/>
                <w:szCs w:val="20"/>
                <w:vertAlign w:val="subscript"/>
                <w:lang w:bidi="ar"/>
              </w:rPr>
              <w:t>2n+2</w:t>
            </w:r>
            <w:r>
              <w:rPr>
                <w:rFonts w:hint="eastAsia" w:ascii="Times New Roman" w:hAnsi="Times New Roman" w:eastAsia="宋体" w:cs="Times New Roman"/>
                <w:color w:val="000000"/>
                <w:kern w:val="0"/>
                <w:sz w:val="20"/>
                <w:szCs w:val="20"/>
                <w:lang w:bidi="ar"/>
              </w:rPr>
              <w:t>)</w:t>
            </w:r>
          </w:p>
        </w:tc>
        <w:tc>
          <w:tcPr>
            <w:tcW w:w="1671" w:type="dxa"/>
            <w:tcBorders>
              <w:top w:val="single" w:color="auto" w:sz="4" w:space="0"/>
              <w:left w:val="nil"/>
              <w:bottom w:val="single" w:color="auto" w:sz="12" w:space="0"/>
              <w:right w:val="nil"/>
            </w:tcBorders>
            <w:shd w:val="clear" w:color="auto" w:fill="auto"/>
          </w:tcPr>
          <w:p w14:paraId="0313996F">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184</w:t>
            </w:r>
            <w:r>
              <w:rPr>
                <w:rFonts w:hint="eastAsia" w:ascii="Times New Roman" w:hAnsi="Times New Roman" w:eastAsia="宋体" w:cs="Times New Roman"/>
                <w:color w:val="000000"/>
                <w:kern w:val="0"/>
                <w:sz w:val="20"/>
                <w:szCs w:val="20"/>
                <w:lang w:bidi="ar"/>
              </w:rPr>
              <w:t xml:space="preserve"> </w:t>
            </w:r>
            <w:r>
              <w:rPr>
                <w:rFonts w:ascii="Times New Roman" w:hAnsi="Times New Roman" w:eastAsia="宋体" w:cs="Times New Roman"/>
                <w:color w:val="000000"/>
                <w:kern w:val="0"/>
                <w:sz w:val="20"/>
                <w:szCs w:val="20"/>
                <w:lang w:bidi="ar"/>
              </w:rPr>
              <w:t>g/mol</w:t>
            </w:r>
          </w:p>
        </w:tc>
        <w:tc>
          <w:tcPr>
            <w:tcW w:w="1147" w:type="dxa"/>
            <w:tcBorders>
              <w:top w:val="single" w:color="auto" w:sz="4" w:space="0"/>
              <w:left w:val="nil"/>
              <w:bottom w:val="single" w:color="auto" w:sz="12" w:space="0"/>
              <w:right w:val="nil"/>
            </w:tcBorders>
            <w:shd w:val="clear" w:color="auto" w:fill="auto"/>
          </w:tcPr>
          <w:p w14:paraId="26B9CA58">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291</w:t>
            </w:r>
            <w:r>
              <w:rPr>
                <w:rFonts w:hint="eastAsia" w:ascii="Times New Roman" w:hAnsi="Times New Roman" w:eastAsia="宋体" w:cs="Times New Roman"/>
                <w:color w:val="000000"/>
                <w:kern w:val="0"/>
                <w:sz w:val="20"/>
                <w:szCs w:val="20"/>
                <w:lang w:bidi="ar"/>
              </w:rPr>
              <w:t xml:space="preserve"> </w:t>
            </w:r>
            <w:r>
              <w:rPr>
                <w:rFonts w:ascii="Times New Roman" w:hAnsi="Times New Roman" w:eastAsia="宋体" w:cs="Times New Roman"/>
                <w:color w:val="000000"/>
                <w:kern w:val="0"/>
                <w:sz w:val="20"/>
                <w:szCs w:val="20"/>
                <w:lang w:bidi="ar"/>
              </w:rPr>
              <w:t>g/mol</w:t>
            </w:r>
          </w:p>
        </w:tc>
        <w:tc>
          <w:tcPr>
            <w:tcW w:w="1542" w:type="dxa"/>
            <w:tcBorders>
              <w:top w:val="single" w:color="auto" w:sz="4" w:space="0"/>
              <w:left w:val="nil"/>
              <w:bottom w:val="single" w:color="auto" w:sz="12" w:space="0"/>
              <w:right w:val="nil"/>
            </w:tcBorders>
            <w:shd w:val="clear" w:color="auto" w:fill="auto"/>
          </w:tcPr>
          <w:p w14:paraId="3D4AE408">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283</w:t>
            </w:r>
            <w:r>
              <w:rPr>
                <w:rFonts w:hint="eastAsia" w:ascii="Times New Roman" w:hAnsi="Times New Roman" w:eastAsia="宋体" w:cs="Times New Roman"/>
                <w:color w:val="000000"/>
                <w:kern w:val="0"/>
                <w:sz w:val="20"/>
                <w:szCs w:val="20"/>
                <w:lang w:bidi="ar"/>
              </w:rPr>
              <w:t xml:space="preserve"> </w:t>
            </w:r>
            <w:r>
              <w:rPr>
                <w:rFonts w:ascii="Times New Roman" w:hAnsi="Times New Roman" w:eastAsia="宋体" w:cs="Times New Roman"/>
                <w:color w:val="000000"/>
                <w:kern w:val="0"/>
                <w:sz w:val="20"/>
                <w:szCs w:val="20"/>
                <w:lang w:bidi="ar"/>
              </w:rPr>
              <w:t>g/mol</w:t>
            </w:r>
          </w:p>
        </w:tc>
        <w:tc>
          <w:tcPr>
            <w:tcW w:w="1125" w:type="dxa"/>
            <w:tcBorders>
              <w:top w:val="single" w:color="auto" w:sz="4" w:space="0"/>
              <w:left w:val="nil"/>
              <w:bottom w:val="single" w:color="auto" w:sz="12" w:space="0"/>
              <w:right w:val="nil"/>
            </w:tcBorders>
            <w:shd w:val="clear" w:color="auto" w:fill="auto"/>
          </w:tcPr>
          <w:p w14:paraId="44002D77">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379</w:t>
            </w:r>
            <w:r>
              <w:rPr>
                <w:rFonts w:hint="eastAsia" w:ascii="Times New Roman" w:hAnsi="Times New Roman" w:eastAsia="宋体" w:cs="Times New Roman"/>
                <w:color w:val="000000"/>
                <w:kern w:val="0"/>
                <w:sz w:val="20"/>
                <w:szCs w:val="20"/>
                <w:lang w:bidi="ar"/>
              </w:rPr>
              <w:t xml:space="preserve"> </w:t>
            </w:r>
            <w:r>
              <w:rPr>
                <w:rFonts w:ascii="Times New Roman" w:hAnsi="Times New Roman" w:eastAsia="宋体" w:cs="Times New Roman"/>
                <w:color w:val="000000"/>
                <w:kern w:val="0"/>
                <w:sz w:val="20"/>
                <w:szCs w:val="20"/>
                <w:lang w:bidi="ar"/>
              </w:rPr>
              <w:t>g/mol</w:t>
            </w:r>
          </w:p>
        </w:tc>
        <w:tc>
          <w:tcPr>
            <w:tcW w:w="1340" w:type="dxa"/>
            <w:tcBorders>
              <w:top w:val="single" w:color="auto" w:sz="4" w:space="0"/>
              <w:left w:val="nil"/>
              <w:bottom w:val="single" w:color="auto" w:sz="12" w:space="0"/>
              <w:right w:val="nil"/>
            </w:tcBorders>
            <w:shd w:val="clear" w:color="auto" w:fill="auto"/>
          </w:tcPr>
          <w:p w14:paraId="1B4DFFFB">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464</w:t>
            </w:r>
            <w:r>
              <w:rPr>
                <w:rFonts w:hint="eastAsia" w:ascii="Times New Roman" w:hAnsi="Times New Roman" w:eastAsia="宋体" w:cs="Times New Roman"/>
                <w:color w:val="000000"/>
                <w:kern w:val="0"/>
                <w:sz w:val="20"/>
                <w:szCs w:val="20"/>
                <w:lang w:bidi="ar"/>
              </w:rPr>
              <w:t xml:space="preserve"> </w:t>
            </w:r>
            <w:r>
              <w:rPr>
                <w:rFonts w:ascii="Times New Roman" w:hAnsi="Times New Roman" w:eastAsia="宋体" w:cs="Times New Roman"/>
                <w:color w:val="000000"/>
                <w:kern w:val="0"/>
                <w:sz w:val="20"/>
                <w:szCs w:val="20"/>
                <w:lang w:bidi="ar"/>
              </w:rPr>
              <w:t>g/mol</w:t>
            </w:r>
          </w:p>
        </w:tc>
        <w:tc>
          <w:tcPr>
            <w:tcW w:w="1747" w:type="dxa"/>
            <w:tcBorders>
              <w:top w:val="single" w:color="auto" w:sz="4" w:space="0"/>
              <w:left w:val="nil"/>
              <w:bottom w:val="single" w:color="auto" w:sz="12" w:space="0"/>
              <w:right w:val="nil"/>
            </w:tcBorders>
            <w:shd w:val="clear" w:color="auto" w:fill="auto"/>
          </w:tcPr>
          <w:p w14:paraId="30FAA7EE">
            <w:pPr>
              <w:widowControl/>
              <w:jc w:val="left"/>
              <w:textAlignment w:val="center"/>
              <w:rPr>
                <w:rFonts w:ascii="Times New Roman" w:hAnsi="Times New Roman" w:eastAsia="宋体" w:cs="Times New Roman"/>
                <w:color w:val="000000"/>
                <w:sz w:val="20"/>
                <w:szCs w:val="20"/>
              </w:rPr>
            </w:pPr>
            <w:r>
              <w:rPr>
                <w:rFonts w:ascii="Times New Roman" w:hAnsi="Times New Roman" w:eastAsia="宋体" w:cs="Times New Roman"/>
                <w:color w:val="000000"/>
                <w:kern w:val="0"/>
                <w:sz w:val="20"/>
                <w:szCs w:val="20"/>
                <w:lang w:bidi="ar"/>
              </w:rPr>
              <w:t>1.538</w:t>
            </w:r>
          </w:p>
        </w:tc>
      </w:tr>
    </w:tbl>
    <w:p w14:paraId="4817F27A">
      <w:pPr>
        <w:rPr>
          <w:rFonts w:ascii="Times New Roman" w:hAnsi="Times New Roman" w:eastAsia="宋体" w:cs="Times New Roman"/>
          <w:sz w:val="20"/>
          <w:szCs w:val="20"/>
          <w:shd w:val="clear" w:color="auto" w:fill="FFFFFF"/>
          <w:vertAlign w:val="subscript"/>
        </w:rPr>
      </w:pPr>
    </w:p>
    <w:p w14:paraId="6CC66312">
      <w:pPr>
        <w:rPr>
          <w:rFonts w:ascii="Times New Roman" w:hAnsi="Times New Roman" w:eastAsia="宋体" w:cs="Times New Roman"/>
          <w:b/>
          <w:bCs/>
          <w:sz w:val="20"/>
          <w:szCs w:val="20"/>
          <w:shd w:val="clear" w:color="auto" w:fill="FFFFFF"/>
        </w:rPr>
      </w:pPr>
      <w:r>
        <w:rPr>
          <w:rFonts w:hint="eastAsia" w:ascii="Times New Roman" w:hAnsi="Times New Roman" w:eastAsia="宋体" w:cs="Times New Roman"/>
          <w:b/>
          <w:bCs/>
          <w:sz w:val="20"/>
          <w:szCs w:val="20"/>
          <w:shd w:val="clear" w:color="auto" w:fill="FFFFFF"/>
        </w:rPr>
        <w:br w:type="page"/>
      </w:r>
    </w:p>
    <w:p w14:paraId="74AB8135">
      <w:pPr>
        <w:tabs>
          <w:tab w:val="left" w:pos="567"/>
        </w:tabs>
        <w:spacing w:before="996" w:beforeLines="300" w:after="332" w:afterLines="100" w:line="360" w:lineRule="auto"/>
        <w:rPr>
          <w:rFonts w:ascii="Times New Roman" w:hAnsi="Times New Roman" w:cs="Times New Roman"/>
          <w:sz w:val="24"/>
        </w:rPr>
      </w:pPr>
      <w:r>
        <w:rPr>
          <w:rFonts w:ascii="Times New Roman" w:hAnsi="Times New Roman" w:cs="Times New Roman"/>
          <w:b/>
          <w:bCs/>
          <w:iCs/>
          <w:sz w:val="24"/>
        </w:rPr>
        <w:t xml:space="preserve">Table </w:t>
      </w:r>
      <w:r>
        <w:rPr>
          <w:rFonts w:hint="eastAsia" w:ascii="Times New Roman" w:hAnsi="Times New Roman" w:cs="Times New Roman"/>
          <w:b/>
          <w:bCs/>
          <w:iCs/>
          <w:sz w:val="24"/>
        </w:rPr>
        <w:t>S3</w:t>
      </w:r>
      <w:r>
        <w:rPr>
          <w:rFonts w:ascii="Times New Roman" w:hAnsi="Times New Roman" w:cs="Times New Roman"/>
          <w:sz w:val="24"/>
        </w:rPr>
        <w:t xml:space="preserve"> </w:t>
      </w:r>
      <w:r>
        <w:rPr>
          <w:rFonts w:hint="eastAsia" w:ascii="Times New Roman" w:hAnsi="Times New Roman" w:cs="Times New Roman"/>
          <w:sz w:val="24"/>
        </w:rPr>
        <w:t>Optical switching of the 1.5 m (width) × 1.8 m (heig</w:t>
      </w:r>
      <w:r>
        <w:rPr>
          <w:rFonts w:ascii="Times New Roman" w:hAnsi="Times New Roman" w:cs="Times New Roman"/>
          <w:sz w:val="24"/>
        </w:rPr>
        <w:t>h</w:t>
      </w:r>
      <w:r>
        <w:rPr>
          <w:rFonts w:hint="eastAsia" w:ascii="Times New Roman" w:hAnsi="Times New Roman" w:cs="Times New Roman"/>
          <w:sz w:val="24"/>
        </w:rPr>
        <w:t>t) JD window, with cavity gap of 3 mm</w:t>
      </w:r>
    </w:p>
    <w:tbl>
      <w:tblPr>
        <w:tblStyle w:val="7"/>
        <w:tblW w:w="1031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748"/>
        <w:gridCol w:w="1314"/>
        <w:gridCol w:w="1314"/>
        <w:gridCol w:w="1314"/>
        <w:gridCol w:w="1314"/>
        <w:gridCol w:w="1314"/>
      </w:tblGrid>
      <w:tr w14:paraId="716B6D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1" w:hRule="atLeast"/>
        </w:trPr>
        <w:tc>
          <w:tcPr>
            <w:tcW w:w="3748" w:type="dxa"/>
            <w:tcBorders>
              <w:top w:val="single" w:color="auto" w:sz="12" w:space="0"/>
              <w:bottom w:val="single" w:color="auto" w:sz="4" w:space="0"/>
            </w:tcBorders>
          </w:tcPr>
          <w:p w14:paraId="2AA532A0">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Parameters</w:t>
            </w:r>
          </w:p>
        </w:tc>
        <w:tc>
          <w:tcPr>
            <w:tcW w:w="1314" w:type="dxa"/>
            <w:tcBorders>
              <w:top w:val="single" w:color="auto" w:sz="12" w:space="0"/>
              <w:bottom w:val="single" w:color="auto" w:sz="4" w:space="0"/>
            </w:tcBorders>
          </w:tcPr>
          <w:p w14:paraId="00F705C4">
            <w:pPr>
              <w:tabs>
                <w:tab w:val="left" w:pos="567"/>
              </w:tabs>
              <w:spacing w:after="332" w:afterLines="100" w:line="360" w:lineRule="auto"/>
              <w:rPr>
                <w:rFonts w:ascii="Times New Roman" w:hAnsi="Times New Roman" w:cs="Times New Roman"/>
                <w:sz w:val="20"/>
                <w:szCs w:val="20"/>
              </w:rPr>
            </w:pPr>
            <w:r>
              <w:rPr>
                <w:rFonts w:ascii="Times New Roman" w:hAnsi="Times New Roman" w:cs="Times New Roman"/>
                <w:sz w:val="20"/>
                <w:szCs w:val="20"/>
              </w:rPr>
              <w:t>4 ℃</w:t>
            </w:r>
          </w:p>
        </w:tc>
        <w:tc>
          <w:tcPr>
            <w:tcW w:w="1314" w:type="dxa"/>
            <w:tcBorders>
              <w:top w:val="single" w:color="auto" w:sz="12" w:space="0"/>
              <w:bottom w:val="single" w:color="auto" w:sz="4" w:space="0"/>
            </w:tcBorders>
          </w:tcPr>
          <w:p w14:paraId="0F7F6FEE">
            <w:pPr>
              <w:tabs>
                <w:tab w:val="left" w:pos="567"/>
              </w:tabs>
              <w:spacing w:after="332" w:afterLines="100" w:line="360" w:lineRule="auto"/>
              <w:rPr>
                <w:rFonts w:ascii="Times New Roman" w:hAnsi="Times New Roman" w:cs="Times New Roman"/>
                <w:sz w:val="20"/>
                <w:szCs w:val="20"/>
              </w:rPr>
            </w:pPr>
            <w:r>
              <w:rPr>
                <w:rFonts w:ascii="Times New Roman" w:hAnsi="Times New Roman" w:cs="Times New Roman"/>
                <w:sz w:val="20"/>
                <w:szCs w:val="20"/>
              </w:rPr>
              <w:t>20 ℃</w:t>
            </w:r>
          </w:p>
        </w:tc>
        <w:tc>
          <w:tcPr>
            <w:tcW w:w="1314" w:type="dxa"/>
            <w:tcBorders>
              <w:top w:val="single" w:color="auto" w:sz="12" w:space="0"/>
              <w:bottom w:val="single" w:color="auto" w:sz="4" w:space="0"/>
            </w:tcBorders>
          </w:tcPr>
          <w:p w14:paraId="0241BE5B">
            <w:pPr>
              <w:tabs>
                <w:tab w:val="left" w:pos="567"/>
              </w:tabs>
              <w:spacing w:after="332" w:afterLines="100" w:line="360" w:lineRule="auto"/>
              <w:rPr>
                <w:rFonts w:ascii="Times New Roman" w:hAnsi="Times New Roman" w:cs="Times New Roman"/>
                <w:sz w:val="20"/>
                <w:szCs w:val="20"/>
              </w:rPr>
            </w:pPr>
            <w:r>
              <w:rPr>
                <w:rFonts w:ascii="Times New Roman" w:hAnsi="Times New Roman" w:cs="Times New Roman"/>
                <w:sz w:val="20"/>
                <w:szCs w:val="20"/>
              </w:rPr>
              <w:t>30 ℃</w:t>
            </w:r>
          </w:p>
        </w:tc>
        <w:tc>
          <w:tcPr>
            <w:tcW w:w="1314" w:type="dxa"/>
            <w:tcBorders>
              <w:top w:val="single" w:color="auto" w:sz="12" w:space="0"/>
              <w:bottom w:val="single" w:color="auto" w:sz="4" w:space="0"/>
            </w:tcBorders>
          </w:tcPr>
          <w:p w14:paraId="332A3902">
            <w:pPr>
              <w:tabs>
                <w:tab w:val="left" w:pos="567"/>
              </w:tabs>
              <w:spacing w:after="332" w:afterLines="100" w:line="360" w:lineRule="auto"/>
              <w:rPr>
                <w:rFonts w:ascii="Times New Roman" w:hAnsi="Times New Roman" w:cs="Times New Roman"/>
                <w:sz w:val="20"/>
                <w:szCs w:val="20"/>
              </w:rPr>
            </w:pPr>
            <w:r>
              <w:rPr>
                <w:rFonts w:ascii="Times New Roman" w:hAnsi="Times New Roman" w:cs="Times New Roman"/>
                <w:sz w:val="20"/>
                <w:szCs w:val="20"/>
              </w:rPr>
              <w:t>40 ℃</w:t>
            </w:r>
          </w:p>
        </w:tc>
        <w:tc>
          <w:tcPr>
            <w:tcW w:w="1314" w:type="dxa"/>
            <w:tcBorders>
              <w:top w:val="single" w:color="auto" w:sz="12" w:space="0"/>
              <w:bottom w:val="single" w:color="auto" w:sz="4" w:space="0"/>
            </w:tcBorders>
          </w:tcPr>
          <w:p w14:paraId="47F602CC">
            <w:pPr>
              <w:tabs>
                <w:tab w:val="left" w:pos="567"/>
              </w:tabs>
              <w:spacing w:after="332" w:afterLines="100" w:line="360" w:lineRule="auto"/>
              <w:rPr>
                <w:rFonts w:ascii="Times New Roman" w:hAnsi="Times New Roman" w:cs="Times New Roman"/>
                <w:sz w:val="20"/>
                <w:szCs w:val="20"/>
              </w:rPr>
            </w:pPr>
            <w:r>
              <w:rPr>
                <w:rFonts w:ascii="Times New Roman" w:hAnsi="Times New Roman" w:cs="Times New Roman"/>
                <w:sz w:val="20"/>
                <w:szCs w:val="20"/>
              </w:rPr>
              <w:t>60 ℃</w:t>
            </w:r>
          </w:p>
        </w:tc>
      </w:tr>
      <w:tr w14:paraId="240243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1" w:hRule="atLeast"/>
        </w:trPr>
        <w:tc>
          <w:tcPr>
            <w:tcW w:w="3748" w:type="dxa"/>
            <w:tcBorders>
              <w:top w:val="single" w:color="auto" w:sz="4" w:space="0"/>
              <w:bottom w:val="nil"/>
            </w:tcBorders>
          </w:tcPr>
          <w:p w14:paraId="13E3AC93">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Viscosity of LL (</w:t>
            </w:r>
            <w:r>
              <w:rPr>
                <w:rFonts w:ascii="Times New Roman" w:hAnsi="Times New Roman" w:cs="Times New Roman"/>
                <w:sz w:val="20"/>
                <w:szCs w:val="20"/>
              </w:rPr>
              <w:t>×</w:t>
            </w:r>
            <w:r>
              <w:rPr>
                <w:rFonts w:hint="eastAsia" w:ascii="Times New Roman" w:hAnsi="Times New Roman" w:cs="Times New Roman"/>
                <w:sz w:val="20"/>
                <w:szCs w:val="20"/>
              </w:rPr>
              <w:t xml:space="preserve"> 10</w:t>
            </w:r>
            <w:r>
              <w:rPr>
                <w:rFonts w:hint="eastAsia" w:ascii="Times New Roman" w:hAnsi="Times New Roman" w:cs="Times New Roman"/>
                <w:sz w:val="20"/>
                <w:szCs w:val="20"/>
                <w:vertAlign w:val="superscript"/>
              </w:rPr>
              <w:t>3</w:t>
            </w:r>
            <w:r>
              <w:rPr>
                <w:rFonts w:hint="eastAsia" w:ascii="Times New Roman" w:hAnsi="Times New Roman" w:cs="Times New Roman"/>
                <w:sz w:val="20"/>
                <w:szCs w:val="20"/>
              </w:rPr>
              <w:t xml:space="preserve"> Pa s)</w:t>
            </w:r>
          </w:p>
        </w:tc>
        <w:tc>
          <w:tcPr>
            <w:tcW w:w="1314" w:type="dxa"/>
            <w:tcBorders>
              <w:top w:val="single" w:color="auto" w:sz="4" w:space="0"/>
              <w:bottom w:val="nil"/>
            </w:tcBorders>
          </w:tcPr>
          <w:p w14:paraId="103E5688">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1.8</w:t>
            </w:r>
          </w:p>
        </w:tc>
        <w:tc>
          <w:tcPr>
            <w:tcW w:w="1314" w:type="dxa"/>
            <w:tcBorders>
              <w:top w:val="single" w:color="auto" w:sz="4" w:space="0"/>
              <w:bottom w:val="nil"/>
            </w:tcBorders>
          </w:tcPr>
          <w:p w14:paraId="5745A294">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1.3</w:t>
            </w:r>
          </w:p>
        </w:tc>
        <w:tc>
          <w:tcPr>
            <w:tcW w:w="1314" w:type="dxa"/>
            <w:tcBorders>
              <w:top w:val="single" w:color="auto" w:sz="4" w:space="0"/>
              <w:bottom w:val="nil"/>
            </w:tcBorders>
          </w:tcPr>
          <w:p w14:paraId="298CE875">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1.2</w:t>
            </w:r>
          </w:p>
        </w:tc>
        <w:tc>
          <w:tcPr>
            <w:tcW w:w="1314" w:type="dxa"/>
            <w:tcBorders>
              <w:top w:val="single" w:color="auto" w:sz="4" w:space="0"/>
              <w:bottom w:val="nil"/>
            </w:tcBorders>
          </w:tcPr>
          <w:p w14:paraId="0AB3707A">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w:t>
            </w:r>
          </w:p>
        </w:tc>
        <w:tc>
          <w:tcPr>
            <w:tcW w:w="1314" w:type="dxa"/>
            <w:tcBorders>
              <w:top w:val="single" w:color="auto" w:sz="4" w:space="0"/>
              <w:bottom w:val="nil"/>
            </w:tcBorders>
          </w:tcPr>
          <w:p w14:paraId="068E6238">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0.8</w:t>
            </w:r>
          </w:p>
        </w:tc>
      </w:tr>
      <w:tr w14:paraId="29BD3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2" w:hRule="atLeast"/>
        </w:trPr>
        <w:tc>
          <w:tcPr>
            <w:tcW w:w="3748" w:type="dxa"/>
            <w:tcBorders>
              <w:top w:val="nil"/>
            </w:tcBorders>
          </w:tcPr>
          <w:p w14:paraId="38E1B4C7">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Viscosity of HL (</w:t>
            </w:r>
            <w:r>
              <w:rPr>
                <w:rFonts w:ascii="Times New Roman" w:hAnsi="Times New Roman" w:cs="Times New Roman"/>
                <w:sz w:val="20"/>
                <w:szCs w:val="20"/>
              </w:rPr>
              <w:t>×</w:t>
            </w:r>
            <w:r>
              <w:rPr>
                <w:rFonts w:hint="eastAsia" w:ascii="Times New Roman" w:hAnsi="Times New Roman" w:cs="Times New Roman"/>
                <w:sz w:val="20"/>
                <w:szCs w:val="20"/>
              </w:rPr>
              <w:t xml:space="preserve"> 10</w:t>
            </w:r>
            <w:r>
              <w:rPr>
                <w:rFonts w:hint="eastAsia" w:ascii="Times New Roman" w:hAnsi="Times New Roman" w:cs="Times New Roman"/>
                <w:sz w:val="20"/>
                <w:szCs w:val="20"/>
                <w:vertAlign w:val="superscript"/>
              </w:rPr>
              <w:t>3</w:t>
            </w:r>
            <w:r>
              <w:rPr>
                <w:rFonts w:hint="eastAsia" w:ascii="Times New Roman" w:hAnsi="Times New Roman" w:cs="Times New Roman"/>
                <w:sz w:val="20"/>
                <w:szCs w:val="20"/>
              </w:rPr>
              <w:t xml:space="preserve"> Pa s)</w:t>
            </w:r>
          </w:p>
        </w:tc>
        <w:tc>
          <w:tcPr>
            <w:tcW w:w="1314" w:type="dxa"/>
            <w:tcBorders>
              <w:top w:val="nil"/>
            </w:tcBorders>
          </w:tcPr>
          <w:p w14:paraId="43ED1793">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27.6</w:t>
            </w:r>
          </w:p>
        </w:tc>
        <w:tc>
          <w:tcPr>
            <w:tcW w:w="1314" w:type="dxa"/>
            <w:tcBorders>
              <w:top w:val="nil"/>
            </w:tcBorders>
          </w:tcPr>
          <w:p w14:paraId="026BF2D2">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22.4</w:t>
            </w:r>
          </w:p>
        </w:tc>
        <w:tc>
          <w:tcPr>
            <w:tcW w:w="1314" w:type="dxa"/>
            <w:tcBorders>
              <w:top w:val="nil"/>
            </w:tcBorders>
          </w:tcPr>
          <w:p w14:paraId="11705A33">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17.4</w:t>
            </w:r>
          </w:p>
        </w:tc>
        <w:tc>
          <w:tcPr>
            <w:tcW w:w="1314" w:type="dxa"/>
            <w:tcBorders>
              <w:top w:val="nil"/>
            </w:tcBorders>
          </w:tcPr>
          <w:p w14:paraId="03A69D9C">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15.8</w:t>
            </w:r>
          </w:p>
        </w:tc>
        <w:tc>
          <w:tcPr>
            <w:tcW w:w="1314" w:type="dxa"/>
            <w:tcBorders>
              <w:top w:val="nil"/>
            </w:tcBorders>
          </w:tcPr>
          <w:p w14:paraId="6CD5AE60">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11.1</w:t>
            </w:r>
          </w:p>
        </w:tc>
      </w:tr>
      <w:tr w14:paraId="17CED9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2" w:hRule="atLeast"/>
        </w:trPr>
        <w:tc>
          <w:tcPr>
            <w:tcW w:w="3748" w:type="dxa"/>
          </w:tcPr>
          <w:p w14:paraId="369094A0">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Coloring duration (s)</w:t>
            </w:r>
          </w:p>
        </w:tc>
        <w:tc>
          <w:tcPr>
            <w:tcW w:w="1314" w:type="dxa"/>
          </w:tcPr>
          <w:p w14:paraId="642A0784">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169</w:t>
            </w:r>
          </w:p>
        </w:tc>
        <w:tc>
          <w:tcPr>
            <w:tcW w:w="1314" w:type="dxa"/>
          </w:tcPr>
          <w:p w14:paraId="0AEE5005">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141</w:t>
            </w:r>
          </w:p>
        </w:tc>
        <w:tc>
          <w:tcPr>
            <w:tcW w:w="1314" w:type="dxa"/>
          </w:tcPr>
          <w:p w14:paraId="3C16C43B">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112</w:t>
            </w:r>
          </w:p>
        </w:tc>
        <w:tc>
          <w:tcPr>
            <w:tcW w:w="1314" w:type="dxa"/>
          </w:tcPr>
          <w:p w14:paraId="45A6B568">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104</w:t>
            </w:r>
          </w:p>
        </w:tc>
        <w:tc>
          <w:tcPr>
            <w:tcW w:w="1314" w:type="dxa"/>
          </w:tcPr>
          <w:p w14:paraId="673C6E29">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91</w:t>
            </w:r>
          </w:p>
        </w:tc>
      </w:tr>
      <w:tr w14:paraId="12071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1" w:hRule="atLeast"/>
        </w:trPr>
        <w:tc>
          <w:tcPr>
            <w:tcW w:w="3748" w:type="dxa"/>
            <w:tcBorders>
              <w:bottom w:val="single" w:color="auto" w:sz="12" w:space="0"/>
            </w:tcBorders>
          </w:tcPr>
          <w:p w14:paraId="75D693FE">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Bleaching duration (s)</w:t>
            </w:r>
          </w:p>
        </w:tc>
        <w:tc>
          <w:tcPr>
            <w:tcW w:w="1314" w:type="dxa"/>
            <w:tcBorders>
              <w:bottom w:val="single" w:color="auto" w:sz="12" w:space="0"/>
            </w:tcBorders>
          </w:tcPr>
          <w:p w14:paraId="4E6656D9">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71</w:t>
            </w:r>
          </w:p>
        </w:tc>
        <w:tc>
          <w:tcPr>
            <w:tcW w:w="1314" w:type="dxa"/>
            <w:tcBorders>
              <w:bottom w:val="single" w:color="auto" w:sz="12" w:space="0"/>
            </w:tcBorders>
          </w:tcPr>
          <w:p w14:paraId="37A137E4">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60</w:t>
            </w:r>
          </w:p>
        </w:tc>
        <w:tc>
          <w:tcPr>
            <w:tcW w:w="1314" w:type="dxa"/>
            <w:tcBorders>
              <w:bottom w:val="single" w:color="auto" w:sz="12" w:space="0"/>
            </w:tcBorders>
          </w:tcPr>
          <w:p w14:paraId="2AEC4D52">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54</w:t>
            </w:r>
          </w:p>
        </w:tc>
        <w:tc>
          <w:tcPr>
            <w:tcW w:w="1314" w:type="dxa"/>
            <w:tcBorders>
              <w:bottom w:val="single" w:color="auto" w:sz="12" w:space="0"/>
            </w:tcBorders>
          </w:tcPr>
          <w:p w14:paraId="4E5DFE4F">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51</w:t>
            </w:r>
          </w:p>
        </w:tc>
        <w:tc>
          <w:tcPr>
            <w:tcW w:w="1314" w:type="dxa"/>
            <w:tcBorders>
              <w:bottom w:val="single" w:color="auto" w:sz="12" w:space="0"/>
            </w:tcBorders>
          </w:tcPr>
          <w:p w14:paraId="2DEE402A">
            <w:pPr>
              <w:tabs>
                <w:tab w:val="left" w:pos="567"/>
              </w:tabs>
              <w:spacing w:after="332" w:afterLines="100" w:line="360" w:lineRule="auto"/>
              <w:rPr>
                <w:rFonts w:ascii="Times New Roman" w:hAnsi="Times New Roman" w:cs="Times New Roman"/>
                <w:sz w:val="20"/>
                <w:szCs w:val="20"/>
              </w:rPr>
            </w:pPr>
            <w:r>
              <w:rPr>
                <w:rFonts w:hint="eastAsia" w:ascii="Times New Roman" w:hAnsi="Times New Roman" w:cs="Times New Roman"/>
                <w:sz w:val="20"/>
                <w:szCs w:val="20"/>
              </w:rPr>
              <w:t>47</w:t>
            </w:r>
          </w:p>
        </w:tc>
      </w:tr>
    </w:tbl>
    <w:p w14:paraId="79C344A9">
      <w:pPr>
        <w:rPr>
          <w:rFonts w:ascii="Times New Roman" w:hAnsi="Times New Roman" w:eastAsia="宋体" w:cs="Times New Roman"/>
          <w:sz w:val="24"/>
          <w:shd w:val="clear" w:color="auto" w:fill="FFFFFF"/>
          <w:vertAlign w:val="subscript"/>
        </w:rPr>
      </w:pPr>
      <w:r>
        <w:rPr>
          <w:rFonts w:hint="eastAsia" w:ascii="Times New Roman" w:hAnsi="Times New Roman" w:eastAsia="宋体" w:cs="Times New Roman"/>
          <w:sz w:val="24"/>
          <w:shd w:val="clear" w:color="auto" w:fill="FFFFFF"/>
          <w:vertAlign w:val="subscript"/>
        </w:rPr>
        <w:t xml:space="preserve">Note: The coloring process indicates the transition from heating mode to cooling mode, </w:t>
      </w:r>
    </w:p>
    <w:p w14:paraId="55922CC6">
      <w:pPr>
        <w:rPr>
          <w:rFonts w:ascii="Times New Roman" w:hAnsi="Times New Roman" w:eastAsia="宋体" w:cs="Times New Roman"/>
          <w:sz w:val="24"/>
          <w:shd w:val="clear" w:color="auto" w:fill="FFFFFF"/>
          <w:vertAlign w:val="subscript"/>
        </w:rPr>
      </w:pPr>
      <w:r>
        <w:rPr>
          <w:rFonts w:hint="eastAsia" w:ascii="Times New Roman" w:hAnsi="Times New Roman" w:eastAsia="宋体" w:cs="Times New Roman"/>
          <w:sz w:val="24"/>
          <w:shd w:val="clear" w:color="auto" w:fill="FFFFFF"/>
          <w:vertAlign w:val="subscript"/>
        </w:rPr>
        <w:t>while the bleaching process represents the transition from cooling mode back to heating mode.</w:t>
      </w:r>
    </w:p>
    <w:p w14:paraId="4D7723F5">
      <w:pPr>
        <w:rPr>
          <w:rFonts w:ascii="Times New Roman" w:hAnsi="Times New Roman" w:eastAsia="宋体" w:cs="Times New Roman"/>
          <w:sz w:val="20"/>
          <w:szCs w:val="20"/>
          <w:shd w:val="clear" w:color="auto" w:fill="FFFFFF"/>
          <w:vertAlign w:val="subscript"/>
        </w:rPr>
      </w:pPr>
      <w:r>
        <w:rPr>
          <w:rFonts w:hint="eastAsia" w:ascii="Times New Roman" w:hAnsi="Times New Roman" w:eastAsia="宋体" w:cs="Times New Roman"/>
          <w:sz w:val="20"/>
          <w:szCs w:val="20"/>
          <w:shd w:val="clear" w:color="auto" w:fill="FFFFFF"/>
          <w:vertAlign w:val="subscript"/>
        </w:rPr>
        <w:br w:type="page"/>
      </w:r>
    </w:p>
    <w:p w14:paraId="1CE682A4">
      <w:pPr>
        <w:tabs>
          <w:tab w:val="left" w:pos="567"/>
        </w:tabs>
        <w:spacing w:after="332" w:afterLines="100" w:line="360" w:lineRule="auto"/>
        <w:rPr>
          <w:rFonts w:ascii="Times New Roman" w:hAnsi="Times New Roman" w:cs="Times New Roman"/>
          <w:sz w:val="24"/>
        </w:rPr>
      </w:pPr>
      <w:r>
        <w:rPr>
          <w:rFonts w:ascii="Times New Roman" w:hAnsi="Times New Roman" w:cs="Times New Roman"/>
          <w:b/>
          <w:bCs/>
          <w:iCs/>
          <w:sz w:val="24"/>
        </w:rPr>
        <w:t xml:space="preserve">Table </w:t>
      </w:r>
      <w:r>
        <w:rPr>
          <w:rFonts w:hint="eastAsia" w:ascii="Times New Roman" w:hAnsi="Times New Roman" w:cs="Times New Roman"/>
          <w:b/>
          <w:bCs/>
          <w:iCs/>
          <w:sz w:val="24"/>
        </w:rPr>
        <w:t xml:space="preserve">S4 </w:t>
      </w:r>
      <w:r>
        <w:rPr>
          <w:rFonts w:ascii="Times New Roman" w:hAnsi="Times New Roman" w:cs="Times New Roman"/>
          <w:sz w:val="24"/>
        </w:rPr>
        <w:t>Detailed optical properties of the</w:t>
      </w:r>
      <w:r>
        <w:rPr>
          <w:rFonts w:hint="eastAsia" w:ascii="Times New Roman" w:hAnsi="Times New Roman" w:cs="Times New Roman"/>
          <w:sz w:val="24"/>
        </w:rPr>
        <w:t xml:space="preserve"> HL</w:t>
      </w:r>
      <w:r>
        <w:rPr>
          <w:rFonts w:ascii="Times New Roman" w:hAnsi="Times New Roman" w:cs="Times New Roman"/>
          <w:sz w:val="24"/>
        </w:rPr>
        <w:t>s with different thickness and concentration</w:t>
      </w:r>
      <w:bookmarkEnd w:id="1"/>
      <w:r>
        <w:rPr>
          <w:rFonts w:hint="eastAsia" w:ascii="Times New Roman" w:hAnsi="Times New Roman" w:cs="Times New Roman"/>
          <w:sz w:val="24"/>
        </w:rPr>
        <w:t>s</w:t>
      </w:r>
    </w:p>
    <w:tbl>
      <w:tblPr>
        <w:tblStyle w:val="6"/>
        <w:tblW w:w="10458" w:type="dxa"/>
        <w:jc w:val="center"/>
        <w:tblLayout w:type="fixed"/>
        <w:tblCellMar>
          <w:top w:w="0" w:type="dxa"/>
          <w:left w:w="0" w:type="dxa"/>
          <w:bottom w:w="0" w:type="dxa"/>
          <w:right w:w="0" w:type="dxa"/>
        </w:tblCellMar>
      </w:tblPr>
      <w:tblGrid>
        <w:gridCol w:w="2480"/>
        <w:gridCol w:w="2855"/>
        <w:gridCol w:w="968"/>
        <w:gridCol w:w="903"/>
        <w:gridCol w:w="768"/>
        <w:gridCol w:w="1000"/>
        <w:gridCol w:w="789"/>
        <w:gridCol w:w="695"/>
      </w:tblGrid>
      <w:tr w14:paraId="06217E84">
        <w:tblPrEx>
          <w:tblCellMar>
            <w:top w:w="0" w:type="dxa"/>
            <w:left w:w="0" w:type="dxa"/>
            <w:bottom w:w="0" w:type="dxa"/>
            <w:right w:w="0" w:type="dxa"/>
          </w:tblCellMar>
        </w:tblPrEx>
        <w:trPr>
          <w:trHeight w:val="988" w:hRule="atLeast"/>
          <w:jc w:val="center"/>
        </w:trPr>
        <w:tc>
          <w:tcPr>
            <w:tcW w:w="2480" w:type="dxa"/>
            <w:tcBorders>
              <w:top w:val="single" w:color="000000" w:sz="12" w:space="0"/>
              <w:left w:val="nil"/>
              <w:bottom w:val="nil"/>
              <w:right w:val="nil"/>
            </w:tcBorders>
            <w:shd w:val="clear" w:color="auto" w:fill="auto"/>
            <w:noWrap/>
            <w:vAlign w:val="center"/>
          </w:tcPr>
          <w:p w14:paraId="3CA48BB3">
            <w:pPr>
              <w:tabs>
                <w:tab w:val="left" w:pos="567"/>
              </w:tabs>
              <w:adjustRightInd w:val="0"/>
              <w:spacing w:line="360" w:lineRule="auto"/>
              <w:jc w:val="left"/>
              <w:rPr>
                <w:rFonts w:ascii="Times New Roman" w:hAnsi="Times New Roman" w:eastAsia="宋体" w:cs="Times New Roman"/>
                <w:b/>
                <w:sz w:val="20"/>
                <w:szCs w:val="20"/>
              </w:rPr>
            </w:pPr>
            <w:r>
              <w:rPr>
                <w:rFonts w:hint="eastAsia" w:ascii="Times New Roman" w:hAnsi="Times New Roman" w:eastAsia="宋体" w:cs="Times New Roman"/>
                <w:b/>
                <w:sz w:val="20"/>
                <w:szCs w:val="20"/>
              </w:rPr>
              <w:t>Optical thickness</w:t>
            </w:r>
          </w:p>
        </w:tc>
        <w:tc>
          <w:tcPr>
            <w:tcW w:w="2855" w:type="dxa"/>
            <w:tcBorders>
              <w:top w:val="single" w:color="000000" w:sz="12" w:space="0"/>
              <w:left w:val="nil"/>
              <w:bottom w:val="nil"/>
              <w:right w:val="nil"/>
            </w:tcBorders>
            <w:shd w:val="clear" w:color="auto" w:fill="auto"/>
            <w:noWrap/>
            <w:vAlign w:val="center"/>
          </w:tcPr>
          <w:p w14:paraId="310EFE14">
            <w:pPr>
              <w:tabs>
                <w:tab w:val="left" w:pos="567"/>
              </w:tabs>
              <w:adjustRightInd w:val="0"/>
              <w:spacing w:line="360" w:lineRule="auto"/>
              <w:jc w:val="left"/>
              <w:rPr>
                <w:rFonts w:ascii="Times New Roman" w:hAnsi="Times New Roman" w:cs="Times New Roman"/>
                <w:b/>
                <w:sz w:val="20"/>
                <w:szCs w:val="20"/>
              </w:rPr>
            </w:pPr>
            <w:r>
              <w:rPr>
                <w:rFonts w:ascii="Times New Roman" w:hAnsi="Times New Roman" w:cs="Times New Roman"/>
                <w:b/>
                <w:sz w:val="20"/>
                <w:szCs w:val="20"/>
              </w:rPr>
              <w:t>Mass concentration</w:t>
            </w:r>
          </w:p>
        </w:tc>
        <w:tc>
          <w:tcPr>
            <w:tcW w:w="968" w:type="dxa"/>
            <w:tcBorders>
              <w:top w:val="single" w:color="000000" w:sz="12" w:space="0"/>
              <w:left w:val="nil"/>
              <w:right w:val="nil"/>
            </w:tcBorders>
            <w:shd w:val="clear" w:color="auto" w:fill="auto"/>
            <w:noWrap/>
            <w:vAlign w:val="center"/>
          </w:tcPr>
          <w:p w14:paraId="6715EF43">
            <w:pPr>
              <w:tabs>
                <w:tab w:val="left" w:pos="567"/>
              </w:tabs>
              <w:adjustRightInd w:val="0"/>
              <w:spacing w:line="360" w:lineRule="auto"/>
              <w:jc w:val="left"/>
              <w:rPr>
                <w:rFonts w:ascii="Times New Roman" w:hAnsi="Times New Roman" w:eastAsia="宋体" w:cs="Times New Roman"/>
                <w:b/>
                <w:bCs/>
                <w:sz w:val="20"/>
                <w:szCs w:val="20"/>
              </w:rPr>
            </w:pPr>
            <w:r>
              <w:rPr>
                <w:rFonts w:ascii="Times New Roman" w:hAnsi="Times New Roman" w:eastAsia="宋体" w:cs="Times New Roman"/>
                <w:b/>
                <w:bCs/>
                <w:i/>
                <w:sz w:val="20"/>
                <w:szCs w:val="20"/>
              </w:rPr>
              <w:t>T</w:t>
            </w:r>
            <w:r>
              <w:rPr>
                <w:rFonts w:ascii="Times New Roman" w:hAnsi="Times New Roman" w:eastAsia="宋体" w:cs="Times New Roman"/>
                <w:b/>
                <w:bCs/>
                <w:sz w:val="20"/>
                <w:szCs w:val="20"/>
                <w:vertAlign w:val="subscript"/>
              </w:rPr>
              <w:t>lum</w:t>
            </w:r>
            <w:r>
              <w:rPr>
                <w:rFonts w:ascii="Times New Roman" w:hAnsi="Times New Roman" w:eastAsia="宋体" w:cs="Times New Roman"/>
                <w:b/>
                <w:bCs/>
                <w:sz w:val="20"/>
                <w:szCs w:val="20"/>
              </w:rPr>
              <w:t xml:space="preserve"> (%)</w:t>
            </w:r>
          </w:p>
        </w:tc>
        <w:tc>
          <w:tcPr>
            <w:tcW w:w="903" w:type="dxa"/>
            <w:tcBorders>
              <w:top w:val="single" w:color="000000" w:sz="12" w:space="0"/>
              <w:left w:val="nil"/>
              <w:right w:val="nil"/>
            </w:tcBorders>
            <w:shd w:val="clear" w:color="auto" w:fill="auto"/>
            <w:noWrap/>
            <w:vAlign w:val="center"/>
          </w:tcPr>
          <w:p w14:paraId="606A7032">
            <w:pPr>
              <w:tabs>
                <w:tab w:val="left" w:pos="567"/>
              </w:tabs>
              <w:adjustRightInd w:val="0"/>
              <w:spacing w:line="360" w:lineRule="auto"/>
              <w:jc w:val="left"/>
              <w:rPr>
                <w:rFonts w:ascii="Times New Roman" w:hAnsi="Times New Roman" w:cs="Times New Roman"/>
                <w:sz w:val="20"/>
                <w:szCs w:val="20"/>
              </w:rPr>
            </w:pPr>
            <w:r>
              <w:rPr>
                <w:rFonts w:ascii="Times New Roman" w:hAnsi="Times New Roman" w:eastAsia="宋体" w:cs="Times New Roman"/>
                <w:b/>
                <w:bCs/>
                <w:i/>
                <w:sz w:val="20"/>
                <w:szCs w:val="20"/>
              </w:rPr>
              <w:t>T</w:t>
            </w:r>
            <w:r>
              <w:rPr>
                <w:rFonts w:ascii="Times New Roman" w:hAnsi="Times New Roman" w:eastAsia="宋体" w:cs="Times New Roman"/>
                <w:b/>
                <w:bCs/>
                <w:sz w:val="20"/>
                <w:szCs w:val="20"/>
                <w:vertAlign w:val="subscript"/>
              </w:rPr>
              <w:t>sol</w:t>
            </w:r>
            <w:r>
              <w:rPr>
                <w:rFonts w:ascii="Times New Roman" w:hAnsi="Times New Roman" w:eastAsia="宋体" w:cs="Times New Roman"/>
                <w:b/>
                <w:bCs/>
                <w:sz w:val="20"/>
                <w:szCs w:val="20"/>
              </w:rPr>
              <w:t xml:space="preserve"> (%)</w:t>
            </w:r>
          </w:p>
        </w:tc>
        <w:tc>
          <w:tcPr>
            <w:tcW w:w="768" w:type="dxa"/>
            <w:tcBorders>
              <w:top w:val="single" w:color="000000" w:sz="12" w:space="0"/>
              <w:left w:val="nil"/>
              <w:bottom w:val="single" w:color="auto" w:sz="4" w:space="0"/>
              <w:right w:val="nil"/>
            </w:tcBorders>
            <w:shd w:val="clear" w:color="auto" w:fill="auto"/>
            <w:noWrap/>
            <w:vAlign w:val="center"/>
          </w:tcPr>
          <w:p w14:paraId="65BA39DE">
            <w:pPr>
              <w:tabs>
                <w:tab w:val="left" w:pos="567"/>
              </w:tabs>
              <w:adjustRightInd w:val="0"/>
              <w:spacing w:line="360" w:lineRule="auto"/>
              <w:jc w:val="left"/>
              <w:rPr>
                <w:rFonts w:ascii="Times New Roman" w:hAnsi="Times New Roman" w:eastAsia="宋体" w:cs="Times New Roman"/>
                <w:b/>
                <w:bCs/>
                <w:i/>
                <w:sz w:val="20"/>
                <w:szCs w:val="20"/>
              </w:rPr>
            </w:pPr>
            <w:r>
              <w:rPr>
                <w:rFonts w:hint="eastAsia" w:ascii="Times New Roman" w:hAnsi="Times New Roman" w:eastAsia="宋体" w:cs="Times New Roman"/>
                <w:b/>
                <w:bCs/>
                <w:i/>
                <w:sz w:val="20"/>
                <w:szCs w:val="20"/>
              </w:rPr>
              <w:t>FOM</w:t>
            </w:r>
          </w:p>
        </w:tc>
        <w:tc>
          <w:tcPr>
            <w:tcW w:w="1000" w:type="dxa"/>
            <w:tcBorders>
              <w:top w:val="single" w:color="000000" w:sz="12" w:space="0"/>
              <w:left w:val="nil"/>
              <w:right w:val="nil"/>
            </w:tcBorders>
            <w:shd w:val="clear" w:color="auto" w:fill="auto"/>
            <w:noWrap/>
            <w:vAlign w:val="center"/>
          </w:tcPr>
          <w:p w14:paraId="6A843989">
            <w:pPr>
              <w:tabs>
                <w:tab w:val="left" w:pos="567"/>
              </w:tabs>
              <w:adjustRightInd w:val="0"/>
              <w:spacing w:line="360" w:lineRule="auto"/>
              <w:jc w:val="left"/>
              <w:rPr>
                <w:rFonts w:ascii="Times New Roman" w:hAnsi="Times New Roman" w:eastAsia="宋体" w:cs="Times New Roman"/>
                <w:b/>
                <w:bCs/>
                <w:sz w:val="20"/>
                <w:szCs w:val="20"/>
              </w:rPr>
            </w:pPr>
            <w:r>
              <w:rPr>
                <w:rFonts w:ascii="Times New Roman" w:hAnsi="Times New Roman" w:eastAsia="宋体" w:cs="Times New Roman"/>
                <w:b/>
                <w:bCs/>
                <w:i/>
                <w:sz w:val="20"/>
                <w:szCs w:val="20"/>
              </w:rPr>
              <w:t>T</w:t>
            </w:r>
            <w:r>
              <w:rPr>
                <w:rFonts w:ascii="Times New Roman" w:hAnsi="Times New Roman" w:eastAsia="宋体" w:cs="Times New Roman"/>
                <w:b/>
                <w:bCs/>
                <w:sz w:val="20"/>
                <w:szCs w:val="20"/>
                <w:vertAlign w:val="subscript"/>
              </w:rPr>
              <w:t>mel</w:t>
            </w:r>
            <w:r>
              <w:rPr>
                <w:rFonts w:ascii="Times New Roman" w:hAnsi="Times New Roman" w:eastAsia="宋体" w:cs="Times New Roman"/>
                <w:b/>
                <w:bCs/>
                <w:sz w:val="20"/>
                <w:szCs w:val="20"/>
              </w:rPr>
              <w:t xml:space="preserve"> (%)</w:t>
            </w:r>
          </w:p>
        </w:tc>
        <w:tc>
          <w:tcPr>
            <w:tcW w:w="789" w:type="dxa"/>
            <w:tcBorders>
              <w:top w:val="single" w:color="000000" w:sz="12" w:space="0"/>
              <w:left w:val="nil"/>
              <w:bottom w:val="nil"/>
              <w:right w:val="nil"/>
            </w:tcBorders>
            <w:shd w:val="clear" w:color="auto" w:fill="auto"/>
            <w:noWrap/>
            <w:vAlign w:val="center"/>
          </w:tcPr>
          <w:p w14:paraId="7C3C05E1">
            <w:pPr>
              <w:tabs>
                <w:tab w:val="left" w:pos="567"/>
              </w:tabs>
              <w:adjustRightInd w:val="0"/>
              <w:spacing w:line="360" w:lineRule="auto"/>
              <w:jc w:val="left"/>
              <w:rPr>
                <w:rFonts w:ascii="Times New Roman" w:hAnsi="Times New Roman" w:eastAsia="宋体" w:cs="Times New Roman"/>
                <w:b/>
                <w:bCs/>
                <w:i/>
                <w:sz w:val="20"/>
                <w:szCs w:val="20"/>
              </w:rPr>
            </w:pPr>
            <w:r>
              <w:rPr>
                <w:rFonts w:hint="eastAsia" w:ascii="Times New Roman" w:hAnsi="Times New Roman" w:eastAsia="宋体" w:cs="Times New Roman"/>
                <w:b/>
                <w:bCs/>
                <w:i/>
                <w:sz w:val="20"/>
                <w:szCs w:val="20"/>
              </w:rPr>
              <w:t>M/P</w:t>
            </w:r>
          </w:p>
        </w:tc>
        <w:tc>
          <w:tcPr>
            <w:tcW w:w="695" w:type="dxa"/>
            <w:tcBorders>
              <w:top w:val="single" w:color="000000" w:sz="12" w:space="0"/>
              <w:left w:val="nil"/>
              <w:bottom w:val="nil"/>
              <w:right w:val="nil"/>
            </w:tcBorders>
            <w:shd w:val="clear" w:color="auto" w:fill="auto"/>
            <w:noWrap/>
            <w:vAlign w:val="center"/>
          </w:tcPr>
          <w:p w14:paraId="58DF68F7">
            <w:pPr>
              <w:tabs>
                <w:tab w:val="left" w:pos="567"/>
              </w:tabs>
              <w:adjustRightInd w:val="0"/>
              <w:spacing w:line="360" w:lineRule="auto"/>
              <w:jc w:val="left"/>
              <w:rPr>
                <w:rFonts w:ascii="Times New Roman" w:hAnsi="Times New Roman" w:eastAsia="宋体" w:cs="Times New Roman"/>
                <w:b/>
                <w:bCs/>
                <w:sz w:val="20"/>
                <w:szCs w:val="20"/>
              </w:rPr>
            </w:pPr>
            <w:r>
              <w:rPr>
                <w:rFonts w:ascii="Times New Roman" w:hAnsi="Times New Roman" w:eastAsia="宋体" w:cs="Times New Roman"/>
                <w:b/>
                <w:bCs/>
                <w:i/>
                <w:sz w:val="20"/>
                <w:szCs w:val="20"/>
              </w:rPr>
              <w:t>CRI</w:t>
            </w:r>
          </w:p>
        </w:tc>
      </w:tr>
      <w:tr w14:paraId="3AFFFA30">
        <w:tblPrEx>
          <w:tblCellMar>
            <w:top w:w="0" w:type="dxa"/>
            <w:left w:w="0" w:type="dxa"/>
            <w:bottom w:w="0" w:type="dxa"/>
            <w:right w:w="0" w:type="dxa"/>
          </w:tblCellMar>
        </w:tblPrEx>
        <w:trPr>
          <w:trHeight w:val="494" w:hRule="atLeast"/>
          <w:jc w:val="center"/>
        </w:trPr>
        <w:tc>
          <w:tcPr>
            <w:tcW w:w="2480" w:type="dxa"/>
            <w:vMerge w:val="restart"/>
            <w:tcBorders>
              <w:top w:val="single" w:color="auto" w:sz="4" w:space="0"/>
              <w:left w:val="nil"/>
              <w:right w:val="nil"/>
            </w:tcBorders>
            <w:shd w:val="clear" w:color="auto" w:fill="auto"/>
            <w:noWrap/>
            <w:vAlign w:val="center"/>
          </w:tcPr>
          <w:p w14:paraId="4EBB879A">
            <w:pPr>
              <w:tabs>
                <w:tab w:val="left" w:pos="567"/>
              </w:tabs>
              <w:adjustRightInd w:val="0"/>
              <w:spacing w:line="360" w:lineRule="auto"/>
              <w:jc w:val="left"/>
              <w:rPr>
                <w:rFonts w:ascii="Times New Roman" w:hAnsi="Times New Roman" w:eastAsia="宋体" w:cs="Times New Roman"/>
                <w:sz w:val="20"/>
                <w:szCs w:val="20"/>
              </w:rPr>
            </w:pPr>
            <w:r>
              <w:rPr>
                <w:rFonts w:ascii="Times New Roman" w:hAnsi="Times New Roman" w:eastAsia="宋体" w:cs="Times New Roman"/>
                <w:sz w:val="20"/>
                <w:szCs w:val="20"/>
              </w:rPr>
              <w:t>2 mm</w:t>
            </w:r>
          </w:p>
        </w:tc>
        <w:tc>
          <w:tcPr>
            <w:tcW w:w="2855" w:type="dxa"/>
            <w:tcBorders>
              <w:top w:val="single" w:color="auto" w:sz="4" w:space="0"/>
              <w:left w:val="nil"/>
              <w:right w:val="nil"/>
            </w:tcBorders>
            <w:shd w:val="clear" w:color="auto" w:fill="auto"/>
            <w:noWrap/>
            <w:vAlign w:val="center"/>
          </w:tcPr>
          <w:p w14:paraId="4DD4CCCC">
            <w:pPr>
              <w:tabs>
                <w:tab w:val="left" w:pos="567"/>
              </w:tabs>
              <w:adjustRightInd w:val="0"/>
              <w:spacing w:line="360" w:lineRule="auto"/>
              <w:jc w:val="left"/>
              <w:rPr>
                <w:rFonts w:ascii="Times New Roman" w:hAnsi="Times New Roman" w:eastAsia="宋体" w:cs="Times New Roman"/>
                <w:sz w:val="20"/>
                <w:szCs w:val="20"/>
              </w:rPr>
            </w:pPr>
            <w:r>
              <w:rPr>
                <w:rFonts w:ascii="Times New Roman" w:hAnsi="Times New Roman" w:eastAsia="宋体" w:cs="Times New Roman"/>
                <w:sz w:val="20"/>
                <w:szCs w:val="20"/>
              </w:rPr>
              <w:t>20% CuSO</w:t>
            </w:r>
            <w:r>
              <w:rPr>
                <w:rFonts w:ascii="Times New Roman" w:hAnsi="Times New Roman" w:eastAsia="宋体" w:cs="Times New Roman"/>
                <w:sz w:val="20"/>
                <w:szCs w:val="20"/>
                <w:vertAlign w:val="subscript"/>
              </w:rPr>
              <w:t>4</w:t>
            </w:r>
          </w:p>
        </w:tc>
        <w:tc>
          <w:tcPr>
            <w:tcW w:w="968" w:type="dxa"/>
            <w:tcBorders>
              <w:top w:val="single" w:color="auto" w:sz="4" w:space="0"/>
              <w:left w:val="nil"/>
              <w:right w:val="nil"/>
            </w:tcBorders>
            <w:shd w:val="clear" w:color="auto" w:fill="auto"/>
            <w:noWrap/>
            <w:vAlign w:val="center"/>
          </w:tcPr>
          <w:p w14:paraId="5DEAB23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74.6 </w:t>
            </w:r>
          </w:p>
        </w:tc>
        <w:tc>
          <w:tcPr>
            <w:tcW w:w="903" w:type="dxa"/>
            <w:tcBorders>
              <w:top w:val="single" w:color="auto" w:sz="4" w:space="0"/>
              <w:left w:val="nil"/>
              <w:right w:val="nil"/>
            </w:tcBorders>
            <w:shd w:val="clear" w:color="auto" w:fill="auto"/>
            <w:noWrap/>
            <w:vAlign w:val="center"/>
          </w:tcPr>
          <w:p w14:paraId="68F8D59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36.5 </w:t>
            </w:r>
          </w:p>
        </w:tc>
        <w:tc>
          <w:tcPr>
            <w:tcW w:w="768" w:type="dxa"/>
            <w:tcBorders>
              <w:top w:val="single" w:color="auto" w:sz="4" w:space="0"/>
              <w:left w:val="nil"/>
              <w:right w:val="nil"/>
            </w:tcBorders>
            <w:shd w:val="clear" w:color="auto" w:fill="auto"/>
            <w:noWrap/>
            <w:vAlign w:val="center"/>
          </w:tcPr>
          <w:p w14:paraId="264BE4DB">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2.04</w:t>
            </w:r>
          </w:p>
        </w:tc>
        <w:tc>
          <w:tcPr>
            <w:tcW w:w="1000" w:type="dxa"/>
            <w:tcBorders>
              <w:top w:val="single" w:color="auto" w:sz="4" w:space="0"/>
              <w:left w:val="nil"/>
              <w:right w:val="nil"/>
            </w:tcBorders>
            <w:shd w:val="clear" w:color="auto" w:fill="auto"/>
            <w:noWrap/>
            <w:vAlign w:val="center"/>
          </w:tcPr>
          <w:p w14:paraId="47DCFBA0">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85.5</w:t>
            </w:r>
          </w:p>
        </w:tc>
        <w:tc>
          <w:tcPr>
            <w:tcW w:w="789" w:type="dxa"/>
            <w:tcBorders>
              <w:top w:val="single" w:color="auto" w:sz="4" w:space="0"/>
              <w:left w:val="nil"/>
              <w:right w:val="nil"/>
            </w:tcBorders>
            <w:shd w:val="clear" w:color="auto" w:fill="auto"/>
            <w:noWrap/>
            <w:vAlign w:val="center"/>
          </w:tcPr>
          <w:p w14:paraId="764E63B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0.96 </w:t>
            </w:r>
          </w:p>
        </w:tc>
        <w:tc>
          <w:tcPr>
            <w:tcW w:w="695" w:type="dxa"/>
            <w:tcBorders>
              <w:top w:val="single" w:color="auto" w:sz="4" w:space="0"/>
              <w:left w:val="nil"/>
              <w:right w:val="nil"/>
            </w:tcBorders>
            <w:shd w:val="clear" w:color="auto" w:fill="auto"/>
            <w:noWrap/>
            <w:vAlign w:val="center"/>
          </w:tcPr>
          <w:p w14:paraId="12E6CD6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83 </w:t>
            </w:r>
          </w:p>
        </w:tc>
      </w:tr>
      <w:tr w14:paraId="290AFA92">
        <w:tblPrEx>
          <w:tblCellMar>
            <w:top w:w="0" w:type="dxa"/>
            <w:left w:w="0" w:type="dxa"/>
            <w:bottom w:w="0" w:type="dxa"/>
            <w:right w:w="0" w:type="dxa"/>
          </w:tblCellMar>
        </w:tblPrEx>
        <w:trPr>
          <w:trHeight w:val="484" w:hRule="atLeast"/>
          <w:jc w:val="center"/>
        </w:trPr>
        <w:tc>
          <w:tcPr>
            <w:tcW w:w="2480" w:type="dxa"/>
            <w:vMerge w:val="continue"/>
            <w:tcBorders>
              <w:left w:val="nil"/>
              <w:right w:val="nil"/>
            </w:tcBorders>
            <w:shd w:val="clear" w:color="auto" w:fill="auto"/>
            <w:noWrap/>
            <w:vAlign w:val="center"/>
          </w:tcPr>
          <w:p w14:paraId="1D761D96">
            <w:pPr>
              <w:tabs>
                <w:tab w:val="left" w:pos="567"/>
              </w:tabs>
              <w:adjustRightInd w:val="0"/>
              <w:spacing w:line="360" w:lineRule="auto"/>
              <w:jc w:val="left"/>
              <w:rPr>
                <w:rFonts w:ascii="Times New Roman" w:hAnsi="Times New Roman" w:eastAsia="宋体" w:cs="Times New Roman"/>
                <w:sz w:val="20"/>
                <w:szCs w:val="20"/>
              </w:rPr>
            </w:pPr>
          </w:p>
        </w:tc>
        <w:tc>
          <w:tcPr>
            <w:tcW w:w="2855" w:type="dxa"/>
            <w:tcBorders>
              <w:top w:val="nil"/>
              <w:left w:val="nil"/>
              <w:bottom w:val="nil"/>
              <w:right w:val="nil"/>
            </w:tcBorders>
            <w:shd w:val="clear" w:color="auto" w:fill="auto"/>
            <w:noWrap/>
            <w:vAlign w:val="center"/>
          </w:tcPr>
          <w:p w14:paraId="1A5D3D8F">
            <w:pPr>
              <w:tabs>
                <w:tab w:val="left" w:pos="567"/>
              </w:tabs>
              <w:adjustRightInd w:val="0"/>
              <w:spacing w:line="360" w:lineRule="auto"/>
              <w:jc w:val="left"/>
              <w:rPr>
                <w:rFonts w:ascii="Times New Roman" w:hAnsi="Times New Roman" w:eastAsia="宋体" w:cs="Times New Roman"/>
                <w:sz w:val="20"/>
                <w:szCs w:val="20"/>
              </w:rPr>
            </w:pPr>
            <w:r>
              <w:rPr>
                <w:rFonts w:ascii="Times New Roman" w:hAnsi="Times New Roman" w:eastAsia="宋体" w:cs="Times New Roman"/>
                <w:sz w:val="20"/>
                <w:szCs w:val="20"/>
              </w:rPr>
              <w:t>10% CuSO</w:t>
            </w:r>
            <w:r>
              <w:rPr>
                <w:rFonts w:ascii="Times New Roman" w:hAnsi="Times New Roman" w:eastAsia="宋体" w:cs="Times New Roman"/>
                <w:sz w:val="20"/>
                <w:szCs w:val="20"/>
                <w:vertAlign w:val="subscript"/>
              </w:rPr>
              <w:t>4</w:t>
            </w:r>
          </w:p>
        </w:tc>
        <w:tc>
          <w:tcPr>
            <w:tcW w:w="968" w:type="dxa"/>
            <w:tcBorders>
              <w:top w:val="nil"/>
              <w:left w:val="nil"/>
              <w:bottom w:val="nil"/>
              <w:right w:val="nil"/>
            </w:tcBorders>
            <w:shd w:val="clear" w:color="auto" w:fill="auto"/>
            <w:noWrap/>
            <w:vAlign w:val="center"/>
          </w:tcPr>
          <w:p w14:paraId="2213818D">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80.7 </w:t>
            </w:r>
          </w:p>
        </w:tc>
        <w:tc>
          <w:tcPr>
            <w:tcW w:w="903" w:type="dxa"/>
            <w:tcBorders>
              <w:top w:val="nil"/>
              <w:left w:val="nil"/>
              <w:bottom w:val="nil"/>
              <w:right w:val="nil"/>
            </w:tcBorders>
            <w:shd w:val="clear" w:color="auto" w:fill="auto"/>
            <w:noWrap/>
            <w:vAlign w:val="center"/>
          </w:tcPr>
          <w:p w14:paraId="28D089A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46.2 </w:t>
            </w:r>
          </w:p>
        </w:tc>
        <w:tc>
          <w:tcPr>
            <w:tcW w:w="768" w:type="dxa"/>
            <w:tcBorders>
              <w:top w:val="nil"/>
              <w:left w:val="nil"/>
              <w:bottom w:val="nil"/>
              <w:right w:val="nil"/>
            </w:tcBorders>
            <w:shd w:val="clear" w:color="auto" w:fill="auto"/>
            <w:noWrap/>
            <w:vAlign w:val="center"/>
          </w:tcPr>
          <w:p w14:paraId="7F5AA28C">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1.75</w:t>
            </w:r>
          </w:p>
        </w:tc>
        <w:tc>
          <w:tcPr>
            <w:tcW w:w="1000" w:type="dxa"/>
            <w:tcBorders>
              <w:top w:val="nil"/>
              <w:left w:val="nil"/>
              <w:bottom w:val="nil"/>
              <w:right w:val="nil"/>
            </w:tcBorders>
            <w:shd w:val="clear" w:color="auto" w:fill="auto"/>
            <w:noWrap/>
            <w:vAlign w:val="center"/>
          </w:tcPr>
          <w:p w14:paraId="665F5AC1">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86.7</w:t>
            </w:r>
          </w:p>
        </w:tc>
        <w:tc>
          <w:tcPr>
            <w:tcW w:w="789" w:type="dxa"/>
            <w:tcBorders>
              <w:top w:val="nil"/>
              <w:left w:val="nil"/>
              <w:bottom w:val="nil"/>
              <w:right w:val="nil"/>
            </w:tcBorders>
            <w:shd w:val="clear" w:color="auto" w:fill="auto"/>
            <w:noWrap/>
            <w:vAlign w:val="center"/>
          </w:tcPr>
          <w:p w14:paraId="1FA94E90">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0.90 </w:t>
            </w:r>
          </w:p>
        </w:tc>
        <w:tc>
          <w:tcPr>
            <w:tcW w:w="695" w:type="dxa"/>
            <w:tcBorders>
              <w:top w:val="nil"/>
              <w:left w:val="nil"/>
              <w:bottom w:val="nil"/>
              <w:right w:val="nil"/>
            </w:tcBorders>
            <w:shd w:val="clear" w:color="auto" w:fill="auto"/>
            <w:noWrap/>
            <w:vAlign w:val="center"/>
          </w:tcPr>
          <w:p w14:paraId="493FFEF7">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92 </w:t>
            </w:r>
          </w:p>
        </w:tc>
      </w:tr>
      <w:tr w14:paraId="1E719F85">
        <w:tblPrEx>
          <w:tblCellMar>
            <w:top w:w="0" w:type="dxa"/>
            <w:left w:w="0" w:type="dxa"/>
            <w:bottom w:w="0" w:type="dxa"/>
            <w:right w:w="0" w:type="dxa"/>
          </w:tblCellMar>
        </w:tblPrEx>
        <w:trPr>
          <w:trHeight w:val="484" w:hRule="atLeast"/>
          <w:jc w:val="center"/>
        </w:trPr>
        <w:tc>
          <w:tcPr>
            <w:tcW w:w="2480" w:type="dxa"/>
            <w:vMerge w:val="continue"/>
            <w:tcBorders>
              <w:left w:val="nil"/>
              <w:right w:val="nil"/>
            </w:tcBorders>
            <w:shd w:val="clear" w:color="auto" w:fill="auto"/>
            <w:noWrap/>
            <w:vAlign w:val="center"/>
          </w:tcPr>
          <w:p w14:paraId="671E3340">
            <w:pPr>
              <w:tabs>
                <w:tab w:val="left" w:pos="567"/>
              </w:tabs>
              <w:adjustRightInd w:val="0"/>
              <w:spacing w:line="360" w:lineRule="auto"/>
              <w:jc w:val="left"/>
              <w:rPr>
                <w:rFonts w:ascii="Times New Roman" w:hAnsi="Times New Roman" w:eastAsia="宋体" w:cs="Times New Roman"/>
                <w:sz w:val="20"/>
                <w:szCs w:val="20"/>
              </w:rPr>
            </w:pPr>
          </w:p>
        </w:tc>
        <w:tc>
          <w:tcPr>
            <w:tcW w:w="2855" w:type="dxa"/>
            <w:tcBorders>
              <w:top w:val="nil"/>
              <w:left w:val="nil"/>
              <w:bottom w:val="single" w:color="auto" w:sz="4" w:space="0"/>
              <w:right w:val="nil"/>
            </w:tcBorders>
            <w:shd w:val="clear" w:color="auto" w:fill="auto"/>
            <w:noWrap/>
            <w:vAlign w:val="center"/>
          </w:tcPr>
          <w:p w14:paraId="385D8D95">
            <w:pPr>
              <w:tabs>
                <w:tab w:val="left" w:pos="567"/>
              </w:tabs>
              <w:adjustRightInd w:val="0"/>
              <w:spacing w:line="360" w:lineRule="auto"/>
              <w:jc w:val="left"/>
              <w:rPr>
                <w:rFonts w:ascii="Times New Roman" w:hAnsi="Times New Roman" w:eastAsia="宋体" w:cs="Times New Roman"/>
                <w:sz w:val="20"/>
                <w:szCs w:val="20"/>
              </w:rPr>
            </w:pPr>
            <w:r>
              <w:rPr>
                <w:rFonts w:ascii="Times New Roman" w:hAnsi="Times New Roman" w:eastAsia="宋体" w:cs="Times New Roman"/>
                <w:sz w:val="20"/>
                <w:szCs w:val="20"/>
              </w:rPr>
              <w:t>5% CuSO</w:t>
            </w:r>
            <w:r>
              <w:rPr>
                <w:rFonts w:ascii="Times New Roman" w:hAnsi="Times New Roman" w:eastAsia="宋体" w:cs="Times New Roman"/>
                <w:sz w:val="20"/>
                <w:szCs w:val="20"/>
                <w:vertAlign w:val="subscript"/>
              </w:rPr>
              <w:t>4</w:t>
            </w:r>
          </w:p>
        </w:tc>
        <w:tc>
          <w:tcPr>
            <w:tcW w:w="968" w:type="dxa"/>
            <w:tcBorders>
              <w:top w:val="nil"/>
              <w:left w:val="nil"/>
              <w:bottom w:val="single" w:color="auto" w:sz="4" w:space="0"/>
              <w:right w:val="nil"/>
            </w:tcBorders>
            <w:shd w:val="clear" w:color="auto" w:fill="auto"/>
            <w:noWrap/>
            <w:vAlign w:val="center"/>
          </w:tcPr>
          <w:p w14:paraId="6AB0ED1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84.0 </w:t>
            </w:r>
          </w:p>
        </w:tc>
        <w:tc>
          <w:tcPr>
            <w:tcW w:w="903" w:type="dxa"/>
            <w:tcBorders>
              <w:top w:val="nil"/>
              <w:left w:val="nil"/>
              <w:bottom w:val="single" w:color="auto" w:sz="4" w:space="0"/>
              <w:right w:val="nil"/>
            </w:tcBorders>
            <w:shd w:val="clear" w:color="auto" w:fill="auto"/>
            <w:noWrap/>
            <w:vAlign w:val="center"/>
          </w:tcPr>
          <w:p w14:paraId="29186CFD">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57.7 </w:t>
            </w:r>
          </w:p>
        </w:tc>
        <w:tc>
          <w:tcPr>
            <w:tcW w:w="768" w:type="dxa"/>
            <w:tcBorders>
              <w:top w:val="nil"/>
              <w:left w:val="nil"/>
              <w:bottom w:val="single" w:color="auto" w:sz="4" w:space="0"/>
              <w:right w:val="nil"/>
            </w:tcBorders>
            <w:shd w:val="clear" w:color="auto" w:fill="auto"/>
            <w:noWrap/>
            <w:vAlign w:val="center"/>
          </w:tcPr>
          <w:p w14:paraId="51415B56">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1.46</w:t>
            </w:r>
          </w:p>
        </w:tc>
        <w:tc>
          <w:tcPr>
            <w:tcW w:w="1000" w:type="dxa"/>
            <w:tcBorders>
              <w:top w:val="nil"/>
              <w:left w:val="nil"/>
              <w:bottom w:val="single" w:color="auto" w:sz="4" w:space="0"/>
              <w:right w:val="nil"/>
            </w:tcBorders>
            <w:shd w:val="clear" w:color="auto" w:fill="auto"/>
            <w:noWrap/>
            <w:vAlign w:val="center"/>
          </w:tcPr>
          <w:p w14:paraId="09EB402D">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86.8</w:t>
            </w:r>
          </w:p>
        </w:tc>
        <w:tc>
          <w:tcPr>
            <w:tcW w:w="789" w:type="dxa"/>
            <w:tcBorders>
              <w:top w:val="nil"/>
              <w:left w:val="nil"/>
              <w:bottom w:val="single" w:color="auto" w:sz="4" w:space="0"/>
              <w:right w:val="nil"/>
            </w:tcBorders>
            <w:shd w:val="clear" w:color="auto" w:fill="auto"/>
            <w:noWrap/>
            <w:vAlign w:val="center"/>
          </w:tcPr>
          <w:p w14:paraId="045133EC">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0.87 </w:t>
            </w:r>
          </w:p>
        </w:tc>
        <w:tc>
          <w:tcPr>
            <w:tcW w:w="695" w:type="dxa"/>
            <w:tcBorders>
              <w:top w:val="nil"/>
              <w:left w:val="nil"/>
              <w:bottom w:val="single" w:color="auto" w:sz="4" w:space="0"/>
              <w:right w:val="nil"/>
            </w:tcBorders>
            <w:shd w:val="clear" w:color="auto" w:fill="auto"/>
            <w:noWrap/>
            <w:vAlign w:val="center"/>
          </w:tcPr>
          <w:p w14:paraId="1BCC2E5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97 </w:t>
            </w:r>
          </w:p>
        </w:tc>
      </w:tr>
      <w:tr w14:paraId="73709174">
        <w:tblPrEx>
          <w:tblCellMar>
            <w:top w:w="0" w:type="dxa"/>
            <w:left w:w="0" w:type="dxa"/>
            <w:bottom w:w="0" w:type="dxa"/>
            <w:right w:w="0" w:type="dxa"/>
          </w:tblCellMar>
        </w:tblPrEx>
        <w:trPr>
          <w:trHeight w:val="494" w:hRule="atLeast"/>
          <w:jc w:val="center"/>
        </w:trPr>
        <w:tc>
          <w:tcPr>
            <w:tcW w:w="2480" w:type="dxa"/>
            <w:vMerge w:val="continue"/>
            <w:tcBorders>
              <w:left w:val="nil"/>
              <w:right w:val="nil"/>
            </w:tcBorders>
            <w:shd w:val="clear" w:color="auto" w:fill="auto"/>
            <w:noWrap/>
            <w:vAlign w:val="center"/>
          </w:tcPr>
          <w:p w14:paraId="64B51F64">
            <w:pPr>
              <w:tabs>
                <w:tab w:val="left" w:pos="567"/>
              </w:tabs>
              <w:adjustRightInd w:val="0"/>
              <w:spacing w:line="360" w:lineRule="auto"/>
              <w:jc w:val="left"/>
              <w:rPr>
                <w:rFonts w:ascii="Times New Roman" w:hAnsi="Times New Roman" w:eastAsia="宋体" w:cs="Times New Roman"/>
                <w:sz w:val="20"/>
                <w:szCs w:val="20"/>
              </w:rPr>
            </w:pPr>
          </w:p>
        </w:tc>
        <w:tc>
          <w:tcPr>
            <w:tcW w:w="2855" w:type="dxa"/>
            <w:tcBorders>
              <w:top w:val="nil"/>
              <w:left w:val="nil"/>
              <w:bottom w:val="nil"/>
              <w:right w:val="nil"/>
            </w:tcBorders>
            <w:shd w:val="clear" w:color="auto" w:fill="auto"/>
            <w:noWrap/>
            <w:vAlign w:val="center"/>
          </w:tcPr>
          <w:p w14:paraId="5C8226CF">
            <w:pPr>
              <w:tabs>
                <w:tab w:val="left" w:pos="567"/>
              </w:tabs>
              <w:adjustRightInd w:val="0"/>
              <w:spacing w:line="360" w:lineRule="auto"/>
              <w:jc w:val="left"/>
              <w:rPr>
                <w:rFonts w:ascii="Times New Roman" w:hAnsi="Times New Roman" w:eastAsia="宋体" w:cs="Times New Roman"/>
                <w:sz w:val="20"/>
                <w:szCs w:val="20"/>
              </w:rPr>
            </w:pPr>
            <w:r>
              <w:rPr>
                <w:rFonts w:ascii="Times New Roman" w:hAnsi="Times New Roman" w:eastAsia="宋体" w:cs="Times New Roman"/>
                <w:sz w:val="20"/>
                <w:szCs w:val="20"/>
              </w:rPr>
              <w:t xml:space="preserve">0.15% </w:t>
            </w:r>
            <w:r>
              <w:rPr>
                <w:rFonts w:hint="eastAsia" w:ascii="Times New Roman" w:hAnsi="Times New Roman" w:eastAsia="宋体" w:cs="Times New Roman"/>
                <w:sz w:val="20"/>
                <w:szCs w:val="20"/>
              </w:rPr>
              <w:t>CD</w:t>
            </w:r>
          </w:p>
        </w:tc>
        <w:tc>
          <w:tcPr>
            <w:tcW w:w="968" w:type="dxa"/>
            <w:tcBorders>
              <w:top w:val="nil"/>
              <w:left w:val="nil"/>
              <w:bottom w:val="nil"/>
              <w:right w:val="nil"/>
            </w:tcBorders>
            <w:shd w:val="clear" w:color="auto" w:fill="auto"/>
            <w:noWrap/>
            <w:vAlign w:val="center"/>
          </w:tcPr>
          <w:p w14:paraId="35DEBFC9">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64.6 </w:t>
            </w:r>
          </w:p>
        </w:tc>
        <w:tc>
          <w:tcPr>
            <w:tcW w:w="903" w:type="dxa"/>
            <w:tcBorders>
              <w:top w:val="nil"/>
              <w:left w:val="nil"/>
              <w:bottom w:val="nil"/>
              <w:right w:val="nil"/>
            </w:tcBorders>
            <w:shd w:val="clear" w:color="auto" w:fill="auto"/>
            <w:noWrap/>
            <w:vAlign w:val="center"/>
          </w:tcPr>
          <w:p w14:paraId="1EE04D92">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60.2 </w:t>
            </w:r>
          </w:p>
        </w:tc>
        <w:tc>
          <w:tcPr>
            <w:tcW w:w="768" w:type="dxa"/>
            <w:tcBorders>
              <w:top w:val="nil"/>
              <w:left w:val="nil"/>
              <w:bottom w:val="nil"/>
              <w:right w:val="nil"/>
            </w:tcBorders>
            <w:shd w:val="clear" w:color="auto" w:fill="auto"/>
            <w:noWrap/>
            <w:vAlign w:val="center"/>
          </w:tcPr>
          <w:p w14:paraId="44C46B44">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1.07</w:t>
            </w:r>
          </w:p>
        </w:tc>
        <w:tc>
          <w:tcPr>
            <w:tcW w:w="1000" w:type="dxa"/>
            <w:tcBorders>
              <w:top w:val="nil"/>
              <w:left w:val="nil"/>
              <w:bottom w:val="nil"/>
              <w:right w:val="nil"/>
            </w:tcBorders>
            <w:shd w:val="clear" w:color="auto" w:fill="auto"/>
            <w:noWrap/>
            <w:vAlign w:val="center"/>
          </w:tcPr>
          <w:p w14:paraId="11C2C750">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61.5</w:t>
            </w:r>
          </w:p>
        </w:tc>
        <w:tc>
          <w:tcPr>
            <w:tcW w:w="789" w:type="dxa"/>
            <w:tcBorders>
              <w:top w:val="nil"/>
              <w:left w:val="nil"/>
              <w:bottom w:val="nil"/>
              <w:right w:val="nil"/>
            </w:tcBorders>
            <w:shd w:val="clear" w:color="auto" w:fill="auto"/>
            <w:noWrap/>
            <w:vAlign w:val="center"/>
          </w:tcPr>
          <w:p w14:paraId="6BB6AB75">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0.80 </w:t>
            </w:r>
          </w:p>
        </w:tc>
        <w:tc>
          <w:tcPr>
            <w:tcW w:w="695" w:type="dxa"/>
            <w:tcBorders>
              <w:top w:val="nil"/>
              <w:left w:val="nil"/>
              <w:bottom w:val="nil"/>
              <w:right w:val="nil"/>
            </w:tcBorders>
            <w:shd w:val="clear" w:color="auto" w:fill="auto"/>
            <w:noWrap/>
            <w:vAlign w:val="center"/>
          </w:tcPr>
          <w:p w14:paraId="3EFA676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91 </w:t>
            </w:r>
          </w:p>
        </w:tc>
      </w:tr>
      <w:tr w14:paraId="6D780636">
        <w:tblPrEx>
          <w:tblCellMar>
            <w:top w:w="0" w:type="dxa"/>
            <w:left w:w="0" w:type="dxa"/>
            <w:bottom w:w="0" w:type="dxa"/>
            <w:right w:w="0" w:type="dxa"/>
          </w:tblCellMar>
        </w:tblPrEx>
        <w:trPr>
          <w:trHeight w:val="484" w:hRule="atLeast"/>
          <w:jc w:val="center"/>
        </w:trPr>
        <w:tc>
          <w:tcPr>
            <w:tcW w:w="2480" w:type="dxa"/>
            <w:vMerge w:val="continue"/>
            <w:tcBorders>
              <w:left w:val="nil"/>
              <w:right w:val="nil"/>
            </w:tcBorders>
            <w:shd w:val="clear" w:color="auto" w:fill="auto"/>
            <w:noWrap/>
            <w:vAlign w:val="center"/>
          </w:tcPr>
          <w:p w14:paraId="230FC975">
            <w:pPr>
              <w:tabs>
                <w:tab w:val="left" w:pos="567"/>
              </w:tabs>
              <w:adjustRightInd w:val="0"/>
              <w:spacing w:line="360" w:lineRule="auto"/>
              <w:jc w:val="left"/>
              <w:rPr>
                <w:rFonts w:ascii="Times New Roman" w:hAnsi="Times New Roman" w:eastAsia="宋体" w:cs="Times New Roman"/>
                <w:sz w:val="20"/>
                <w:szCs w:val="20"/>
              </w:rPr>
            </w:pPr>
          </w:p>
        </w:tc>
        <w:tc>
          <w:tcPr>
            <w:tcW w:w="2855" w:type="dxa"/>
            <w:tcBorders>
              <w:top w:val="nil"/>
              <w:left w:val="nil"/>
              <w:bottom w:val="nil"/>
              <w:right w:val="nil"/>
            </w:tcBorders>
            <w:shd w:val="clear" w:color="auto" w:fill="auto"/>
            <w:noWrap/>
            <w:vAlign w:val="center"/>
          </w:tcPr>
          <w:p w14:paraId="50235D6E">
            <w:pPr>
              <w:tabs>
                <w:tab w:val="left" w:pos="567"/>
              </w:tabs>
              <w:adjustRightInd w:val="0"/>
              <w:spacing w:line="360" w:lineRule="auto"/>
              <w:jc w:val="left"/>
              <w:rPr>
                <w:rFonts w:ascii="Times New Roman" w:hAnsi="Times New Roman" w:eastAsia="宋体" w:cs="Times New Roman"/>
                <w:sz w:val="20"/>
                <w:szCs w:val="20"/>
              </w:rPr>
            </w:pPr>
            <w:r>
              <w:rPr>
                <w:rFonts w:ascii="Times New Roman" w:hAnsi="Times New Roman" w:eastAsia="宋体" w:cs="Times New Roman"/>
                <w:sz w:val="20"/>
                <w:szCs w:val="20"/>
              </w:rPr>
              <w:t xml:space="preserve">0.10% </w:t>
            </w:r>
            <w:r>
              <w:rPr>
                <w:rFonts w:hint="eastAsia" w:ascii="Times New Roman" w:hAnsi="Times New Roman" w:eastAsia="宋体" w:cs="Times New Roman"/>
                <w:sz w:val="20"/>
                <w:szCs w:val="20"/>
              </w:rPr>
              <w:t>CD</w:t>
            </w:r>
          </w:p>
        </w:tc>
        <w:tc>
          <w:tcPr>
            <w:tcW w:w="968" w:type="dxa"/>
            <w:tcBorders>
              <w:top w:val="nil"/>
              <w:left w:val="nil"/>
              <w:bottom w:val="nil"/>
              <w:right w:val="nil"/>
            </w:tcBorders>
            <w:shd w:val="clear" w:color="auto" w:fill="auto"/>
            <w:noWrap/>
            <w:vAlign w:val="center"/>
          </w:tcPr>
          <w:p w14:paraId="7ADCECA1">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70.7 </w:t>
            </w:r>
          </w:p>
        </w:tc>
        <w:tc>
          <w:tcPr>
            <w:tcW w:w="903" w:type="dxa"/>
            <w:tcBorders>
              <w:top w:val="nil"/>
              <w:left w:val="nil"/>
              <w:bottom w:val="nil"/>
              <w:right w:val="nil"/>
            </w:tcBorders>
            <w:shd w:val="clear" w:color="auto" w:fill="auto"/>
            <w:noWrap/>
            <w:vAlign w:val="center"/>
          </w:tcPr>
          <w:p w14:paraId="2D39C99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63.1 </w:t>
            </w:r>
          </w:p>
        </w:tc>
        <w:tc>
          <w:tcPr>
            <w:tcW w:w="768" w:type="dxa"/>
            <w:tcBorders>
              <w:top w:val="nil"/>
              <w:left w:val="nil"/>
              <w:bottom w:val="nil"/>
              <w:right w:val="nil"/>
            </w:tcBorders>
            <w:shd w:val="clear" w:color="auto" w:fill="auto"/>
            <w:noWrap/>
            <w:vAlign w:val="center"/>
          </w:tcPr>
          <w:p w14:paraId="2BF2F46F">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1.12</w:t>
            </w:r>
          </w:p>
        </w:tc>
        <w:tc>
          <w:tcPr>
            <w:tcW w:w="1000" w:type="dxa"/>
            <w:tcBorders>
              <w:top w:val="nil"/>
              <w:left w:val="nil"/>
              <w:bottom w:val="nil"/>
              <w:right w:val="nil"/>
            </w:tcBorders>
            <w:shd w:val="clear" w:color="auto" w:fill="auto"/>
            <w:noWrap/>
            <w:vAlign w:val="center"/>
          </w:tcPr>
          <w:p w14:paraId="6CAAE94F">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69.1</w:t>
            </w:r>
          </w:p>
        </w:tc>
        <w:tc>
          <w:tcPr>
            <w:tcW w:w="789" w:type="dxa"/>
            <w:tcBorders>
              <w:top w:val="nil"/>
              <w:left w:val="nil"/>
              <w:bottom w:val="nil"/>
              <w:right w:val="nil"/>
            </w:tcBorders>
            <w:shd w:val="clear" w:color="auto" w:fill="auto"/>
            <w:noWrap/>
            <w:vAlign w:val="center"/>
          </w:tcPr>
          <w:p w14:paraId="4FDF73EF">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0.82 </w:t>
            </w:r>
          </w:p>
        </w:tc>
        <w:tc>
          <w:tcPr>
            <w:tcW w:w="695" w:type="dxa"/>
            <w:tcBorders>
              <w:top w:val="nil"/>
              <w:left w:val="nil"/>
              <w:bottom w:val="nil"/>
              <w:right w:val="nil"/>
            </w:tcBorders>
            <w:shd w:val="clear" w:color="auto" w:fill="auto"/>
            <w:noWrap/>
            <w:vAlign w:val="center"/>
          </w:tcPr>
          <w:p w14:paraId="66BDB78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92 </w:t>
            </w:r>
          </w:p>
        </w:tc>
      </w:tr>
      <w:tr w14:paraId="16F320ED">
        <w:tblPrEx>
          <w:tblCellMar>
            <w:top w:w="0" w:type="dxa"/>
            <w:left w:w="0" w:type="dxa"/>
            <w:bottom w:w="0" w:type="dxa"/>
            <w:right w:w="0" w:type="dxa"/>
          </w:tblCellMar>
        </w:tblPrEx>
        <w:trPr>
          <w:trHeight w:val="484" w:hRule="atLeast"/>
          <w:jc w:val="center"/>
        </w:trPr>
        <w:tc>
          <w:tcPr>
            <w:tcW w:w="2480" w:type="dxa"/>
            <w:vMerge w:val="continue"/>
            <w:tcBorders>
              <w:left w:val="nil"/>
              <w:right w:val="nil"/>
            </w:tcBorders>
            <w:shd w:val="clear" w:color="auto" w:fill="auto"/>
            <w:noWrap/>
            <w:vAlign w:val="center"/>
          </w:tcPr>
          <w:p w14:paraId="68DC7EDB">
            <w:pPr>
              <w:tabs>
                <w:tab w:val="left" w:pos="567"/>
              </w:tabs>
              <w:adjustRightInd w:val="0"/>
              <w:spacing w:line="360" w:lineRule="auto"/>
              <w:jc w:val="left"/>
              <w:rPr>
                <w:rFonts w:ascii="Times New Roman" w:hAnsi="Times New Roman" w:eastAsia="宋体" w:cs="Times New Roman"/>
                <w:sz w:val="20"/>
                <w:szCs w:val="20"/>
              </w:rPr>
            </w:pPr>
          </w:p>
        </w:tc>
        <w:tc>
          <w:tcPr>
            <w:tcW w:w="2855" w:type="dxa"/>
            <w:tcBorders>
              <w:top w:val="nil"/>
              <w:left w:val="nil"/>
              <w:bottom w:val="single" w:color="auto" w:sz="4" w:space="0"/>
              <w:right w:val="nil"/>
            </w:tcBorders>
            <w:shd w:val="clear" w:color="auto" w:fill="auto"/>
            <w:noWrap/>
            <w:vAlign w:val="center"/>
          </w:tcPr>
          <w:p w14:paraId="0F697359">
            <w:pPr>
              <w:tabs>
                <w:tab w:val="left" w:pos="567"/>
              </w:tabs>
              <w:adjustRightInd w:val="0"/>
              <w:spacing w:line="360" w:lineRule="auto"/>
              <w:jc w:val="left"/>
              <w:rPr>
                <w:rFonts w:ascii="Times New Roman" w:hAnsi="Times New Roman" w:eastAsia="宋体" w:cs="Times New Roman"/>
                <w:sz w:val="20"/>
                <w:szCs w:val="20"/>
              </w:rPr>
            </w:pPr>
            <w:r>
              <w:rPr>
                <w:rFonts w:ascii="Times New Roman" w:hAnsi="Times New Roman" w:eastAsia="宋体" w:cs="Times New Roman"/>
                <w:sz w:val="20"/>
                <w:szCs w:val="20"/>
              </w:rPr>
              <w:t xml:space="preserve">0.05% </w:t>
            </w:r>
            <w:r>
              <w:rPr>
                <w:rFonts w:hint="eastAsia" w:ascii="Times New Roman" w:hAnsi="Times New Roman" w:eastAsia="宋体" w:cs="Times New Roman"/>
                <w:sz w:val="20"/>
                <w:szCs w:val="20"/>
              </w:rPr>
              <w:t>CD</w:t>
            </w:r>
          </w:p>
        </w:tc>
        <w:tc>
          <w:tcPr>
            <w:tcW w:w="968" w:type="dxa"/>
            <w:tcBorders>
              <w:top w:val="nil"/>
              <w:left w:val="nil"/>
              <w:bottom w:val="single" w:color="auto" w:sz="4" w:space="0"/>
              <w:right w:val="nil"/>
            </w:tcBorders>
            <w:shd w:val="clear" w:color="auto" w:fill="auto"/>
            <w:noWrap/>
            <w:vAlign w:val="center"/>
          </w:tcPr>
          <w:p w14:paraId="2EA5DB51">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79.9 </w:t>
            </w:r>
          </w:p>
        </w:tc>
        <w:tc>
          <w:tcPr>
            <w:tcW w:w="903" w:type="dxa"/>
            <w:tcBorders>
              <w:top w:val="nil"/>
              <w:left w:val="nil"/>
              <w:bottom w:val="single" w:color="auto" w:sz="4" w:space="0"/>
              <w:right w:val="nil"/>
            </w:tcBorders>
            <w:shd w:val="clear" w:color="auto" w:fill="auto"/>
            <w:noWrap/>
            <w:vAlign w:val="center"/>
          </w:tcPr>
          <w:p w14:paraId="1D7A65C0">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69.2 </w:t>
            </w:r>
          </w:p>
        </w:tc>
        <w:tc>
          <w:tcPr>
            <w:tcW w:w="768" w:type="dxa"/>
            <w:tcBorders>
              <w:top w:val="nil"/>
              <w:left w:val="nil"/>
              <w:bottom w:val="single" w:color="auto" w:sz="4" w:space="0"/>
              <w:right w:val="nil"/>
            </w:tcBorders>
            <w:shd w:val="clear" w:color="auto" w:fill="auto"/>
            <w:noWrap/>
            <w:vAlign w:val="center"/>
          </w:tcPr>
          <w:p w14:paraId="62B17FD2">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1.15</w:t>
            </w:r>
          </w:p>
        </w:tc>
        <w:tc>
          <w:tcPr>
            <w:tcW w:w="1000" w:type="dxa"/>
            <w:tcBorders>
              <w:top w:val="nil"/>
              <w:left w:val="nil"/>
              <w:bottom w:val="single" w:color="auto" w:sz="4" w:space="0"/>
              <w:right w:val="nil"/>
            </w:tcBorders>
            <w:shd w:val="clear" w:color="auto" w:fill="auto"/>
            <w:noWrap/>
            <w:vAlign w:val="center"/>
          </w:tcPr>
          <w:p w14:paraId="374BB3D7">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78.5</w:t>
            </w:r>
          </w:p>
        </w:tc>
        <w:tc>
          <w:tcPr>
            <w:tcW w:w="789" w:type="dxa"/>
            <w:tcBorders>
              <w:top w:val="nil"/>
              <w:left w:val="nil"/>
              <w:bottom w:val="single" w:color="auto" w:sz="4" w:space="0"/>
              <w:right w:val="nil"/>
            </w:tcBorders>
            <w:shd w:val="clear" w:color="auto" w:fill="auto"/>
            <w:noWrap/>
            <w:vAlign w:val="center"/>
          </w:tcPr>
          <w:p w14:paraId="559DF53C">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0.83 </w:t>
            </w:r>
          </w:p>
        </w:tc>
        <w:tc>
          <w:tcPr>
            <w:tcW w:w="695" w:type="dxa"/>
            <w:tcBorders>
              <w:top w:val="nil"/>
              <w:left w:val="nil"/>
              <w:bottom w:val="single" w:color="auto" w:sz="4" w:space="0"/>
              <w:right w:val="nil"/>
            </w:tcBorders>
            <w:shd w:val="clear" w:color="auto" w:fill="auto"/>
            <w:noWrap/>
            <w:vAlign w:val="center"/>
          </w:tcPr>
          <w:p w14:paraId="32387F6C">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96 </w:t>
            </w:r>
          </w:p>
        </w:tc>
      </w:tr>
      <w:tr w14:paraId="07940DBE">
        <w:tblPrEx>
          <w:tblCellMar>
            <w:top w:w="0" w:type="dxa"/>
            <w:left w:w="0" w:type="dxa"/>
            <w:bottom w:w="0" w:type="dxa"/>
            <w:right w:w="0" w:type="dxa"/>
          </w:tblCellMar>
        </w:tblPrEx>
        <w:trPr>
          <w:trHeight w:val="494" w:hRule="atLeast"/>
          <w:jc w:val="center"/>
        </w:trPr>
        <w:tc>
          <w:tcPr>
            <w:tcW w:w="2480" w:type="dxa"/>
            <w:vMerge w:val="continue"/>
            <w:tcBorders>
              <w:left w:val="nil"/>
              <w:right w:val="nil"/>
            </w:tcBorders>
            <w:shd w:val="clear" w:color="auto" w:fill="auto"/>
            <w:vAlign w:val="center"/>
          </w:tcPr>
          <w:p w14:paraId="08B20BC4">
            <w:pPr>
              <w:tabs>
                <w:tab w:val="left" w:pos="567"/>
              </w:tabs>
              <w:adjustRightInd w:val="0"/>
              <w:spacing w:line="360" w:lineRule="auto"/>
              <w:jc w:val="left"/>
              <w:rPr>
                <w:rFonts w:ascii="Times New Roman" w:hAnsi="Times New Roman" w:cs="Times New Roman"/>
                <w:sz w:val="20"/>
                <w:szCs w:val="20"/>
              </w:rPr>
            </w:pPr>
          </w:p>
        </w:tc>
        <w:tc>
          <w:tcPr>
            <w:tcW w:w="2855" w:type="dxa"/>
            <w:tcBorders>
              <w:top w:val="single" w:color="auto" w:sz="4" w:space="0"/>
              <w:left w:val="nil"/>
              <w:right w:val="nil"/>
            </w:tcBorders>
            <w:shd w:val="clear" w:color="auto" w:fill="auto"/>
            <w:vAlign w:val="center"/>
          </w:tcPr>
          <w:p w14:paraId="1038A1E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single" w:color="auto" w:sz="4" w:space="0"/>
              <w:left w:val="nil"/>
              <w:bottom w:val="nil"/>
              <w:right w:val="nil"/>
            </w:tcBorders>
            <w:shd w:val="clear" w:color="auto" w:fill="auto"/>
            <w:noWrap/>
            <w:vAlign w:val="center"/>
          </w:tcPr>
          <w:p w14:paraId="6A77EDDC">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84</w:t>
            </w:r>
          </w:p>
        </w:tc>
        <w:tc>
          <w:tcPr>
            <w:tcW w:w="903" w:type="dxa"/>
            <w:tcBorders>
              <w:top w:val="single" w:color="auto" w:sz="4" w:space="0"/>
              <w:left w:val="nil"/>
              <w:bottom w:val="nil"/>
              <w:right w:val="nil"/>
            </w:tcBorders>
            <w:shd w:val="clear" w:color="auto" w:fill="auto"/>
            <w:noWrap/>
            <w:vAlign w:val="center"/>
          </w:tcPr>
          <w:p w14:paraId="4B14F1E7">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45.9</w:t>
            </w:r>
          </w:p>
        </w:tc>
        <w:tc>
          <w:tcPr>
            <w:tcW w:w="768" w:type="dxa"/>
            <w:tcBorders>
              <w:top w:val="single" w:color="auto" w:sz="4" w:space="0"/>
              <w:left w:val="nil"/>
              <w:bottom w:val="nil"/>
              <w:right w:val="nil"/>
            </w:tcBorders>
            <w:shd w:val="clear" w:color="auto" w:fill="auto"/>
            <w:noWrap/>
            <w:vAlign w:val="center"/>
          </w:tcPr>
          <w:p w14:paraId="288692FF">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1.83</w:t>
            </w:r>
          </w:p>
        </w:tc>
        <w:tc>
          <w:tcPr>
            <w:tcW w:w="1000" w:type="dxa"/>
            <w:tcBorders>
              <w:top w:val="single" w:color="auto" w:sz="4" w:space="0"/>
              <w:left w:val="nil"/>
              <w:bottom w:val="nil"/>
              <w:right w:val="nil"/>
            </w:tcBorders>
            <w:shd w:val="clear" w:color="auto" w:fill="auto"/>
            <w:noWrap/>
            <w:vAlign w:val="center"/>
          </w:tcPr>
          <w:p w14:paraId="40C8558D">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90.1</w:t>
            </w:r>
          </w:p>
        </w:tc>
        <w:tc>
          <w:tcPr>
            <w:tcW w:w="789" w:type="dxa"/>
            <w:tcBorders>
              <w:top w:val="single" w:color="auto" w:sz="4" w:space="0"/>
              <w:left w:val="nil"/>
              <w:bottom w:val="nil"/>
              <w:right w:val="nil"/>
            </w:tcBorders>
            <w:shd w:val="clear" w:color="auto" w:fill="auto"/>
            <w:noWrap/>
            <w:vAlign w:val="center"/>
          </w:tcPr>
          <w:p w14:paraId="0BE9F41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0.90 </w:t>
            </w:r>
          </w:p>
        </w:tc>
        <w:tc>
          <w:tcPr>
            <w:tcW w:w="695" w:type="dxa"/>
            <w:tcBorders>
              <w:top w:val="single" w:color="auto" w:sz="4" w:space="0"/>
              <w:left w:val="nil"/>
              <w:bottom w:val="nil"/>
              <w:right w:val="nil"/>
            </w:tcBorders>
            <w:shd w:val="clear" w:color="auto" w:fill="auto"/>
            <w:noWrap/>
            <w:vAlign w:val="center"/>
          </w:tcPr>
          <w:p w14:paraId="235F141A">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91</w:t>
            </w:r>
          </w:p>
        </w:tc>
      </w:tr>
      <w:tr w14:paraId="2DC5516C">
        <w:tblPrEx>
          <w:tblCellMar>
            <w:top w:w="0" w:type="dxa"/>
            <w:left w:w="0" w:type="dxa"/>
            <w:bottom w:w="0" w:type="dxa"/>
            <w:right w:w="0" w:type="dxa"/>
          </w:tblCellMar>
        </w:tblPrEx>
        <w:trPr>
          <w:trHeight w:val="484" w:hRule="atLeast"/>
          <w:jc w:val="center"/>
        </w:trPr>
        <w:tc>
          <w:tcPr>
            <w:tcW w:w="2480" w:type="dxa"/>
            <w:vMerge w:val="continue"/>
            <w:tcBorders>
              <w:left w:val="nil"/>
              <w:right w:val="nil"/>
            </w:tcBorders>
            <w:shd w:val="clear" w:color="auto" w:fill="auto"/>
            <w:vAlign w:val="center"/>
          </w:tcPr>
          <w:p w14:paraId="633EAF23">
            <w:pPr>
              <w:tabs>
                <w:tab w:val="left" w:pos="567"/>
              </w:tabs>
              <w:adjustRightInd w:val="0"/>
              <w:spacing w:line="360" w:lineRule="auto"/>
              <w:jc w:val="left"/>
              <w:rPr>
                <w:rFonts w:ascii="Times New Roman" w:hAnsi="Times New Roman" w:cs="Times New Roman"/>
                <w:sz w:val="20"/>
                <w:szCs w:val="20"/>
              </w:rPr>
            </w:pPr>
          </w:p>
        </w:tc>
        <w:tc>
          <w:tcPr>
            <w:tcW w:w="2855" w:type="dxa"/>
            <w:tcBorders>
              <w:left w:val="nil"/>
              <w:right w:val="nil"/>
            </w:tcBorders>
            <w:shd w:val="clear" w:color="auto" w:fill="auto"/>
            <w:vAlign w:val="center"/>
          </w:tcPr>
          <w:p w14:paraId="451956F0">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0.05% </w:t>
            </w:r>
            <w:r>
              <w:rPr>
                <w:rFonts w:hint="eastAsia" w:ascii="Times New Roman" w:hAnsi="Times New Roman" w:eastAsia="宋体" w:cs="Times New Roman"/>
                <w:sz w:val="20"/>
                <w:szCs w:val="20"/>
              </w:rPr>
              <w:t>CD</w:t>
            </w: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nil"/>
              <w:left w:val="nil"/>
              <w:bottom w:val="nil"/>
              <w:right w:val="nil"/>
            </w:tcBorders>
            <w:shd w:val="clear" w:color="auto" w:fill="auto"/>
            <w:noWrap/>
            <w:vAlign w:val="center"/>
          </w:tcPr>
          <w:p w14:paraId="34B1F6B8">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74.5</w:t>
            </w:r>
          </w:p>
        </w:tc>
        <w:tc>
          <w:tcPr>
            <w:tcW w:w="903" w:type="dxa"/>
            <w:tcBorders>
              <w:top w:val="nil"/>
              <w:left w:val="nil"/>
              <w:bottom w:val="nil"/>
              <w:right w:val="nil"/>
            </w:tcBorders>
            <w:shd w:val="clear" w:color="auto" w:fill="auto"/>
            <w:noWrap/>
            <w:vAlign w:val="center"/>
          </w:tcPr>
          <w:p w14:paraId="3E6A740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41.1</w:t>
            </w:r>
          </w:p>
        </w:tc>
        <w:tc>
          <w:tcPr>
            <w:tcW w:w="768" w:type="dxa"/>
            <w:tcBorders>
              <w:top w:val="nil"/>
              <w:left w:val="nil"/>
              <w:bottom w:val="nil"/>
              <w:right w:val="nil"/>
            </w:tcBorders>
            <w:shd w:val="clear" w:color="auto" w:fill="auto"/>
            <w:noWrap/>
            <w:vAlign w:val="center"/>
          </w:tcPr>
          <w:p w14:paraId="3193EBC1">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1.81</w:t>
            </w:r>
          </w:p>
        </w:tc>
        <w:tc>
          <w:tcPr>
            <w:tcW w:w="1000" w:type="dxa"/>
            <w:tcBorders>
              <w:top w:val="nil"/>
              <w:left w:val="nil"/>
              <w:bottom w:val="nil"/>
              <w:right w:val="nil"/>
            </w:tcBorders>
            <w:shd w:val="clear" w:color="auto" w:fill="auto"/>
            <w:noWrap/>
            <w:vAlign w:val="center"/>
          </w:tcPr>
          <w:p w14:paraId="001F200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74.3</w:t>
            </w:r>
          </w:p>
        </w:tc>
        <w:tc>
          <w:tcPr>
            <w:tcW w:w="789" w:type="dxa"/>
            <w:tcBorders>
              <w:top w:val="nil"/>
              <w:left w:val="nil"/>
              <w:bottom w:val="nil"/>
              <w:right w:val="nil"/>
            </w:tcBorders>
            <w:shd w:val="clear" w:color="auto" w:fill="auto"/>
            <w:noWrap/>
            <w:vAlign w:val="center"/>
          </w:tcPr>
          <w:p w14:paraId="67FC6CCC">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0.84 </w:t>
            </w:r>
          </w:p>
        </w:tc>
        <w:tc>
          <w:tcPr>
            <w:tcW w:w="695" w:type="dxa"/>
            <w:tcBorders>
              <w:top w:val="nil"/>
              <w:left w:val="nil"/>
              <w:bottom w:val="nil"/>
              <w:right w:val="nil"/>
            </w:tcBorders>
            <w:shd w:val="clear" w:color="auto" w:fill="auto"/>
            <w:noWrap/>
            <w:vAlign w:val="center"/>
          </w:tcPr>
          <w:p w14:paraId="07B44395">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89</w:t>
            </w:r>
          </w:p>
        </w:tc>
      </w:tr>
      <w:tr w14:paraId="5EA7188F">
        <w:tblPrEx>
          <w:tblCellMar>
            <w:top w:w="0" w:type="dxa"/>
            <w:left w:w="0" w:type="dxa"/>
            <w:bottom w:w="0" w:type="dxa"/>
            <w:right w:w="0" w:type="dxa"/>
          </w:tblCellMar>
        </w:tblPrEx>
        <w:trPr>
          <w:trHeight w:val="484" w:hRule="atLeast"/>
          <w:jc w:val="center"/>
        </w:trPr>
        <w:tc>
          <w:tcPr>
            <w:tcW w:w="2480" w:type="dxa"/>
            <w:vMerge w:val="continue"/>
            <w:tcBorders>
              <w:left w:val="nil"/>
              <w:bottom w:val="single" w:color="auto" w:sz="4" w:space="0"/>
              <w:right w:val="nil"/>
            </w:tcBorders>
            <w:shd w:val="clear" w:color="auto" w:fill="auto"/>
            <w:vAlign w:val="center"/>
          </w:tcPr>
          <w:p w14:paraId="76D225CF">
            <w:pPr>
              <w:tabs>
                <w:tab w:val="left" w:pos="567"/>
              </w:tabs>
              <w:adjustRightInd w:val="0"/>
              <w:spacing w:line="360" w:lineRule="auto"/>
              <w:jc w:val="left"/>
              <w:rPr>
                <w:rFonts w:ascii="Times New Roman" w:hAnsi="Times New Roman" w:cs="Times New Roman"/>
                <w:sz w:val="20"/>
                <w:szCs w:val="20"/>
              </w:rPr>
            </w:pPr>
          </w:p>
        </w:tc>
        <w:tc>
          <w:tcPr>
            <w:tcW w:w="2855" w:type="dxa"/>
            <w:tcBorders>
              <w:left w:val="nil"/>
              <w:bottom w:val="single" w:color="auto" w:sz="4" w:space="0"/>
              <w:right w:val="nil"/>
            </w:tcBorders>
            <w:shd w:val="clear" w:color="auto" w:fill="auto"/>
            <w:vAlign w:val="center"/>
          </w:tcPr>
          <w:p w14:paraId="4B6D2851">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 </w:t>
            </w:r>
            <w:r>
              <w:rPr>
                <w:rFonts w:hint="eastAsia" w:ascii="Times New Roman" w:hAnsi="Times New Roman" w:eastAsia="宋体" w:cs="Times New Roman"/>
                <w:sz w:val="20"/>
                <w:szCs w:val="20"/>
              </w:rPr>
              <w:t>CD</w:t>
            </w: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nil"/>
              <w:left w:val="nil"/>
              <w:bottom w:val="single" w:color="auto" w:sz="4" w:space="0"/>
              <w:right w:val="nil"/>
            </w:tcBorders>
            <w:shd w:val="clear" w:color="auto" w:fill="auto"/>
            <w:noWrap/>
            <w:vAlign w:val="center"/>
          </w:tcPr>
          <w:p w14:paraId="63F3736C">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66.4</w:t>
            </w:r>
          </w:p>
        </w:tc>
        <w:tc>
          <w:tcPr>
            <w:tcW w:w="903" w:type="dxa"/>
            <w:tcBorders>
              <w:top w:val="nil"/>
              <w:left w:val="nil"/>
              <w:bottom w:val="single" w:color="auto" w:sz="4" w:space="0"/>
              <w:right w:val="nil"/>
            </w:tcBorders>
            <w:shd w:val="clear" w:color="auto" w:fill="auto"/>
            <w:noWrap/>
            <w:vAlign w:val="center"/>
          </w:tcPr>
          <w:p w14:paraId="5E1300B2">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34.5</w:t>
            </w:r>
          </w:p>
        </w:tc>
        <w:tc>
          <w:tcPr>
            <w:tcW w:w="768" w:type="dxa"/>
            <w:tcBorders>
              <w:top w:val="nil"/>
              <w:left w:val="nil"/>
              <w:bottom w:val="single" w:color="auto" w:sz="4" w:space="0"/>
              <w:right w:val="nil"/>
            </w:tcBorders>
            <w:shd w:val="clear" w:color="auto" w:fill="auto"/>
            <w:noWrap/>
            <w:vAlign w:val="center"/>
          </w:tcPr>
          <w:p w14:paraId="09DA720F">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1.92</w:t>
            </w:r>
          </w:p>
        </w:tc>
        <w:tc>
          <w:tcPr>
            <w:tcW w:w="1000" w:type="dxa"/>
            <w:tcBorders>
              <w:top w:val="nil"/>
              <w:left w:val="nil"/>
              <w:bottom w:val="single" w:color="auto" w:sz="4" w:space="0"/>
              <w:right w:val="nil"/>
            </w:tcBorders>
            <w:shd w:val="clear" w:color="auto" w:fill="auto"/>
            <w:noWrap/>
            <w:vAlign w:val="center"/>
          </w:tcPr>
          <w:p w14:paraId="3E6CBB48">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63.4</w:t>
            </w:r>
          </w:p>
        </w:tc>
        <w:tc>
          <w:tcPr>
            <w:tcW w:w="789" w:type="dxa"/>
            <w:tcBorders>
              <w:top w:val="nil"/>
              <w:left w:val="nil"/>
              <w:bottom w:val="single" w:color="auto" w:sz="4" w:space="0"/>
              <w:right w:val="nil"/>
            </w:tcBorders>
            <w:shd w:val="clear" w:color="auto" w:fill="auto"/>
            <w:noWrap/>
            <w:vAlign w:val="center"/>
          </w:tcPr>
          <w:p w14:paraId="3EDE447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0.80 </w:t>
            </w:r>
          </w:p>
        </w:tc>
        <w:tc>
          <w:tcPr>
            <w:tcW w:w="695" w:type="dxa"/>
            <w:tcBorders>
              <w:top w:val="nil"/>
              <w:left w:val="nil"/>
              <w:bottom w:val="single" w:color="auto" w:sz="4" w:space="0"/>
              <w:right w:val="nil"/>
            </w:tcBorders>
            <w:shd w:val="clear" w:color="auto" w:fill="auto"/>
            <w:noWrap/>
            <w:vAlign w:val="center"/>
          </w:tcPr>
          <w:p w14:paraId="712D1C5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85</w:t>
            </w:r>
          </w:p>
        </w:tc>
      </w:tr>
      <w:tr w14:paraId="643A94AE">
        <w:tblPrEx>
          <w:tblCellMar>
            <w:top w:w="0" w:type="dxa"/>
            <w:left w:w="0" w:type="dxa"/>
            <w:bottom w:w="0" w:type="dxa"/>
            <w:right w:w="0" w:type="dxa"/>
          </w:tblCellMar>
        </w:tblPrEx>
        <w:trPr>
          <w:trHeight w:val="494" w:hRule="atLeast"/>
          <w:jc w:val="center"/>
        </w:trPr>
        <w:tc>
          <w:tcPr>
            <w:tcW w:w="2480" w:type="dxa"/>
            <w:vMerge w:val="restart"/>
            <w:tcBorders>
              <w:top w:val="single" w:color="auto" w:sz="4" w:space="0"/>
              <w:left w:val="nil"/>
              <w:right w:val="nil"/>
            </w:tcBorders>
            <w:shd w:val="clear" w:color="auto" w:fill="auto"/>
            <w:vAlign w:val="center"/>
          </w:tcPr>
          <w:p w14:paraId="49C951D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 mm</w:t>
            </w:r>
          </w:p>
        </w:tc>
        <w:tc>
          <w:tcPr>
            <w:tcW w:w="2855" w:type="dxa"/>
            <w:tcBorders>
              <w:top w:val="single" w:color="auto" w:sz="4" w:space="0"/>
              <w:left w:val="nil"/>
              <w:right w:val="nil"/>
            </w:tcBorders>
            <w:shd w:val="clear" w:color="auto" w:fill="auto"/>
            <w:vAlign w:val="center"/>
          </w:tcPr>
          <w:p w14:paraId="46CE8E8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single" w:color="auto" w:sz="4" w:space="0"/>
              <w:left w:val="nil"/>
              <w:bottom w:val="nil"/>
              <w:right w:val="nil"/>
            </w:tcBorders>
            <w:shd w:val="clear" w:color="auto" w:fill="auto"/>
            <w:noWrap/>
            <w:vAlign w:val="center"/>
          </w:tcPr>
          <w:p w14:paraId="3672B7D5">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81</w:t>
            </w:r>
          </w:p>
        </w:tc>
        <w:tc>
          <w:tcPr>
            <w:tcW w:w="903" w:type="dxa"/>
            <w:tcBorders>
              <w:top w:val="single" w:color="auto" w:sz="4" w:space="0"/>
              <w:left w:val="nil"/>
              <w:bottom w:val="nil"/>
              <w:right w:val="nil"/>
            </w:tcBorders>
            <w:shd w:val="clear" w:color="auto" w:fill="auto"/>
            <w:noWrap/>
            <w:vAlign w:val="center"/>
          </w:tcPr>
          <w:p w14:paraId="2769A26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39.3</w:t>
            </w:r>
          </w:p>
        </w:tc>
        <w:tc>
          <w:tcPr>
            <w:tcW w:w="768" w:type="dxa"/>
            <w:tcBorders>
              <w:top w:val="single" w:color="auto" w:sz="4" w:space="0"/>
              <w:left w:val="nil"/>
              <w:bottom w:val="nil"/>
              <w:right w:val="nil"/>
            </w:tcBorders>
            <w:shd w:val="clear" w:color="auto" w:fill="auto"/>
            <w:noWrap/>
            <w:vAlign w:val="center"/>
          </w:tcPr>
          <w:p w14:paraId="6AB42191">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2.06</w:t>
            </w:r>
          </w:p>
        </w:tc>
        <w:tc>
          <w:tcPr>
            <w:tcW w:w="1000" w:type="dxa"/>
            <w:tcBorders>
              <w:top w:val="single" w:color="auto" w:sz="4" w:space="0"/>
              <w:left w:val="nil"/>
              <w:bottom w:val="nil"/>
              <w:right w:val="nil"/>
            </w:tcBorders>
            <w:shd w:val="clear" w:color="auto" w:fill="auto"/>
            <w:noWrap/>
            <w:vAlign w:val="center"/>
          </w:tcPr>
          <w:p w14:paraId="533F9E79">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90.4</w:t>
            </w:r>
          </w:p>
        </w:tc>
        <w:tc>
          <w:tcPr>
            <w:tcW w:w="789" w:type="dxa"/>
            <w:tcBorders>
              <w:top w:val="single" w:color="auto" w:sz="4" w:space="0"/>
              <w:left w:val="nil"/>
              <w:bottom w:val="nil"/>
              <w:right w:val="nil"/>
            </w:tcBorders>
            <w:shd w:val="clear" w:color="auto" w:fill="auto"/>
            <w:noWrap/>
            <w:vAlign w:val="center"/>
          </w:tcPr>
          <w:p w14:paraId="0FF1F5C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0.94 </w:t>
            </w:r>
          </w:p>
        </w:tc>
        <w:tc>
          <w:tcPr>
            <w:tcW w:w="695" w:type="dxa"/>
            <w:tcBorders>
              <w:top w:val="single" w:color="auto" w:sz="4" w:space="0"/>
              <w:left w:val="nil"/>
              <w:bottom w:val="nil"/>
              <w:right w:val="nil"/>
            </w:tcBorders>
            <w:shd w:val="clear" w:color="auto" w:fill="auto"/>
            <w:noWrap/>
            <w:vAlign w:val="center"/>
          </w:tcPr>
          <w:p w14:paraId="0B6801A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88</w:t>
            </w:r>
          </w:p>
        </w:tc>
      </w:tr>
      <w:tr w14:paraId="3963E9F3">
        <w:tblPrEx>
          <w:tblCellMar>
            <w:top w:w="0" w:type="dxa"/>
            <w:left w:w="0" w:type="dxa"/>
            <w:bottom w:w="0" w:type="dxa"/>
            <w:right w:w="0" w:type="dxa"/>
          </w:tblCellMar>
        </w:tblPrEx>
        <w:trPr>
          <w:trHeight w:val="484" w:hRule="atLeast"/>
          <w:jc w:val="center"/>
        </w:trPr>
        <w:tc>
          <w:tcPr>
            <w:tcW w:w="2480" w:type="dxa"/>
            <w:vMerge w:val="continue"/>
            <w:tcBorders>
              <w:left w:val="nil"/>
              <w:right w:val="nil"/>
            </w:tcBorders>
            <w:shd w:val="clear" w:color="auto" w:fill="auto"/>
            <w:vAlign w:val="center"/>
          </w:tcPr>
          <w:p w14:paraId="419E27FF">
            <w:pPr>
              <w:tabs>
                <w:tab w:val="left" w:pos="567"/>
              </w:tabs>
              <w:adjustRightInd w:val="0"/>
              <w:spacing w:line="360" w:lineRule="auto"/>
              <w:jc w:val="left"/>
              <w:rPr>
                <w:rFonts w:ascii="Times New Roman" w:hAnsi="Times New Roman" w:cs="Times New Roman"/>
                <w:sz w:val="20"/>
                <w:szCs w:val="20"/>
              </w:rPr>
            </w:pPr>
          </w:p>
        </w:tc>
        <w:tc>
          <w:tcPr>
            <w:tcW w:w="2855" w:type="dxa"/>
            <w:tcBorders>
              <w:left w:val="nil"/>
              <w:right w:val="nil"/>
            </w:tcBorders>
            <w:shd w:val="clear" w:color="auto" w:fill="auto"/>
            <w:vAlign w:val="center"/>
          </w:tcPr>
          <w:p w14:paraId="7CD788D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0.05% </w:t>
            </w:r>
            <w:r>
              <w:rPr>
                <w:rFonts w:hint="eastAsia" w:ascii="Times New Roman" w:hAnsi="Times New Roman" w:eastAsia="宋体" w:cs="Times New Roman"/>
                <w:sz w:val="20"/>
                <w:szCs w:val="20"/>
              </w:rPr>
              <w:t>CD</w:t>
            </w: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nil"/>
              <w:left w:val="nil"/>
              <w:bottom w:val="nil"/>
              <w:right w:val="nil"/>
            </w:tcBorders>
            <w:shd w:val="clear" w:color="auto" w:fill="auto"/>
            <w:noWrap/>
            <w:vAlign w:val="center"/>
          </w:tcPr>
          <w:p w14:paraId="07C98EE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74.1</w:t>
            </w:r>
          </w:p>
        </w:tc>
        <w:tc>
          <w:tcPr>
            <w:tcW w:w="903" w:type="dxa"/>
            <w:tcBorders>
              <w:top w:val="nil"/>
              <w:left w:val="nil"/>
              <w:bottom w:val="nil"/>
              <w:right w:val="nil"/>
            </w:tcBorders>
            <w:shd w:val="clear" w:color="auto" w:fill="auto"/>
            <w:noWrap/>
            <w:vAlign w:val="center"/>
          </w:tcPr>
          <w:p w14:paraId="07D3F0DA">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35.6</w:t>
            </w:r>
          </w:p>
        </w:tc>
        <w:tc>
          <w:tcPr>
            <w:tcW w:w="768" w:type="dxa"/>
            <w:tcBorders>
              <w:top w:val="nil"/>
              <w:left w:val="nil"/>
              <w:bottom w:val="nil"/>
              <w:right w:val="nil"/>
            </w:tcBorders>
            <w:shd w:val="clear" w:color="auto" w:fill="auto"/>
            <w:noWrap/>
            <w:vAlign w:val="center"/>
          </w:tcPr>
          <w:p w14:paraId="58806857">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2.08</w:t>
            </w:r>
          </w:p>
        </w:tc>
        <w:tc>
          <w:tcPr>
            <w:tcW w:w="1000" w:type="dxa"/>
            <w:tcBorders>
              <w:top w:val="nil"/>
              <w:left w:val="nil"/>
              <w:bottom w:val="nil"/>
              <w:right w:val="nil"/>
            </w:tcBorders>
            <w:shd w:val="clear" w:color="auto" w:fill="auto"/>
            <w:noWrap/>
            <w:vAlign w:val="center"/>
          </w:tcPr>
          <w:p w14:paraId="6CB6E98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73.6</w:t>
            </w:r>
          </w:p>
        </w:tc>
        <w:tc>
          <w:tcPr>
            <w:tcW w:w="789" w:type="dxa"/>
            <w:tcBorders>
              <w:top w:val="nil"/>
              <w:left w:val="nil"/>
              <w:bottom w:val="nil"/>
              <w:right w:val="nil"/>
            </w:tcBorders>
            <w:shd w:val="clear" w:color="auto" w:fill="auto"/>
            <w:noWrap/>
            <w:vAlign w:val="center"/>
          </w:tcPr>
          <w:p w14:paraId="3C09E83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0.83 </w:t>
            </w:r>
          </w:p>
        </w:tc>
        <w:tc>
          <w:tcPr>
            <w:tcW w:w="695" w:type="dxa"/>
            <w:tcBorders>
              <w:top w:val="nil"/>
              <w:left w:val="nil"/>
              <w:bottom w:val="nil"/>
              <w:right w:val="nil"/>
            </w:tcBorders>
            <w:shd w:val="clear" w:color="auto" w:fill="auto"/>
            <w:noWrap/>
            <w:vAlign w:val="center"/>
          </w:tcPr>
          <w:p w14:paraId="6FC8F90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84</w:t>
            </w:r>
          </w:p>
        </w:tc>
      </w:tr>
      <w:tr w14:paraId="149DCA8A">
        <w:tblPrEx>
          <w:tblCellMar>
            <w:top w:w="0" w:type="dxa"/>
            <w:left w:w="0" w:type="dxa"/>
            <w:bottom w:w="0" w:type="dxa"/>
            <w:right w:w="0" w:type="dxa"/>
          </w:tblCellMar>
        </w:tblPrEx>
        <w:trPr>
          <w:trHeight w:val="484" w:hRule="atLeast"/>
          <w:jc w:val="center"/>
        </w:trPr>
        <w:tc>
          <w:tcPr>
            <w:tcW w:w="2480" w:type="dxa"/>
            <w:vMerge w:val="continue"/>
            <w:tcBorders>
              <w:left w:val="nil"/>
              <w:bottom w:val="single" w:color="auto" w:sz="4" w:space="0"/>
              <w:right w:val="nil"/>
            </w:tcBorders>
            <w:shd w:val="clear" w:color="auto" w:fill="auto"/>
            <w:vAlign w:val="center"/>
          </w:tcPr>
          <w:p w14:paraId="76B8B667">
            <w:pPr>
              <w:tabs>
                <w:tab w:val="left" w:pos="567"/>
              </w:tabs>
              <w:adjustRightInd w:val="0"/>
              <w:spacing w:line="360" w:lineRule="auto"/>
              <w:jc w:val="left"/>
              <w:rPr>
                <w:rFonts w:ascii="Times New Roman" w:hAnsi="Times New Roman" w:cs="Times New Roman"/>
                <w:sz w:val="20"/>
                <w:szCs w:val="20"/>
              </w:rPr>
            </w:pPr>
          </w:p>
        </w:tc>
        <w:tc>
          <w:tcPr>
            <w:tcW w:w="2855" w:type="dxa"/>
            <w:tcBorders>
              <w:left w:val="nil"/>
              <w:bottom w:val="single" w:color="auto" w:sz="4" w:space="0"/>
              <w:right w:val="nil"/>
            </w:tcBorders>
            <w:shd w:val="clear" w:color="auto" w:fill="auto"/>
            <w:vAlign w:val="center"/>
          </w:tcPr>
          <w:p w14:paraId="5371A945">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 </w:t>
            </w:r>
            <w:r>
              <w:rPr>
                <w:rFonts w:hint="eastAsia" w:ascii="Times New Roman" w:hAnsi="Times New Roman" w:eastAsia="宋体" w:cs="Times New Roman"/>
                <w:sz w:val="20"/>
                <w:szCs w:val="20"/>
              </w:rPr>
              <w:t>CD</w:t>
            </w: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nil"/>
              <w:left w:val="nil"/>
              <w:bottom w:val="single" w:color="auto" w:sz="4" w:space="0"/>
              <w:right w:val="nil"/>
            </w:tcBorders>
            <w:shd w:val="clear" w:color="auto" w:fill="auto"/>
            <w:noWrap/>
            <w:vAlign w:val="center"/>
          </w:tcPr>
          <w:p w14:paraId="338E4E61">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56.2</w:t>
            </w:r>
          </w:p>
        </w:tc>
        <w:tc>
          <w:tcPr>
            <w:tcW w:w="903" w:type="dxa"/>
            <w:tcBorders>
              <w:top w:val="nil"/>
              <w:left w:val="nil"/>
              <w:bottom w:val="single" w:color="auto" w:sz="4" w:space="0"/>
              <w:right w:val="nil"/>
            </w:tcBorders>
            <w:shd w:val="clear" w:color="auto" w:fill="auto"/>
            <w:noWrap/>
            <w:vAlign w:val="center"/>
          </w:tcPr>
          <w:p w14:paraId="4C0CDB7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24.7</w:t>
            </w:r>
          </w:p>
        </w:tc>
        <w:tc>
          <w:tcPr>
            <w:tcW w:w="768" w:type="dxa"/>
            <w:tcBorders>
              <w:top w:val="nil"/>
              <w:left w:val="nil"/>
              <w:bottom w:val="single" w:color="auto" w:sz="4" w:space="0"/>
              <w:right w:val="nil"/>
            </w:tcBorders>
            <w:shd w:val="clear" w:color="auto" w:fill="auto"/>
            <w:noWrap/>
            <w:vAlign w:val="center"/>
          </w:tcPr>
          <w:p w14:paraId="3ECC1E46">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2.28</w:t>
            </w:r>
          </w:p>
        </w:tc>
        <w:tc>
          <w:tcPr>
            <w:tcW w:w="1000" w:type="dxa"/>
            <w:tcBorders>
              <w:top w:val="nil"/>
              <w:left w:val="nil"/>
              <w:bottom w:val="single" w:color="auto" w:sz="4" w:space="0"/>
              <w:right w:val="nil"/>
            </w:tcBorders>
            <w:shd w:val="clear" w:color="auto" w:fill="auto"/>
            <w:noWrap/>
            <w:vAlign w:val="center"/>
          </w:tcPr>
          <w:p w14:paraId="0CB1703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54.1</w:t>
            </w:r>
          </w:p>
        </w:tc>
        <w:tc>
          <w:tcPr>
            <w:tcW w:w="789" w:type="dxa"/>
            <w:tcBorders>
              <w:top w:val="nil"/>
              <w:left w:val="nil"/>
              <w:bottom w:val="single" w:color="auto" w:sz="4" w:space="0"/>
              <w:right w:val="nil"/>
            </w:tcBorders>
            <w:shd w:val="clear" w:color="auto" w:fill="auto"/>
            <w:noWrap/>
            <w:vAlign w:val="center"/>
          </w:tcPr>
          <w:p w14:paraId="44A6A8D7">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0.81 </w:t>
            </w:r>
          </w:p>
        </w:tc>
        <w:tc>
          <w:tcPr>
            <w:tcW w:w="695" w:type="dxa"/>
            <w:tcBorders>
              <w:top w:val="nil"/>
              <w:left w:val="nil"/>
              <w:bottom w:val="single" w:color="auto" w:sz="4" w:space="0"/>
              <w:right w:val="nil"/>
            </w:tcBorders>
            <w:shd w:val="clear" w:color="auto" w:fill="auto"/>
            <w:noWrap/>
            <w:vAlign w:val="center"/>
          </w:tcPr>
          <w:p w14:paraId="09108E0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80</w:t>
            </w:r>
          </w:p>
        </w:tc>
      </w:tr>
      <w:tr w14:paraId="52A41A4C">
        <w:tblPrEx>
          <w:tblCellMar>
            <w:top w:w="0" w:type="dxa"/>
            <w:left w:w="0" w:type="dxa"/>
            <w:bottom w:w="0" w:type="dxa"/>
            <w:right w:w="0" w:type="dxa"/>
          </w:tblCellMar>
        </w:tblPrEx>
        <w:trPr>
          <w:trHeight w:val="494" w:hRule="atLeast"/>
          <w:jc w:val="center"/>
        </w:trPr>
        <w:tc>
          <w:tcPr>
            <w:tcW w:w="2480" w:type="dxa"/>
            <w:vMerge w:val="restart"/>
            <w:tcBorders>
              <w:top w:val="single" w:color="auto" w:sz="4" w:space="0"/>
              <w:left w:val="nil"/>
              <w:bottom w:val="nil"/>
              <w:right w:val="nil"/>
            </w:tcBorders>
            <w:shd w:val="clear" w:color="auto" w:fill="auto"/>
            <w:vAlign w:val="center"/>
          </w:tcPr>
          <w:p w14:paraId="477C830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5 mm</w:t>
            </w:r>
          </w:p>
        </w:tc>
        <w:tc>
          <w:tcPr>
            <w:tcW w:w="2855" w:type="dxa"/>
            <w:tcBorders>
              <w:top w:val="single" w:color="auto" w:sz="4" w:space="0"/>
              <w:left w:val="nil"/>
              <w:bottom w:val="nil"/>
              <w:right w:val="nil"/>
            </w:tcBorders>
            <w:shd w:val="clear" w:color="auto" w:fill="auto"/>
            <w:vAlign w:val="center"/>
          </w:tcPr>
          <w:p w14:paraId="46986F48">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single" w:color="auto" w:sz="4" w:space="0"/>
              <w:left w:val="nil"/>
              <w:bottom w:val="nil"/>
              <w:right w:val="nil"/>
            </w:tcBorders>
            <w:shd w:val="clear" w:color="auto" w:fill="auto"/>
            <w:noWrap/>
            <w:vAlign w:val="center"/>
          </w:tcPr>
          <w:p w14:paraId="00653A15">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78.4</w:t>
            </w:r>
          </w:p>
        </w:tc>
        <w:tc>
          <w:tcPr>
            <w:tcW w:w="903" w:type="dxa"/>
            <w:tcBorders>
              <w:top w:val="single" w:color="auto" w:sz="4" w:space="0"/>
              <w:left w:val="nil"/>
              <w:bottom w:val="nil"/>
              <w:right w:val="nil"/>
            </w:tcBorders>
            <w:shd w:val="clear" w:color="auto" w:fill="auto"/>
            <w:noWrap/>
            <w:vAlign w:val="center"/>
          </w:tcPr>
          <w:p w14:paraId="2916C5DC">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33.7</w:t>
            </w:r>
          </w:p>
        </w:tc>
        <w:tc>
          <w:tcPr>
            <w:tcW w:w="768" w:type="dxa"/>
            <w:tcBorders>
              <w:top w:val="single" w:color="auto" w:sz="4" w:space="0"/>
              <w:left w:val="nil"/>
              <w:bottom w:val="nil"/>
              <w:right w:val="nil"/>
            </w:tcBorders>
            <w:shd w:val="clear" w:color="auto" w:fill="auto"/>
            <w:noWrap/>
            <w:vAlign w:val="center"/>
          </w:tcPr>
          <w:p w14:paraId="231D89D7">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2.33</w:t>
            </w:r>
          </w:p>
        </w:tc>
        <w:tc>
          <w:tcPr>
            <w:tcW w:w="1000" w:type="dxa"/>
            <w:tcBorders>
              <w:top w:val="single" w:color="auto" w:sz="4" w:space="0"/>
              <w:left w:val="nil"/>
              <w:bottom w:val="nil"/>
              <w:right w:val="nil"/>
            </w:tcBorders>
            <w:shd w:val="clear" w:color="auto" w:fill="auto"/>
            <w:noWrap/>
            <w:vAlign w:val="center"/>
          </w:tcPr>
          <w:p w14:paraId="7A1A382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89.4</w:t>
            </w:r>
          </w:p>
        </w:tc>
        <w:tc>
          <w:tcPr>
            <w:tcW w:w="789" w:type="dxa"/>
            <w:tcBorders>
              <w:top w:val="single" w:color="auto" w:sz="4" w:space="0"/>
              <w:left w:val="nil"/>
              <w:bottom w:val="nil"/>
              <w:right w:val="nil"/>
            </w:tcBorders>
            <w:shd w:val="clear" w:color="auto" w:fill="auto"/>
            <w:noWrap/>
            <w:vAlign w:val="center"/>
          </w:tcPr>
          <w:p w14:paraId="5AA28C8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0.96 </w:t>
            </w:r>
          </w:p>
        </w:tc>
        <w:tc>
          <w:tcPr>
            <w:tcW w:w="695" w:type="dxa"/>
            <w:tcBorders>
              <w:top w:val="single" w:color="auto" w:sz="4" w:space="0"/>
              <w:left w:val="nil"/>
              <w:bottom w:val="nil"/>
              <w:right w:val="nil"/>
            </w:tcBorders>
            <w:shd w:val="clear" w:color="auto" w:fill="auto"/>
            <w:noWrap/>
            <w:vAlign w:val="center"/>
          </w:tcPr>
          <w:p w14:paraId="3E61A50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81</w:t>
            </w:r>
          </w:p>
        </w:tc>
      </w:tr>
      <w:tr w14:paraId="55888FC6">
        <w:tblPrEx>
          <w:tblCellMar>
            <w:top w:w="0" w:type="dxa"/>
            <w:left w:w="0" w:type="dxa"/>
            <w:bottom w:w="0" w:type="dxa"/>
            <w:right w:w="0" w:type="dxa"/>
          </w:tblCellMar>
        </w:tblPrEx>
        <w:trPr>
          <w:trHeight w:val="484" w:hRule="atLeast"/>
          <w:jc w:val="center"/>
        </w:trPr>
        <w:tc>
          <w:tcPr>
            <w:tcW w:w="2480" w:type="dxa"/>
            <w:vMerge w:val="continue"/>
            <w:tcBorders>
              <w:top w:val="nil"/>
              <w:left w:val="nil"/>
              <w:bottom w:val="nil"/>
              <w:right w:val="nil"/>
            </w:tcBorders>
            <w:shd w:val="clear" w:color="auto" w:fill="auto"/>
            <w:vAlign w:val="center"/>
          </w:tcPr>
          <w:p w14:paraId="32E01C79">
            <w:pPr>
              <w:tabs>
                <w:tab w:val="left" w:pos="567"/>
              </w:tabs>
              <w:adjustRightInd w:val="0"/>
              <w:spacing w:line="360" w:lineRule="auto"/>
              <w:jc w:val="left"/>
              <w:rPr>
                <w:rFonts w:ascii="Times New Roman" w:hAnsi="Times New Roman" w:cs="Times New Roman"/>
                <w:sz w:val="20"/>
                <w:szCs w:val="20"/>
              </w:rPr>
            </w:pPr>
          </w:p>
        </w:tc>
        <w:tc>
          <w:tcPr>
            <w:tcW w:w="2855" w:type="dxa"/>
            <w:tcBorders>
              <w:top w:val="nil"/>
              <w:left w:val="nil"/>
              <w:bottom w:val="nil"/>
              <w:right w:val="nil"/>
            </w:tcBorders>
            <w:shd w:val="clear" w:color="auto" w:fill="auto"/>
            <w:vAlign w:val="center"/>
          </w:tcPr>
          <w:p w14:paraId="62F4702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0.05% </w:t>
            </w:r>
            <w:r>
              <w:rPr>
                <w:rFonts w:hint="eastAsia" w:ascii="Times New Roman" w:hAnsi="Times New Roman" w:eastAsia="宋体" w:cs="Times New Roman"/>
                <w:sz w:val="20"/>
                <w:szCs w:val="20"/>
              </w:rPr>
              <w:t>CD</w:t>
            </w: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nil"/>
              <w:left w:val="nil"/>
              <w:bottom w:val="nil"/>
              <w:right w:val="nil"/>
            </w:tcBorders>
            <w:shd w:val="clear" w:color="auto" w:fill="auto"/>
            <w:noWrap/>
            <w:vAlign w:val="center"/>
          </w:tcPr>
          <w:p w14:paraId="1DCF23C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55.9</w:t>
            </w:r>
          </w:p>
        </w:tc>
        <w:tc>
          <w:tcPr>
            <w:tcW w:w="903" w:type="dxa"/>
            <w:tcBorders>
              <w:top w:val="nil"/>
              <w:left w:val="nil"/>
              <w:bottom w:val="nil"/>
              <w:right w:val="nil"/>
            </w:tcBorders>
            <w:shd w:val="clear" w:color="auto" w:fill="auto"/>
            <w:noWrap/>
            <w:vAlign w:val="center"/>
          </w:tcPr>
          <w:p w14:paraId="037C54AB">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21.9</w:t>
            </w:r>
          </w:p>
        </w:tc>
        <w:tc>
          <w:tcPr>
            <w:tcW w:w="768" w:type="dxa"/>
            <w:tcBorders>
              <w:top w:val="nil"/>
              <w:left w:val="nil"/>
              <w:bottom w:val="nil"/>
              <w:right w:val="nil"/>
            </w:tcBorders>
            <w:shd w:val="clear" w:color="auto" w:fill="auto"/>
            <w:noWrap/>
            <w:vAlign w:val="center"/>
          </w:tcPr>
          <w:p w14:paraId="7F98EA5F">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2.55</w:t>
            </w:r>
          </w:p>
        </w:tc>
        <w:tc>
          <w:tcPr>
            <w:tcW w:w="1000" w:type="dxa"/>
            <w:tcBorders>
              <w:top w:val="nil"/>
              <w:left w:val="nil"/>
              <w:bottom w:val="nil"/>
              <w:right w:val="nil"/>
            </w:tcBorders>
            <w:shd w:val="clear" w:color="auto" w:fill="auto"/>
            <w:noWrap/>
            <w:vAlign w:val="center"/>
          </w:tcPr>
          <w:p w14:paraId="74417532">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55</w:t>
            </w:r>
          </w:p>
        </w:tc>
        <w:tc>
          <w:tcPr>
            <w:tcW w:w="789" w:type="dxa"/>
            <w:tcBorders>
              <w:top w:val="nil"/>
              <w:left w:val="nil"/>
              <w:bottom w:val="nil"/>
              <w:right w:val="nil"/>
            </w:tcBorders>
            <w:shd w:val="clear" w:color="auto" w:fill="auto"/>
            <w:noWrap/>
            <w:vAlign w:val="center"/>
          </w:tcPr>
          <w:p w14:paraId="04797A11">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0.83 </w:t>
            </w:r>
          </w:p>
        </w:tc>
        <w:tc>
          <w:tcPr>
            <w:tcW w:w="695" w:type="dxa"/>
            <w:tcBorders>
              <w:top w:val="nil"/>
              <w:left w:val="nil"/>
              <w:bottom w:val="nil"/>
              <w:right w:val="nil"/>
            </w:tcBorders>
            <w:shd w:val="clear" w:color="auto" w:fill="auto"/>
            <w:noWrap/>
            <w:vAlign w:val="center"/>
          </w:tcPr>
          <w:p w14:paraId="4CEB0935">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72</w:t>
            </w:r>
          </w:p>
        </w:tc>
      </w:tr>
      <w:tr w14:paraId="2E6F696C">
        <w:tblPrEx>
          <w:tblCellMar>
            <w:top w:w="0" w:type="dxa"/>
            <w:left w:w="0" w:type="dxa"/>
            <w:bottom w:w="0" w:type="dxa"/>
            <w:right w:w="0" w:type="dxa"/>
          </w:tblCellMar>
        </w:tblPrEx>
        <w:trPr>
          <w:trHeight w:val="484" w:hRule="atLeast"/>
          <w:jc w:val="center"/>
        </w:trPr>
        <w:tc>
          <w:tcPr>
            <w:tcW w:w="2480" w:type="dxa"/>
            <w:vMerge w:val="continue"/>
            <w:tcBorders>
              <w:top w:val="nil"/>
              <w:left w:val="nil"/>
              <w:bottom w:val="single" w:color="auto" w:sz="4" w:space="0"/>
              <w:right w:val="nil"/>
            </w:tcBorders>
            <w:shd w:val="clear" w:color="auto" w:fill="auto"/>
            <w:vAlign w:val="center"/>
          </w:tcPr>
          <w:p w14:paraId="60392C7B">
            <w:pPr>
              <w:tabs>
                <w:tab w:val="left" w:pos="567"/>
              </w:tabs>
              <w:adjustRightInd w:val="0"/>
              <w:spacing w:line="360" w:lineRule="auto"/>
              <w:jc w:val="left"/>
              <w:rPr>
                <w:rFonts w:ascii="Times New Roman" w:hAnsi="Times New Roman" w:cs="Times New Roman"/>
                <w:sz w:val="20"/>
                <w:szCs w:val="20"/>
              </w:rPr>
            </w:pPr>
          </w:p>
        </w:tc>
        <w:tc>
          <w:tcPr>
            <w:tcW w:w="2855" w:type="dxa"/>
            <w:tcBorders>
              <w:top w:val="nil"/>
              <w:left w:val="nil"/>
              <w:bottom w:val="single" w:color="auto" w:sz="4" w:space="0"/>
              <w:right w:val="nil"/>
            </w:tcBorders>
            <w:shd w:val="clear" w:color="auto" w:fill="auto"/>
            <w:vAlign w:val="center"/>
          </w:tcPr>
          <w:p w14:paraId="57171BE7">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 </w:t>
            </w:r>
            <w:r>
              <w:rPr>
                <w:rFonts w:hint="eastAsia" w:ascii="Times New Roman" w:hAnsi="Times New Roman" w:eastAsia="宋体" w:cs="Times New Roman"/>
                <w:sz w:val="20"/>
                <w:szCs w:val="20"/>
              </w:rPr>
              <w:t>CD</w:t>
            </w: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nil"/>
              <w:left w:val="nil"/>
              <w:bottom w:val="single" w:color="auto" w:sz="4" w:space="0"/>
              <w:right w:val="nil"/>
            </w:tcBorders>
            <w:shd w:val="clear" w:color="auto" w:fill="auto"/>
            <w:noWrap/>
            <w:vAlign w:val="center"/>
          </w:tcPr>
          <w:p w14:paraId="2BAA3CC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41</w:t>
            </w:r>
          </w:p>
        </w:tc>
        <w:tc>
          <w:tcPr>
            <w:tcW w:w="903" w:type="dxa"/>
            <w:tcBorders>
              <w:top w:val="nil"/>
              <w:left w:val="nil"/>
              <w:bottom w:val="single" w:color="auto" w:sz="4" w:space="0"/>
              <w:right w:val="nil"/>
            </w:tcBorders>
            <w:shd w:val="clear" w:color="auto" w:fill="auto"/>
            <w:noWrap/>
            <w:vAlign w:val="center"/>
          </w:tcPr>
          <w:p w14:paraId="12CEDEE8">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15.1</w:t>
            </w:r>
          </w:p>
        </w:tc>
        <w:tc>
          <w:tcPr>
            <w:tcW w:w="768" w:type="dxa"/>
            <w:tcBorders>
              <w:top w:val="nil"/>
              <w:left w:val="nil"/>
              <w:bottom w:val="single" w:color="auto" w:sz="4" w:space="0"/>
              <w:right w:val="nil"/>
            </w:tcBorders>
            <w:shd w:val="clear" w:color="auto" w:fill="auto"/>
            <w:noWrap/>
            <w:vAlign w:val="center"/>
          </w:tcPr>
          <w:p w14:paraId="45F6F582">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2.72</w:t>
            </w:r>
          </w:p>
        </w:tc>
        <w:tc>
          <w:tcPr>
            <w:tcW w:w="1000" w:type="dxa"/>
            <w:tcBorders>
              <w:top w:val="nil"/>
              <w:left w:val="nil"/>
              <w:bottom w:val="single" w:color="auto" w:sz="4" w:space="0"/>
              <w:right w:val="nil"/>
            </w:tcBorders>
            <w:shd w:val="clear" w:color="auto" w:fill="auto"/>
            <w:noWrap/>
            <w:vAlign w:val="center"/>
          </w:tcPr>
          <w:p w14:paraId="2FC277A7">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39.3</w:t>
            </w:r>
          </w:p>
        </w:tc>
        <w:tc>
          <w:tcPr>
            <w:tcW w:w="789" w:type="dxa"/>
            <w:tcBorders>
              <w:top w:val="nil"/>
              <w:left w:val="nil"/>
              <w:bottom w:val="single" w:color="auto" w:sz="4" w:space="0"/>
              <w:right w:val="nil"/>
            </w:tcBorders>
            <w:shd w:val="clear" w:color="auto" w:fill="auto"/>
            <w:noWrap/>
            <w:vAlign w:val="center"/>
          </w:tcPr>
          <w:p w14:paraId="2792C2A2">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0.81 </w:t>
            </w:r>
          </w:p>
        </w:tc>
        <w:tc>
          <w:tcPr>
            <w:tcW w:w="695" w:type="dxa"/>
            <w:tcBorders>
              <w:top w:val="nil"/>
              <w:left w:val="nil"/>
              <w:bottom w:val="single" w:color="auto" w:sz="4" w:space="0"/>
              <w:right w:val="nil"/>
            </w:tcBorders>
            <w:shd w:val="clear" w:color="auto" w:fill="auto"/>
            <w:noWrap/>
            <w:vAlign w:val="center"/>
          </w:tcPr>
          <w:p w14:paraId="6304274F">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68</w:t>
            </w:r>
          </w:p>
        </w:tc>
      </w:tr>
      <w:tr w14:paraId="640BF8F5">
        <w:tblPrEx>
          <w:tblCellMar>
            <w:top w:w="0" w:type="dxa"/>
            <w:left w:w="0" w:type="dxa"/>
            <w:bottom w:w="0" w:type="dxa"/>
            <w:right w:w="0" w:type="dxa"/>
          </w:tblCellMar>
        </w:tblPrEx>
        <w:trPr>
          <w:trHeight w:val="494" w:hRule="atLeast"/>
          <w:jc w:val="center"/>
        </w:trPr>
        <w:tc>
          <w:tcPr>
            <w:tcW w:w="2480" w:type="dxa"/>
            <w:vMerge w:val="restart"/>
            <w:tcBorders>
              <w:top w:val="single" w:color="auto" w:sz="4" w:space="0"/>
              <w:left w:val="nil"/>
              <w:right w:val="nil"/>
            </w:tcBorders>
            <w:shd w:val="clear" w:color="auto" w:fill="auto"/>
            <w:vAlign w:val="center"/>
          </w:tcPr>
          <w:p w14:paraId="047A8DF9">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10 mm</w:t>
            </w:r>
          </w:p>
        </w:tc>
        <w:tc>
          <w:tcPr>
            <w:tcW w:w="2855" w:type="dxa"/>
            <w:tcBorders>
              <w:top w:val="single" w:color="auto" w:sz="4" w:space="0"/>
              <w:left w:val="nil"/>
              <w:right w:val="nil"/>
            </w:tcBorders>
            <w:shd w:val="clear" w:color="auto" w:fill="auto"/>
            <w:vAlign w:val="center"/>
          </w:tcPr>
          <w:p w14:paraId="5BE1638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single" w:color="auto" w:sz="4" w:space="0"/>
              <w:left w:val="nil"/>
              <w:bottom w:val="nil"/>
              <w:right w:val="nil"/>
            </w:tcBorders>
            <w:shd w:val="clear" w:color="auto" w:fill="auto"/>
            <w:noWrap/>
            <w:vAlign w:val="center"/>
          </w:tcPr>
          <w:p w14:paraId="63A73C5A">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65.1</w:t>
            </w:r>
          </w:p>
        </w:tc>
        <w:tc>
          <w:tcPr>
            <w:tcW w:w="903" w:type="dxa"/>
            <w:tcBorders>
              <w:top w:val="single" w:color="auto" w:sz="4" w:space="0"/>
              <w:left w:val="nil"/>
              <w:bottom w:val="nil"/>
              <w:right w:val="nil"/>
            </w:tcBorders>
            <w:shd w:val="clear" w:color="auto" w:fill="auto"/>
            <w:noWrap/>
            <w:vAlign w:val="center"/>
          </w:tcPr>
          <w:p w14:paraId="11CAE435">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29.5</w:t>
            </w:r>
          </w:p>
        </w:tc>
        <w:tc>
          <w:tcPr>
            <w:tcW w:w="768" w:type="dxa"/>
            <w:tcBorders>
              <w:top w:val="single" w:color="auto" w:sz="4" w:space="0"/>
              <w:left w:val="nil"/>
              <w:bottom w:val="nil"/>
              <w:right w:val="nil"/>
            </w:tcBorders>
            <w:shd w:val="clear" w:color="auto" w:fill="auto"/>
            <w:noWrap/>
            <w:vAlign w:val="center"/>
          </w:tcPr>
          <w:p w14:paraId="1EC075EC">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2.21</w:t>
            </w:r>
          </w:p>
        </w:tc>
        <w:tc>
          <w:tcPr>
            <w:tcW w:w="1000" w:type="dxa"/>
            <w:tcBorders>
              <w:top w:val="single" w:color="auto" w:sz="4" w:space="0"/>
              <w:left w:val="nil"/>
              <w:bottom w:val="nil"/>
              <w:right w:val="nil"/>
            </w:tcBorders>
            <w:shd w:val="clear" w:color="auto" w:fill="auto"/>
            <w:noWrap/>
            <w:vAlign w:val="center"/>
          </w:tcPr>
          <w:p w14:paraId="5951115C">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88.8</w:t>
            </w:r>
          </w:p>
        </w:tc>
        <w:tc>
          <w:tcPr>
            <w:tcW w:w="789" w:type="dxa"/>
            <w:tcBorders>
              <w:top w:val="single" w:color="auto" w:sz="4" w:space="0"/>
              <w:left w:val="nil"/>
              <w:bottom w:val="nil"/>
              <w:right w:val="nil"/>
            </w:tcBorders>
            <w:shd w:val="clear" w:color="auto" w:fill="auto"/>
            <w:noWrap/>
            <w:vAlign w:val="center"/>
          </w:tcPr>
          <w:p w14:paraId="7B4D4C49">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1.15 </w:t>
            </w:r>
          </w:p>
        </w:tc>
        <w:tc>
          <w:tcPr>
            <w:tcW w:w="695" w:type="dxa"/>
            <w:tcBorders>
              <w:top w:val="single" w:color="auto" w:sz="4" w:space="0"/>
              <w:left w:val="nil"/>
              <w:bottom w:val="nil"/>
              <w:right w:val="nil"/>
            </w:tcBorders>
            <w:shd w:val="clear" w:color="auto" w:fill="auto"/>
            <w:noWrap/>
            <w:vAlign w:val="center"/>
          </w:tcPr>
          <w:p w14:paraId="3FB73E12">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68</w:t>
            </w:r>
          </w:p>
        </w:tc>
      </w:tr>
      <w:tr w14:paraId="0C4B63C9">
        <w:tblPrEx>
          <w:tblCellMar>
            <w:top w:w="0" w:type="dxa"/>
            <w:left w:w="0" w:type="dxa"/>
            <w:bottom w:w="0" w:type="dxa"/>
            <w:right w:w="0" w:type="dxa"/>
          </w:tblCellMar>
        </w:tblPrEx>
        <w:trPr>
          <w:trHeight w:val="484" w:hRule="atLeast"/>
          <w:jc w:val="center"/>
        </w:trPr>
        <w:tc>
          <w:tcPr>
            <w:tcW w:w="2480" w:type="dxa"/>
            <w:vMerge w:val="continue"/>
            <w:tcBorders>
              <w:left w:val="nil"/>
              <w:right w:val="nil"/>
            </w:tcBorders>
            <w:shd w:val="clear" w:color="auto" w:fill="auto"/>
            <w:vAlign w:val="center"/>
          </w:tcPr>
          <w:p w14:paraId="3A6DD91F">
            <w:pPr>
              <w:tabs>
                <w:tab w:val="left" w:pos="567"/>
              </w:tabs>
              <w:adjustRightInd w:val="0"/>
              <w:spacing w:line="360" w:lineRule="auto"/>
              <w:jc w:val="left"/>
              <w:rPr>
                <w:rFonts w:ascii="Times New Roman" w:hAnsi="Times New Roman" w:cs="Times New Roman"/>
                <w:sz w:val="20"/>
                <w:szCs w:val="20"/>
              </w:rPr>
            </w:pPr>
          </w:p>
        </w:tc>
        <w:tc>
          <w:tcPr>
            <w:tcW w:w="2855" w:type="dxa"/>
            <w:tcBorders>
              <w:left w:val="nil"/>
              <w:right w:val="nil"/>
            </w:tcBorders>
            <w:shd w:val="clear" w:color="auto" w:fill="auto"/>
            <w:vAlign w:val="center"/>
          </w:tcPr>
          <w:p w14:paraId="40E8083B">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0.05% </w:t>
            </w:r>
            <w:r>
              <w:rPr>
                <w:rFonts w:hint="eastAsia" w:ascii="Times New Roman" w:hAnsi="Times New Roman" w:eastAsia="宋体" w:cs="Times New Roman"/>
                <w:sz w:val="20"/>
                <w:szCs w:val="20"/>
              </w:rPr>
              <w:t>CD</w:t>
            </w: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nil"/>
              <w:left w:val="nil"/>
              <w:bottom w:val="nil"/>
              <w:right w:val="nil"/>
            </w:tcBorders>
            <w:shd w:val="clear" w:color="auto" w:fill="auto"/>
            <w:noWrap/>
            <w:vAlign w:val="center"/>
          </w:tcPr>
          <w:p w14:paraId="3E79A639">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38.6</w:t>
            </w:r>
          </w:p>
        </w:tc>
        <w:tc>
          <w:tcPr>
            <w:tcW w:w="903" w:type="dxa"/>
            <w:tcBorders>
              <w:top w:val="nil"/>
              <w:left w:val="nil"/>
              <w:bottom w:val="nil"/>
              <w:right w:val="nil"/>
            </w:tcBorders>
            <w:shd w:val="clear" w:color="auto" w:fill="auto"/>
            <w:noWrap/>
            <w:vAlign w:val="center"/>
          </w:tcPr>
          <w:p w14:paraId="708959C7">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12.6</w:t>
            </w:r>
          </w:p>
        </w:tc>
        <w:tc>
          <w:tcPr>
            <w:tcW w:w="768" w:type="dxa"/>
            <w:tcBorders>
              <w:top w:val="nil"/>
              <w:left w:val="nil"/>
              <w:bottom w:val="nil"/>
              <w:right w:val="nil"/>
            </w:tcBorders>
            <w:shd w:val="clear" w:color="auto" w:fill="auto"/>
            <w:noWrap/>
            <w:vAlign w:val="center"/>
          </w:tcPr>
          <w:p w14:paraId="2E948254">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3.06</w:t>
            </w:r>
          </w:p>
        </w:tc>
        <w:tc>
          <w:tcPr>
            <w:tcW w:w="1000" w:type="dxa"/>
            <w:tcBorders>
              <w:top w:val="nil"/>
              <w:left w:val="nil"/>
              <w:bottom w:val="nil"/>
              <w:right w:val="nil"/>
            </w:tcBorders>
            <w:shd w:val="clear" w:color="auto" w:fill="auto"/>
            <w:noWrap/>
            <w:vAlign w:val="center"/>
          </w:tcPr>
          <w:p w14:paraId="30EE988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37.2</w:t>
            </w:r>
          </w:p>
        </w:tc>
        <w:tc>
          <w:tcPr>
            <w:tcW w:w="789" w:type="dxa"/>
            <w:tcBorders>
              <w:top w:val="nil"/>
              <w:left w:val="nil"/>
              <w:bottom w:val="nil"/>
              <w:right w:val="nil"/>
            </w:tcBorders>
            <w:shd w:val="clear" w:color="auto" w:fill="auto"/>
            <w:noWrap/>
            <w:vAlign w:val="center"/>
          </w:tcPr>
          <w:p w14:paraId="359A96B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0.81 </w:t>
            </w:r>
          </w:p>
        </w:tc>
        <w:tc>
          <w:tcPr>
            <w:tcW w:w="695" w:type="dxa"/>
            <w:tcBorders>
              <w:top w:val="nil"/>
              <w:left w:val="nil"/>
              <w:bottom w:val="nil"/>
              <w:right w:val="nil"/>
            </w:tcBorders>
            <w:shd w:val="clear" w:color="auto" w:fill="auto"/>
            <w:noWrap/>
            <w:vAlign w:val="center"/>
          </w:tcPr>
          <w:p w14:paraId="08A4E2E0">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56</w:t>
            </w:r>
          </w:p>
        </w:tc>
      </w:tr>
      <w:tr w14:paraId="484D0CA5">
        <w:tblPrEx>
          <w:tblCellMar>
            <w:top w:w="0" w:type="dxa"/>
            <w:left w:w="0" w:type="dxa"/>
            <w:bottom w:w="0" w:type="dxa"/>
            <w:right w:w="0" w:type="dxa"/>
          </w:tblCellMar>
        </w:tblPrEx>
        <w:trPr>
          <w:trHeight w:val="538" w:hRule="atLeast"/>
          <w:jc w:val="center"/>
        </w:trPr>
        <w:tc>
          <w:tcPr>
            <w:tcW w:w="2480" w:type="dxa"/>
            <w:vMerge w:val="continue"/>
            <w:tcBorders>
              <w:left w:val="nil"/>
              <w:bottom w:val="single" w:color="auto" w:sz="12" w:space="0"/>
              <w:right w:val="nil"/>
            </w:tcBorders>
            <w:shd w:val="clear" w:color="auto" w:fill="auto"/>
            <w:vAlign w:val="center"/>
          </w:tcPr>
          <w:p w14:paraId="2EC5B933">
            <w:pPr>
              <w:tabs>
                <w:tab w:val="left" w:pos="567"/>
              </w:tabs>
              <w:adjustRightInd w:val="0"/>
              <w:spacing w:line="360" w:lineRule="auto"/>
              <w:jc w:val="left"/>
              <w:rPr>
                <w:rFonts w:ascii="Times New Roman" w:hAnsi="Times New Roman" w:cs="Times New Roman"/>
                <w:sz w:val="20"/>
                <w:szCs w:val="20"/>
              </w:rPr>
            </w:pPr>
          </w:p>
        </w:tc>
        <w:tc>
          <w:tcPr>
            <w:tcW w:w="2855" w:type="dxa"/>
            <w:tcBorders>
              <w:left w:val="nil"/>
              <w:bottom w:val="single" w:color="auto" w:sz="12" w:space="0"/>
              <w:right w:val="nil"/>
            </w:tcBorders>
            <w:shd w:val="clear" w:color="auto" w:fill="auto"/>
            <w:vAlign w:val="center"/>
          </w:tcPr>
          <w:p w14:paraId="23292D00">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 </w:t>
            </w:r>
            <w:r>
              <w:rPr>
                <w:rFonts w:hint="eastAsia" w:ascii="Times New Roman" w:hAnsi="Times New Roman" w:eastAsia="宋体" w:cs="Times New Roman"/>
                <w:sz w:val="20"/>
                <w:szCs w:val="20"/>
              </w:rPr>
              <w:t>CD</w:t>
            </w:r>
            <w:r>
              <w:rPr>
                <w:rFonts w:ascii="Times New Roman" w:hAnsi="Times New Roman" w:cs="Times New Roman"/>
                <w:sz w:val="20"/>
                <w:szCs w:val="20"/>
              </w:rPr>
              <w:t>/10% CuSO</w:t>
            </w:r>
            <w:r>
              <w:rPr>
                <w:rFonts w:ascii="Times New Roman" w:hAnsi="Times New Roman" w:cs="Times New Roman"/>
                <w:sz w:val="20"/>
                <w:szCs w:val="20"/>
                <w:vertAlign w:val="subscript"/>
              </w:rPr>
              <w:t>4</w:t>
            </w:r>
          </w:p>
        </w:tc>
        <w:tc>
          <w:tcPr>
            <w:tcW w:w="968" w:type="dxa"/>
            <w:tcBorders>
              <w:top w:val="nil"/>
              <w:left w:val="nil"/>
              <w:bottom w:val="single" w:color="auto" w:sz="12" w:space="0"/>
              <w:right w:val="nil"/>
            </w:tcBorders>
            <w:shd w:val="clear" w:color="auto" w:fill="auto"/>
            <w:noWrap/>
            <w:vAlign w:val="center"/>
          </w:tcPr>
          <w:p w14:paraId="7E0DAE1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19.4</w:t>
            </w:r>
          </w:p>
        </w:tc>
        <w:tc>
          <w:tcPr>
            <w:tcW w:w="903" w:type="dxa"/>
            <w:tcBorders>
              <w:top w:val="nil"/>
              <w:left w:val="nil"/>
              <w:bottom w:val="single" w:color="auto" w:sz="12" w:space="0"/>
              <w:right w:val="nil"/>
            </w:tcBorders>
            <w:shd w:val="clear" w:color="auto" w:fill="auto"/>
            <w:noWrap/>
            <w:vAlign w:val="center"/>
          </w:tcPr>
          <w:p w14:paraId="2114BD6D">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6.0</w:t>
            </w:r>
          </w:p>
        </w:tc>
        <w:tc>
          <w:tcPr>
            <w:tcW w:w="768" w:type="dxa"/>
            <w:tcBorders>
              <w:top w:val="nil"/>
              <w:left w:val="nil"/>
              <w:bottom w:val="single" w:color="auto" w:sz="12" w:space="0"/>
              <w:right w:val="nil"/>
            </w:tcBorders>
            <w:shd w:val="clear" w:color="auto" w:fill="auto"/>
            <w:noWrap/>
            <w:vAlign w:val="center"/>
          </w:tcPr>
          <w:p w14:paraId="4C2ECE2E">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3.23</w:t>
            </w:r>
          </w:p>
        </w:tc>
        <w:tc>
          <w:tcPr>
            <w:tcW w:w="1000" w:type="dxa"/>
            <w:tcBorders>
              <w:top w:val="nil"/>
              <w:left w:val="nil"/>
              <w:bottom w:val="single" w:color="auto" w:sz="12" w:space="0"/>
              <w:right w:val="nil"/>
            </w:tcBorders>
            <w:shd w:val="clear" w:color="auto" w:fill="auto"/>
            <w:noWrap/>
            <w:vAlign w:val="center"/>
          </w:tcPr>
          <w:p w14:paraId="33E1C84A">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19</w:t>
            </w:r>
          </w:p>
        </w:tc>
        <w:tc>
          <w:tcPr>
            <w:tcW w:w="789" w:type="dxa"/>
            <w:tcBorders>
              <w:top w:val="nil"/>
              <w:left w:val="nil"/>
              <w:bottom w:val="single" w:color="auto" w:sz="12" w:space="0"/>
              <w:right w:val="nil"/>
            </w:tcBorders>
            <w:shd w:val="clear" w:color="auto" w:fill="auto"/>
            <w:noWrap/>
            <w:vAlign w:val="center"/>
          </w:tcPr>
          <w:p w14:paraId="3DF3D60F">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0.82 </w:t>
            </w:r>
          </w:p>
        </w:tc>
        <w:tc>
          <w:tcPr>
            <w:tcW w:w="695" w:type="dxa"/>
            <w:tcBorders>
              <w:top w:val="nil"/>
              <w:left w:val="nil"/>
              <w:bottom w:val="single" w:color="auto" w:sz="12" w:space="0"/>
              <w:right w:val="nil"/>
            </w:tcBorders>
            <w:shd w:val="clear" w:color="auto" w:fill="auto"/>
            <w:noWrap/>
            <w:vAlign w:val="center"/>
          </w:tcPr>
          <w:p w14:paraId="065944C8">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49</w:t>
            </w:r>
          </w:p>
        </w:tc>
      </w:tr>
    </w:tbl>
    <w:p w14:paraId="536AB37A">
      <w:pPr>
        <w:widowControl/>
        <w:tabs>
          <w:tab w:val="left" w:pos="567"/>
        </w:tabs>
        <w:snapToGrid w:val="0"/>
        <w:spacing w:after="332" w:afterLines="100"/>
        <w:rPr>
          <w:rFonts w:ascii="Times New Roman" w:hAnsi="Times New Roman" w:cs="Times New Roman"/>
          <w:b/>
          <w:bCs/>
          <w:sz w:val="20"/>
          <w:szCs w:val="20"/>
        </w:rPr>
      </w:pPr>
    </w:p>
    <w:p w14:paraId="7B22A6AD">
      <w:pPr>
        <w:widowControl/>
        <w:tabs>
          <w:tab w:val="left" w:pos="567"/>
        </w:tabs>
        <w:snapToGrid w:val="0"/>
        <w:spacing w:after="332" w:afterLines="100"/>
        <w:rPr>
          <w:rFonts w:ascii="Times New Roman" w:hAnsi="Times New Roman" w:cs="Times New Roman"/>
          <w:b/>
          <w:bCs/>
          <w:sz w:val="20"/>
          <w:szCs w:val="20"/>
        </w:rPr>
        <w:sectPr>
          <w:endnotePr>
            <w:numFmt w:val="decimal"/>
          </w:endnotePr>
          <w:pgSz w:w="11906" w:h="16838"/>
          <w:pgMar w:top="720" w:right="720" w:bottom="720" w:left="720" w:header="851" w:footer="992" w:gutter="0"/>
          <w:cols w:space="0" w:num="1"/>
          <w:docGrid w:type="lines" w:linePitch="332" w:charSpace="0"/>
        </w:sectPr>
      </w:pPr>
    </w:p>
    <w:p w14:paraId="367801A4">
      <w:pPr>
        <w:tabs>
          <w:tab w:val="left" w:pos="567"/>
        </w:tabs>
        <w:spacing w:after="332" w:afterLines="100" w:line="360" w:lineRule="auto"/>
        <w:rPr>
          <w:rFonts w:ascii="Times New Roman" w:hAnsi="Times New Roman" w:cs="Times New Roman"/>
          <w:sz w:val="24"/>
        </w:rPr>
      </w:pPr>
      <w:r>
        <w:rPr>
          <w:rFonts w:ascii="Times New Roman" w:hAnsi="Times New Roman" w:cs="Times New Roman"/>
          <w:b/>
          <w:bCs/>
          <w:iCs/>
          <w:sz w:val="24"/>
        </w:rPr>
        <w:t xml:space="preserve">Table </w:t>
      </w:r>
      <w:r>
        <w:rPr>
          <w:rFonts w:hint="eastAsia" w:ascii="Times New Roman" w:hAnsi="Times New Roman" w:cs="Times New Roman"/>
          <w:b/>
          <w:bCs/>
          <w:iCs/>
          <w:sz w:val="24"/>
        </w:rPr>
        <w:t>S5</w:t>
      </w:r>
      <w:r>
        <w:rPr>
          <w:rFonts w:ascii="Times New Roman" w:hAnsi="Times New Roman" w:cs="Times New Roman"/>
          <w:sz w:val="24"/>
        </w:rPr>
        <w:t xml:space="preserve"> </w:t>
      </w:r>
      <w:r>
        <w:rPr>
          <w:rFonts w:hint="eastAsia" w:ascii="Times New Roman" w:hAnsi="Times New Roman" w:cs="Times New Roman"/>
          <w:sz w:val="24"/>
        </w:rPr>
        <w:t>Optical properties of the Janus structure</w:t>
      </w:r>
    </w:p>
    <w:tbl>
      <w:tblPr>
        <w:tblStyle w:val="6"/>
        <w:tblW w:w="10418" w:type="dxa"/>
        <w:tblInd w:w="0" w:type="dxa"/>
        <w:tblLayout w:type="fixed"/>
        <w:tblCellMar>
          <w:top w:w="0" w:type="dxa"/>
          <w:left w:w="0" w:type="dxa"/>
          <w:bottom w:w="0" w:type="dxa"/>
          <w:right w:w="0" w:type="dxa"/>
        </w:tblCellMar>
      </w:tblPr>
      <w:tblGrid>
        <w:gridCol w:w="3757"/>
        <w:gridCol w:w="1108"/>
        <w:gridCol w:w="1247"/>
        <w:gridCol w:w="2178"/>
        <w:gridCol w:w="2128"/>
      </w:tblGrid>
      <w:tr w14:paraId="39A9C735">
        <w:tblPrEx>
          <w:tblCellMar>
            <w:top w:w="0" w:type="dxa"/>
            <w:left w:w="0" w:type="dxa"/>
            <w:bottom w:w="0" w:type="dxa"/>
            <w:right w:w="0" w:type="dxa"/>
          </w:tblCellMar>
        </w:tblPrEx>
        <w:trPr>
          <w:trHeight w:val="369" w:hRule="atLeast"/>
        </w:trPr>
        <w:tc>
          <w:tcPr>
            <w:tcW w:w="3757" w:type="dxa"/>
            <w:vMerge w:val="restart"/>
            <w:tcBorders>
              <w:top w:val="single" w:color="000000" w:sz="12" w:space="0"/>
              <w:left w:val="nil"/>
              <w:right w:val="nil"/>
            </w:tcBorders>
            <w:shd w:val="clear" w:color="auto" w:fill="auto"/>
            <w:noWrap/>
            <w:vAlign w:val="center"/>
          </w:tcPr>
          <w:p w14:paraId="0C0E01BA">
            <w:pPr>
              <w:tabs>
                <w:tab w:val="left" w:pos="567"/>
              </w:tabs>
              <w:adjustRightInd w:val="0"/>
              <w:spacing w:line="360" w:lineRule="auto"/>
              <w:jc w:val="left"/>
              <w:rPr>
                <w:rFonts w:ascii="Times New Roman" w:hAnsi="Times New Roman" w:cs="Times New Roman"/>
                <w:b/>
                <w:sz w:val="20"/>
                <w:szCs w:val="20"/>
              </w:rPr>
            </w:pPr>
            <w:r>
              <w:rPr>
                <w:rFonts w:hint="eastAsia" w:ascii="Times New Roman" w:hAnsi="Times New Roman" w:cs="Times New Roman"/>
                <w:b/>
                <w:sz w:val="20"/>
                <w:szCs w:val="20"/>
              </w:rPr>
              <w:t>M</w:t>
            </w:r>
            <w:r>
              <w:rPr>
                <w:rFonts w:ascii="Times New Roman" w:hAnsi="Times New Roman" w:cs="Times New Roman"/>
                <w:b/>
                <w:sz w:val="20"/>
                <w:szCs w:val="20"/>
              </w:rPr>
              <w:t>aterials</w:t>
            </w:r>
          </w:p>
        </w:tc>
        <w:tc>
          <w:tcPr>
            <w:tcW w:w="1108" w:type="dxa"/>
            <w:vMerge w:val="restart"/>
            <w:tcBorders>
              <w:top w:val="single" w:color="000000" w:sz="12" w:space="0"/>
              <w:left w:val="nil"/>
              <w:right w:val="nil"/>
            </w:tcBorders>
            <w:shd w:val="clear" w:color="auto" w:fill="auto"/>
            <w:noWrap/>
            <w:vAlign w:val="center"/>
          </w:tcPr>
          <w:p w14:paraId="60DE5B4A">
            <w:pPr>
              <w:tabs>
                <w:tab w:val="left" w:pos="567"/>
              </w:tabs>
              <w:adjustRightInd w:val="0"/>
              <w:spacing w:line="360" w:lineRule="auto"/>
              <w:jc w:val="left"/>
              <w:rPr>
                <w:rFonts w:ascii="Times New Roman" w:hAnsi="Times New Roman" w:eastAsia="宋体" w:cs="Times New Roman"/>
                <w:b/>
                <w:bCs/>
                <w:sz w:val="20"/>
                <w:szCs w:val="20"/>
              </w:rPr>
            </w:pPr>
            <w:r>
              <w:rPr>
                <w:rFonts w:ascii="Times New Roman" w:hAnsi="Times New Roman" w:eastAsia="宋体" w:cs="Times New Roman"/>
                <w:b/>
                <w:bCs/>
                <w:i/>
                <w:sz w:val="20"/>
                <w:szCs w:val="20"/>
              </w:rPr>
              <w:t>T</w:t>
            </w:r>
            <w:r>
              <w:rPr>
                <w:rFonts w:hint="eastAsia" w:ascii="Times New Roman" w:hAnsi="Times New Roman" w:eastAsia="宋体" w:cs="Times New Roman"/>
                <w:b/>
                <w:bCs/>
                <w:sz w:val="20"/>
                <w:szCs w:val="20"/>
                <w:vertAlign w:val="subscript"/>
              </w:rPr>
              <w:t>sol</w:t>
            </w:r>
          </w:p>
        </w:tc>
        <w:tc>
          <w:tcPr>
            <w:tcW w:w="1247" w:type="dxa"/>
            <w:vMerge w:val="restart"/>
            <w:tcBorders>
              <w:top w:val="single" w:color="000000" w:sz="12" w:space="0"/>
              <w:left w:val="nil"/>
              <w:right w:val="nil"/>
            </w:tcBorders>
            <w:shd w:val="clear" w:color="auto" w:fill="auto"/>
            <w:noWrap/>
            <w:vAlign w:val="center"/>
          </w:tcPr>
          <w:p w14:paraId="24E939C2">
            <w:pPr>
              <w:tabs>
                <w:tab w:val="left" w:pos="567"/>
              </w:tabs>
              <w:adjustRightInd w:val="0"/>
              <w:spacing w:line="360" w:lineRule="auto"/>
              <w:jc w:val="left"/>
              <w:rPr>
                <w:rFonts w:ascii="Times New Roman" w:hAnsi="Times New Roman" w:eastAsia="宋体" w:cs="Times New Roman"/>
                <w:sz w:val="20"/>
                <w:szCs w:val="20"/>
              </w:rPr>
            </w:pPr>
            <w:r>
              <w:rPr>
                <w:rFonts w:ascii="Times New Roman" w:hAnsi="Times New Roman" w:eastAsia="宋体" w:cs="Times New Roman"/>
                <w:b/>
                <w:bCs/>
                <w:i/>
                <w:sz w:val="20"/>
                <w:szCs w:val="20"/>
              </w:rPr>
              <w:t>T</w:t>
            </w:r>
            <w:r>
              <w:rPr>
                <w:rFonts w:ascii="Times New Roman" w:hAnsi="Times New Roman" w:eastAsia="宋体" w:cs="Times New Roman"/>
                <w:b/>
                <w:bCs/>
                <w:sz w:val="20"/>
                <w:szCs w:val="20"/>
                <w:vertAlign w:val="subscript"/>
              </w:rPr>
              <w:t>l</w:t>
            </w:r>
            <w:r>
              <w:rPr>
                <w:rFonts w:hint="eastAsia" w:ascii="Times New Roman" w:hAnsi="Times New Roman" w:eastAsia="宋体" w:cs="Times New Roman"/>
                <w:b/>
                <w:bCs/>
                <w:sz w:val="20"/>
                <w:szCs w:val="20"/>
                <w:vertAlign w:val="subscript"/>
              </w:rPr>
              <w:t>um</w:t>
            </w:r>
          </w:p>
        </w:tc>
        <w:tc>
          <w:tcPr>
            <w:tcW w:w="4306" w:type="dxa"/>
            <w:gridSpan w:val="2"/>
            <w:tcBorders>
              <w:top w:val="single" w:color="000000" w:sz="12" w:space="0"/>
              <w:left w:val="nil"/>
              <w:bottom w:val="single" w:color="auto" w:sz="4" w:space="0"/>
              <w:right w:val="nil"/>
            </w:tcBorders>
            <w:shd w:val="clear" w:color="auto" w:fill="auto"/>
            <w:noWrap/>
            <w:vAlign w:val="center"/>
          </w:tcPr>
          <w:p w14:paraId="002D9F7E">
            <w:pPr>
              <w:tabs>
                <w:tab w:val="left" w:pos="567"/>
              </w:tabs>
              <w:adjustRightInd w:val="0"/>
              <w:spacing w:line="360" w:lineRule="auto"/>
              <w:jc w:val="center"/>
              <w:rPr>
                <w:rFonts w:ascii="Symbol" w:hAnsi="Symbol" w:eastAsia="宋体" w:cs="Symbol"/>
                <w:b/>
                <w:bCs/>
                <w:i/>
                <w:sz w:val="20"/>
                <w:szCs w:val="20"/>
              </w:rPr>
            </w:pPr>
            <w:r>
              <w:rPr>
                <w:rFonts w:ascii="Symbol" w:hAnsi="Symbol" w:eastAsia="宋体" w:cs="Symbol"/>
                <w:b/>
                <w:bCs/>
                <w:i/>
                <w:sz w:val="20"/>
                <w:szCs w:val="20"/>
              </w:rPr>
              <w:t></w:t>
            </w:r>
            <w:r>
              <w:rPr>
                <w:rFonts w:ascii="Times New Roman" w:hAnsi="Times New Roman" w:eastAsia="宋体" w:cs="Times New Roman"/>
                <w:iCs/>
                <w:sz w:val="20"/>
                <w:szCs w:val="20"/>
              </w:rPr>
              <w:t xml:space="preserve"> (8-13 μm)</w:t>
            </w:r>
          </w:p>
        </w:tc>
      </w:tr>
      <w:tr w14:paraId="7B212354">
        <w:tblPrEx>
          <w:tblCellMar>
            <w:top w:w="0" w:type="dxa"/>
            <w:left w:w="0" w:type="dxa"/>
            <w:bottom w:w="0" w:type="dxa"/>
            <w:right w:w="0" w:type="dxa"/>
          </w:tblCellMar>
        </w:tblPrEx>
        <w:trPr>
          <w:trHeight w:val="342" w:hRule="atLeast"/>
        </w:trPr>
        <w:tc>
          <w:tcPr>
            <w:tcW w:w="3757" w:type="dxa"/>
            <w:vMerge w:val="continue"/>
            <w:tcBorders>
              <w:left w:val="nil"/>
              <w:bottom w:val="nil"/>
              <w:right w:val="nil"/>
            </w:tcBorders>
            <w:shd w:val="clear" w:color="auto" w:fill="auto"/>
            <w:noWrap/>
            <w:vAlign w:val="center"/>
          </w:tcPr>
          <w:p w14:paraId="6723A744">
            <w:pPr>
              <w:tabs>
                <w:tab w:val="left" w:pos="567"/>
              </w:tabs>
              <w:adjustRightInd w:val="0"/>
              <w:spacing w:line="360" w:lineRule="auto"/>
              <w:jc w:val="left"/>
              <w:rPr>
                <w:sz w:val="20"/>
                <w:szCs w:val="20"/>
              </w:rPr>
            </w:pPr>
          </w:p>
        </w:tc>
        <w:tc>
          <w:tcPr>
            <w:tcW w:w="1108" w:type="dxa"/>
            <w:vMerge w:val="continue"/>
            <w:tcBorders>
              <w:left w:val="nil"/>
              <w:right w:val="nil"/>
            </w:tcBorders>
            <w:shd w:val="clear" w:color="auto" w:fill="auto"/>
            <w:noWrap/>
            <w:vAlign w:val="center"/>
          </w:tcPr>
          <w:p w14:paraId="0642C27E">
            <w:pPr>
              <w:tabs>
                <w:tab w:val="left" w:pos="567"/>
              </w:tabs>
              <w:adjustRightInd w:val="0"/>
              <w:spacing w:line="360" w:lineRule="auto"/>
              <w:jc w:val="left"/>
              <w:rPr>
                <w:sz w:val="20"/>
                <w:szCs w:val="20"/>
              </w:rPr>
            </w:pPr>
          </w:p>
        </w:tc>
        <w:tc>
          <w:tcPr>
            <w:tcW w:w="1247" w:type="dxa"/>
            <w:vMerge w:val="continue"/>
            <w:tcBorders>
              <w:left w:val="nil"/>
              <w:right w:val="nil"/>
            </w:tcBorders>
            <w:shd w:val="clear" w:color="auto" w:fill="auto"/>
            <w:noWrap/>
            <w:vAlign w:val="center"/>
          </w:tcPr>
          <w:p w14:paraId="6275B616">
            <w:pPr>
              <w:tabs>
                <w:tab w:val="left" w:pos="567"/>
              </w:tabs>
              <w:adjustRightInd w:val="0"/>
              <w:spacing w:line="360" w:lineRule="auto"/>
              <w:jc w:val="left"/>
              <w:rPr>
                <w:sz w:val="20"/>
                <w:szCs w:val="20"/>
              </w:rPr>
            </w:pPr>
          </w:p>
        </w:tc>
        <w:tc>
          <w:tcPr>
            <w:tcW w:w="2178" w:type="dxa"/>
            <w:tcBorders>
              <w:top w:val="single" w:color="auto" w:sz="4" w:space="0"/>
              <w:left w:val="nil"/>
              <w:right w:val="nil"/>
            </w:tcBorders>
            <w:shd w:val="clear" w:color="auto" w:fill="auto"/>
            <w:noWrap/>
            <w:vAlign w:val="center"/>
          </w:tcPr>
          <w:p w14:paraId="5258C85A">
            <w:pPr>
              <w:tabs>
                <w:tab w:val="left" w:pos="567"/>
              </w:tabs>
              <w:adjustRightInd w:val="0"/>
              <w:spacing w:line="360" w:lineRule="auto"/>
              <w:jc w:val="left"/>
              <w:rPr>
                <w:rFonts w:ascii="Times New Roman" w:hAnsi="Times New Roman" w:eastAsia="宋体" w:cs="Times New Roman"/>
                <w:iCs/>
                <w:sz w:val="20"/>
                <w:szCs w:val="20"/>
              </w:rPr>
            </w:pPr>
            <w:r>
              <w:rPr>
                <w:rFonts w:hint="eastAsia" w:ascii="Times New Roman" w:hAnsi="Times New Roman" w:eastAsia="宋体" w:cs="Times New Roman"/>
                <w:sz w:val="20"/>
                <w:szCs w:val="20"/>
              </w:rPr>
              <w:t>N</w:t>
            </w:r>
            <w:r>
              <w:rPr>
                <w:rFonts w:ascii="Times New Roman" w:hAnsi="Times New Roman" w:eastAsia="宋体" w:cs="Times New Roman"/>
                <w:sz w:val="20"/>
                <w:szCs w:val="20"/>
              </w:rPr>
              <w:t>ormal direction</w:t>
            </w:r>
          </w:p>
        </w:tc>
        <w:tc>
          <w:tcPr>
            <w:tcW w:w="2128" w:type="dxa"/>
            <w:tcBorders>
              <w:top w:val="single" w:color="auto" w:sz="4" w:space="0"/>
              <w:left w:val="nil"/>
              <w:right w:val="nil"/>
            </w:tcBorders>
            <w:shd w:val="clear" w:color="auto" w:fill="auto"/>
            <w:noWrap/>
            <w:vAlign w:val="center"/>
          </w:tcPr>
          <w:p w14:paraId="7EBB7821">
            <w:pPr>
              <w:tabs>
                <w:tab w:val="left" w:pos="567"/>
              </w:tabs>
              <w:adjustRightInd w:val="0"/>
              <w:spacing w:line="360" w:lineRule="auto"/>
              <w:jc w:val="left"/>
              <w:rPr>
                <w:rFonts w:ascii="Times New Roman" w:hAnsi="Times New Roman" w:eastAsia="宋体" w:cs="Times New Roman"/>
                <w:iCs/>
                <w:sz w:val="20"/>
                <w:szCs w:val="20"/>
              </w:rPr>
            </w:pPr>
            <w:r>
              <w:rPr>
                <w:rFonts w:ascii="Times New Roman" w:hAnsi="Times New Roman" w:eastAsia="宋体" w:cs="Times New Roman"/>
                <w:sz w:val="20"/>
                <w:szCs w:val="20"/>
              </w:rPr>
              <w:t>Spherical</w:t>
            </w:r>
            <w:r>
              <w:rPr>
                <w:rFonts w:hint="eastAsia" w:ascii="Times New Roman" w:hAnsi="Times New Roman" w:eastAsia="宋体" w:cs="Times New Roman"/>
                <w:sz w:val="20"/>
                <w:szCs w:val="20"/>
              </w:rPr>
              <w:t xml:space="preserve"> average</w:t>
            </w:r>
          </w:p>
        </w:tc>
      </w:tr>
      <w:tr w14:paraId="6E609CD3">
        <w:tblPrEx>
          <w:tblCellMar>
            <w:top w:w="0" w:type="dxa"/>
            <w:left w:w="0" w:type="dxa"/>
            <w:bottom w:w="0" w:type="dxa"/>
            <w:right w:w="0" w:type="dxa"/>
          </w:tblCellMar>
        </w:tblPrEx>
        <w:trPr>
          <w:trHeight w:val="342" w:hRule="atLeast"/>
        </w:trPr>
        <w:tc>
          <w:tcPr>
            <w:tcW w:w="3757" w:type="dxa"/>
            <w:tcBorders>
              <w:top w:val="single" w:color="auto" w:sz="4" w:space="0"/>
              <w:left w:val="nil"/>
              <w:bottom w:val="nil"/>
              <w:right w:val="nil"/>
            </w:tcBorders>
            <w:shd w:val="clear" w:color="auto" w:fill="auto"/>
            <w:vAlign w:val="center"/>
          </w:tcPr>
          <w:p w14:paraId="6EAB62FF">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7.5 Ω AgNW/PET</w:t>
            </w:r>
          </w:p>
        </w:tc>
        <w:tc>
          <w:tcPr>
            <w:tcW w:w="1108" w:type="dxa"/>
            <w:tcBorders>
              <w:top w:val="single" w:color="auto" w:sz="4" w:space="0"/>
              <w:left w:val="nil"/>
              <w:bottom w:val="nil"/>
              <w:right w:val="nil"/>
            </w:tcBorders>
            <w:shd w:val="clear" w:color="auto" w:fill="auto"/>
            <w:noWrap/>
            <w:vAlign w:val="center"/>
          </w:tcPr>
          <w:p w14:paraId="761A3F3A">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0.75</w:t>
            </w:r>
          </w:p>
        </w:tc>
        <w:tc>
          <w:tcPr>
            <w:tcW w:w="1247" w:type="dxa"/>
            <w:tcBorders>
              <w:top w:val="single" w:color="auto" w:sz="4" w:space="0"/>
              <w:left w:val="nil"/>
              <w:bottom w:val="nil"/>
              <w:right w:val="nil"/>
            </w:tcBorders>
            <w:shd w:val="clear" w:color="auto" w:fill="auto"/>
            <w:noWrap/>
            <w:vAlign w:val="center"/>
          </w:tcPr>
          <w:p w14:paraId="022B3689">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0.80</w:t>
            </w:r>
          </w:p>
        </w:tc>
        <w:tc>
          <w:tcPr>
            <w:tcW w:w="2178" w:type="dxa"/>
            <w:tcBorders>
              <w:top w:val="single" w:color="auto" w:sz="4" w:space="0"/>
              <w:left w:val="nil"/>
              <w:bottom w:val="nil"/>
              <w:right w:val="nil"/>
            </w:tcBorders>
            <w:shd w:val="clear" w:color="auto" w:fill="auto"/>
            <w:noWrap/>
            <w:vAlign w:val="center"/>
          </w:tcPr>
          <w:p w14:paraId="494381F7">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0.24</w:t>
            </w:r>
          </w:p>
        </w:tc>
        <w:tc>
          <w:tcPr>
            <w:tcW w:w="2128" w:type="dxa"/>
            <w:tcBorders>
              <w:top w:val="single" w:color="auto" w:sz="4" w:space="0"/>
              <w:left w:val="nil"/>
              <w:bottom w:val="nil"/>
              <w:right w:val="nil"/>
            </w:tcBorders>
            <w:shd w:val="clear" w:color="auto" w:fill="auto"/>
            <w:noWrap/>
            <w:vAlign w:val="center"/>
          </w:tcPr>
          <w:p w14:paraId="3A266A49">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0.173</w:t>
            </w:r>
          </w:p>
        </w:tc>
      </w:tr>
      <w:tr w14:paraId="17D5EDCD">
        <w:tblPrEx>
          <w:tblCellMar>
            <w:top w:w="0" w:type="dxa"/>
            <w:left w:w="0" w:type="dxa"/>
            <w:bottom w:w="0" w:type="dxa"/>
            <w:right w:w="0" w:type="dxa"/>
          </w:tblCellMar>
        </w:tblPrEx>
        <w:trPr>
          <w:trHeight w:val="336" w:hRule="atLeast"/>
        </w:trPr>
        <w:tc>
          <w:tcPr>
            <w:tcW w:w="3757" w:type="dxa"/>
            <w:tcBorders>
              <w:top w:val="nil"/>
              <w:left w:val="nil"/>
              <w:bottom w:val="nil"/>
              <w:right w:val="nil"/>
            </w:tcBorders>
            <w:shd w:val="clear" w:color="auto" w:fill="auto"/>
            <w:vAlign w:val="center"/>
          </w:tcPr>
          <w:p w14:paraId="3953C53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10 Ω AgNW/PET</w:t>
            </w:r>
          </w:p>
        </w:tc>
        <w:tc>
          <w:tcPr>
            <w:tcW w:w="1108" w:type="dxa"/>
            <w:tcBorders>
              <w:top w:val="nil"/>
              <w:left w:val="nil"/>
              <w:bottom w:val="nil"/>
              <w:right w:val="nil"/>
            </w:tcBorders>
            <w:shd w:val="clear" w:color="auto" w:fill="auto"/>
            <w:noWrap/>
            <w:vAlign w:val="center"/>
          </w:tcPr>
          <w:p w14:paraId="3E028BDF">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0.80</w:t>
            </w:r>
          </w:p>
        </w:tc>
        <w:tc>
          <w:tcPr>
            <w:tcW w:w="1247" w:type="dxa"/>
            <w:tcBorders>
              <w:top w:val="nil"/>
              <w:left w:val="nil"/>
              <w:bottom w:val="nil"/>
              <w:right w:val="nil"/>
            </w:tcBorders>
            <w:shd w:val="clear" w:color="auto" w:fill="auto"/>
            <w:noWrap/>
            <w:vAlign w:val="center"/>
          </w:tcPr>
          <w:p w14:paraId="24687BB2">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0.85</w:t>
            </w:r>
          </w:p>
        </w:tc>
        <w:tc>
          <w:tcPr>
            <w:tcW w:w="2178" w:type="dxa"/>
            <w:tcBorders>
              <w:top w:val="nil"/>
              <w:left w:val="nil"/>
              <w:bottom w:val="nil"/>
              <w:right w:val="nil"/>
            </w:tcBorders>
            <w:shd w:val="clear" w:color="auto" w:fill="auto"/>
            <w:noWrap/>
            <w:vAlign w:val="center"/>
          </w:tcPr>
          <w:p w14:paraId="2C885A49">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0.36</w:t>
            </w:r>
          </w:p>
        </w:tc>
        <w:tc>
          <w:tcPr>
            <w:tcW w:w="2128" w:type="dxa"/>
            <w:tcBorders>
              <w:top w:val="nil"/>
              <w:left w:val="nil"/>
              <w:bottom w:val="nil"/>
              <w:right w:val="nil"/>
            </w:tcBorders>
            <w:shd w:val="clear" w:color="auto" w:fill="auto"/>
            <w:noWrap/>
            <w:vAlign w:val="center"/>
          </w:tcPr>
          <w:p w14:paraId="351F279A">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0.256</w:t>
            </w:r>
          </w:p>
        </w:tc>
      </w:tr>
      <w:tr w14:paraId="6687B1AF">
        <w:tblPrEx>
          <w:tblCellMar>
            <w:top w:w="0" w:type="dxa"/>
            <w:left w:w="0" w:type="dxa"/>
            <w:bottom w:w="0" w:type="dxa"/>
            <w:right w:w="0" w:type="dxa"/>
          </w:tblCellMar>
        </w:tblPrEx>
        <w:trPr>
          <w:trHeight w:val="369" w:hRule="atLeast"/>
        </w:trPr>
        <w:tc>
          <w:tcPr>
            <w:tcW w:w="3757" w:type="dxa"/>
            <w:tcBorders>
              <w:top w:val="nil"/>
              <w:left w:val="nil"/>
              <w:bottom w:val="single" w:color="auto" w:sz="12" w:space="0"/>
              <w:right w:val="nil"/>
            </w:tcBorders>
            <w:shd w:val="clear" w:color="auto" w:fill="auto"/>
            <w:vAlign w:val="center"/>
          </w:tcPr>
          <w:p w14:paraId="2E34CE17">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w:t>
            </w:r>
            <w:r>
              <w:rPr>
                <w:rFonts w:ascii="Times New Roman" w:hAnsi="Times New Roman" w:cs="Times New Roman"/>
                <w:sz w:val="20"/>
                <w:szCs w:val="20"/>
              </w:rPr>
              <w:t>0</w:t>
            </w:r>
            <w:r>
              <w:rPr>
                <w:rFonts w:hint="eastAsia" w:ascii="Times New Roman" w:hAnsi="Times New Roman" w:cs="Times New Roman"/>
                <w:sz w:val="20"/>
                <w:szCs w:val="20"/>
              </w:rPr>
              <w:t>0</w:t>
            </w:r>
            <w:r>
              <w:rPr>
                <w:rFonts w:ascii="Times New Roman" w:hAnsi="Times New Roman" w:cs="Times New Roman"/>
                <w:sz w:val="20"/>
                <w:szCs w:val="20"/>
                <w:vertAlign w:val="subscript"/>
              </w:rPr>
              <w:t xml:space="preserve"> </w:t>
            </w:r>
            <w:r>
              <w:rPr>
                <w:rFonts w:ascii="Times New Roman" w:hAnsi="Times New Roman" w:cs="Times New Roman"/>
                <w:sz w:val="20"/>
                <w:szCs w:val="20"/>
              </w:rPr>
              <w:t>mm</w:t>
            </w:r>
            <w:r>
              <w:rPr>
                <w:rFonts w:hint="eastAsia" w:ascii="Times New Roman" w:hAnsi="Times New Roman" w:cs="Times New Roman"/>
                <w:sz w:val="20"/>
                <w:szCs w:val="20"/>
                <w:vertAlign w:val="subscript"/>
              </w:rPr>
              <w:t xml:space="preserve"> </w:t>
            </w:r>
            <w:r>
              <w:rPr>
                <w:rFonts w:hint="eastAsia" w:ascii="Times New Roman" w:hAnsi="Times New Roman" w:cs="Times New Roman"/>
                <w:sz w:val="20"/>
                <w:szCs w:val="20"/>
              </w:rPr>
              <w:t>PDMS</w:t>
            </w:r>
            <w:r>
              <w:rPr>
                <w:rFonts w:hint="eastAsia" w:ascii="Times New Roman" w:hAnsi="Times New Roman" w:cs="Times New Roman"/>
                <w:sz w:val="20"/>
                <w:szCs w:val="20"/>
                <w:vertAlign w:val="subscript"/>
              </w:rPr>
              <w:t xml:space="preserve"> </w:t>
            </w:r>
            <w:r>
              <w:rPr>
                <w:rFonts w:hint="eastAsia" w:ascii="Times New Roman" w:hAnsi="Times New Roman" w:cs="Times New Roman"/>
                <w:sz w:val="20"/>
                <w:szCs w:val="20"/>
              </w:rPr>
              <w:t>-</w:t>
            </w:r>
            <w:r>
              <w:rPr>
                <w:rFonts w:hint="eastAsia" w:ascii="Times New Roman" w:hAnsi="Times New Roman" w:cs="Times New Roman"/>
                <w:sz w:val="20"/>
                <w:szCs w:val="20"/>
                <w:vertAlign w:val="subscript"/>
              </w:rPr>
              <w:t xml:space="preserve"> </w:t>
            </w:r>
            <w:r>
              <w:rPr>
                <w:rFonts w:hint="eastAsia" w:ascii="Times New Roman" w:hAnsi="Times New Roman" w:cs="Times New Roman"/>
                <w:sz w:val="20"/>
                <w:szCs w:val="20"/>
              </w:rPr>
              <w:t>3</w:t>
            </w:r>
            <w:r>
              <w:rPr>
                <w:rFonts w:hint="eastAsia" w:ascii="Times New Roman" w:hAnsi="Times New Roman" w:cs="Times New Roman"/>
                <w:sz w:val="20"/>
                <w:szCs w:val="20"/>
                <w:vertAlign w:val="subscript"/>
              </w:rPr>
              <w:t xml:space="preserve"> </w:t>
            </w:r>
            <w:r>
              <w:rPr>
                <w:rFonts w:hint="eastAsia" w:ascii="Times New Roman" w:hAnsi="Times New Roman" w:cs="Times New Roman"/>
                <w:sz w:val="20"/>
                <w:szCs w:val="20"/>
              </w:rPr>
              <w:t>mm</w:t>
            </w:r>
            <w:r>
              <w:rPr>
                <w:rFonts w:hint="eastAsia" w:ascii="Times New Roman" w:hAnsi="Times New Roman" w:cs="Times New Roman"/>
                <w:sz w:val="20"/>
                <w:szCs w:val="20"/>
                <w:vertAlign w:val="subscript"/>
              </w:rPr>
              <w:t xml:space="preserve"> </w:t>
            </w:r>
            <w:r>
              <w:rPr>
                <w:rFonts w:hint="eastAsia" w:ascii="Times New Roman" w:hAnsi="Times New Roman" w:cs="Times New Roman"/>
                <w:sz w:val="20"/>
                <w:szCs w:val="20"/>
              </w:rPr>
              <w:t>SiO</w:t>
            </w:r>
            <w:r>
              <w:rPr>
                <w:rFonts w:hint="eastAsia" w:ascii="Times New Roman" w:hAnsi="Times New Roman" w:cs="Times New Roman"/>
                <w:sz w:val="20"/>
                <w:szCs w:val="20"/>
                <w:vertAlign w:val="subscript"/>
              </w:rPr>
              <w:t>2</w:t>
            </w:r>
          </w:p>
        </w:tc>
        <w:tc>
          <w:tcPr>
            <w:tcW w:w="1108" w:type="dxa"/>
            <w:tcBorders>
              <w:top w:val="nil"/>
              <w:left w:val="nil"/>
              <w:bottom w:val="single" w:color="auto" w:sz="12" w:space="0"/>
              <w:right w:val="nil"/>
            </w:tcBorders>
            <w:shd w:val="clear" w:color="auto" w:fill="auto"/>
            <w:noWrap/>
            <w:vAlign w:val="center"/>
          </w:tcPr>
          <w:p w14:paraId="7FC31516">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0.94</w:t>
            </w:r>
          </w:p>
        </w:tc>
        <w:tc>
          <w:tcPr>
            <w:tcW w:w="1247" w:type="dxa"/>
            <w:tcBorders>
              <w:top w:val="nil"/>
              <w:left w:val="nil"/>
              <w:bottom w:val="single" w:color="auto" w:sz="12" w:space="0"/>
              <w:right w:val="nil"/>
            </w:tcBorders>
            <w:shd w:val="clear" w:color="auto" w:fill="auto"/>
            <w:noWrap/>
            <w:vAlign w:val="center"/>
          </w:tcPr>
          <w:p w14:paraId="277C093E">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0.94</w:t>
            </w:r>
          </w:p>
        </w:tc>
        <w:tc>
          <w:tcPr>
            <w:tcW w:w="2178" w:type="dxa"/>
            <w:tcBorders>
              <w:top w:val="nil"/>
              <w:left w:val="nil"/>
              <w:bottom w:val="single" w:color="auto" w:sz="12" w:space="0"/>
              <w:right w:val="nil"/>
            </w:tcBorders>
            <w:shd w:val="clear" w:color="auto" w:fill="auto"/>
            <w:noWrap/>
            <w:vAlign w:val="center"/>
          </w:tcPr>
          <w:p w14:paraId="0270B146">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0.94</w:t>
            </w:r>
          </w:p>
        </w:tc>
        <w:tc>
          <w:tcPr>
            <w:tcW w:w="2128" w:type="dxa"/>
            <w:tcBorders>
              <w:top w:val="nil"/>
              <w:left w:val="nil"/>
              <w:bottom w:val="single" w:color="auto" w:sz="12" w:space="0"/>
              <w:right w:val="nil"/>
            </w:tcBorders>
            <w:shd w:val="clear" w:color="auto" w:fill="auto"/>
            <w:noWrap/>
            <w:vAlign w:val="center"/>
          </w:tcPr>
          <w:p w14:paraId="7DEA5F4D">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0.804</w:t>
            </w:r>
          </w:p>
        </w:tc>
      </w:tr>
    </w:tbl>
    <w:p w14:paraId="30128382">
      <w:pPr>
        <w:tabs>
          <w:tab w:val="left" w:pos="567"/>
        </w:tabs>
        <w:spacing w:before="1660" w:beforeLines="500" w:after="332" w:afterLines="100" w:line="360" w:lineRule="auto"/>
        <w:rPr>
          <w:rFonts w:ascii="Times New Roman" w:hAnsi="Times New Roman" w:cs="Times New Roman"/>
          <w:sz w:val="24"/>
        </w:rPr>
      </w:pPr>
      <w:r>
        <w:rPr>
          <w:rFonts w:ascii="Times New Roman" w:hAnsi="Times New Roman" w:cs="Times New Roman"/>
          <w:b/>
          <w:bCs/>
          <w:iCs/>
          <w:sz w:val="24"/>
        </w:rPr>
        <w:t xml:space="preserve">Table </w:t>
      </w:r>
      <w:r>
        <w:rPr>
          <w:rFonts w:hint="eastAsia" w:ascii="Times New Roman" w:hAnsi="Times New Roman" w:cs="Times New Roman"/>
          <w:b/>
          <w:bCs/>
          <w:iCs/>
          <w:sz w:val="24"/>
        </w:rPr>
        <w:t>S6</w:t>
      </w:r>
      <w:r>
        <w:rPr>
          <w:rFonts w:ascii="Times New Roman" w:hAnsi="Times New Roman" w:cs="Times New Roman"/>
          <w:sz w:val="24"/>
        </w:rPr>
        <w:t xml:space="preserve"> </w:t>
      </w:r>
      <w:r>
        <w:rPr>
          <w:rFonts w:hint="eastAsia" w:ascii="Times New Roman" w:hAnsi="Times New Roman" w:cs="Times New Roman"/>
          <w:sz w:val="24"/>
        </w:rPr>
        <w:t>Optical parameters of the JD window</w:t>
      </w:r>
    </w:p>
    <w:tbl>
      <w:tblPr>
        <w:tblStyle w:val="7"/>
        <w:tblW w:w="104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4"/>
        <w:gridCol w:w="1231"/>
        <w:gridCol w:w="1217"/>
        <w:gridCol w:w="1223"/>
        <w:gridCol w:w="1221"/>
        <w:gridCol w:w="1207"/>
        <w:gridCol w:w="1204"/>
      </w:tblGrid>
      <w:tr w14:paraId="0C96D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3114" w:type="dxa"/>
            <w:vMerge w:val="restart"/>
            <w:tcBorders>
              <w:top w:val="single" w:color="000000" w:sz="12" w:space="0"/>
              <w:left w:val="nil"/>
              <w:bottom w:val="nil"/>
              <w:right w:val="nil"/>
            </w:tcBorders>
            <w:vAlign w:val="center"/>
          </w:tcPr>
          <w:p w14:paraId="117290EE">
            <w:pPr>
              <w:tabs>
                <w:tab w:val="left" w:pos="567"/>
              </w:tabs>
              <w:jc w:val="left"/>
              <w:rPr>
                <w:rFonts w:ascii="Times New Roman" w:hAnsi="Times New Roman" w:cs="Times New Roman"/>
                <w:sz w:val="20"/>
                <w:szCs w:val="20"/>
              </w:rPr>
            </w:pPr>
            <w:r>
              <w:rPr>
                <w:rFonts w:hint="eastAsia" w:ascii="Times New Roman" w:hAnsi="Times New Roman" w:cs="Times New Roman"/>
                <w:sz w:val="20"/>
                <w:szCs w:val="20"/>
              </w:rPr>
              <w:t>Windows</w:t>
            </w:r>
          </w:p>
        </w:tc>
        <w:tc>
          <w:tcPr>
            <w:tcW w:w="1231" w:type="dxa"/>
            <w:vMerge w:val="restart"/>
            <w:tcBorders>
              <w:top w:val="single" w:color="000000" w:sz="12" w:space="0"/>
              <w:left w:val="nil"/>
              <w:bottom w:val="nil"/>
              <w:right w:val="nil"/>
            </w:tcBorders>
            <w:vAlign w:val="center"/>
          </w:tcPr>
          <w:p w14:paraId="38C14D7A">
            <w:pPr>
              <w:tabs>
                <w:tab w:val="left" w:pos="567"/>
              </w:tabs>
              <w:jc w:val="left"/>
              <w:rPr>
                <w:rFonts w:ascii="Times New Roman" w:hAnsi="Times New Roman" w:cs="Times New Roman"/>
                <w:sz w:val="20"/>
                <w:szCs w:val="20"/>
              </w:rPr>
            </w:pPr>
            <w:r>
              <w:rPr>
                <w:rFonts w:ascii="Times New Roman" w:hAnsi="Times New Roman" w:eastAsia="宋体" w:cs="Times New Roman"/>
                <w:b/>
                <w:bCs/>
                <w:i/>
                <w:sz w:val="20"/>
                <w:szCs w:val="20"/>
              </w:rPr>
              <w:t>T</w:t>
            </w:r>
            <w:r>
              <w:rPr>
                <w:rFonts w:ascii="Times New Roman" w:hAnsi="Times New Roman" w:eastAsia="宋体" w:cs="Times New Roman"/>
                <w:b/>
                <w:bCs/>
                <w:sz w:val="20"/>
                <w:szCs w:val="20"/>
                <w:vertAlign w:val="subscript"/>
              </w:rPr>
              <w:t>lum</w:t>
            </w:r>
          </w:p>
        </w:tc>
        <w:tc>
          <w:tcPr>
            <w:tcW w:w="1217" w:type="dxa"/>
            <w:vMerge w:val="restart"/>
            <w:tcBorders>
              <w:top w:val="single" w:color="000000" w:sz="12" w:space="0"/>
              <w:left w:val="nil"/>
              <w:bottom w:val="nil"/>
              <w:right w:val="nil"/>
            </w:tcBorders>
            <w:vAlign w:val="center"/>
          </w:tcPr>
          <w:p w14:paraId="1B5527DB">
            <w:pPr>
              <w:tabs>
                <w:tab w:val="left" w:pos="567"/>
              </w:tabs>
              <w:jc w:val="left"/>
              <w:rPr>
                <w:rFonts w:ascii="Times New Roman" w:hAnsi="Times New Roman" w:cs="Times New Roman"/>
                <w:sz w:val="20"/>
                <w:szCs w:val="20"/>
              </w:rPr>
            </w:pPr>
            <w:r>
              <w:rPr>
                <w:rFonts w:ascii="Times New Roman" w:hAnsi="Times New Roman" w:eastAsia="宋体" w:cs="Times New Roman"/>
                <w:b/>
                <w:bCs/>
                <w:i/>
                <w:sz w:val="20"/>
                <w:szCs w:val="20"/>
              </w:rPr>
              <w:t>T</w:t>
            </w:r>
            <w:r>
              <w:rPr>
                <w:rFonts w:ascii="Times New Roman" w:hAnsi="Times New Roman" w:eastAsia="宋体" w:cs="Times New Roman"/>
                <w:b/>
                <w:bCs/>
                <w:sz w:val="20"/>
                <w:szCs w:val="20"/>
                <w:vertAlign w:val="subscript"/>
              </w:rPr>
              <w:t>sol</w:t>
            </w:r>
          </w:p>
        </w:tc>
        <w:tc>
          <w:tcPr>
            <w:tcW w:w="1223" w:type="dxa"/>
            <w:vMerge w:val="restart"/>
            <w:tcBorders>
              <w:top w:val="single" w:color="000000" w:sz="12" w:space="0"/>
              <w:left w:val="nil"/>
              <w:bottom w:val="nil"/>
              <w:right w:val="nil"/>
            </w:tcBorders>
            <w:vAlign w:val="center"/>
          </w:tcPr>
          <w:p w14:paraId="5D2A4087">
            <w:pPr>
              <w:tabs>
                <w:tab w:val="left" w:pos="567"/>
              </w:tabs>
              <w:jc w:val="left"/>
              <w:rPr>
                <w:rFonts w:ascii="Times New Roman" w:hAnsi="Times New Roman" w:cs="Times New Roman"/>
                <w:sz w:val="20"/>
                <w:szCs w:val="20"/>
              </w:rPr>
            </w:pPr>
            <w:r>
              <w:rPr>
                <w:rFonts w:hint="eastAsia" w:ascii="Times New Roman" w:hAnsi="Times New Roman" w:cs="Times New Roman"/>
                <w:sz w:val="20"/>
                <w:szCs w:val="20"/>
              </w:rPr>
              <w:t>CRI</w:t>
            </w:r>
          </w:p>
        </w:tc>
        <w:tc>
          <w:tcPr>
            <w:tcW w:w="3632" w:type="dxa"/>
            <w:gridSpan w:val="3"/>
            <w:tcBorders>
              <w:top w:val="single" w:color="000000" w:sz="12" w:space="0"/>
              <w:left w:val="nil"/>
              <w:bottom w:val="single" w:color="000000" w:sz="4" w:space="0"/>
              <w:right w:val="nil"/>
            </w:tcBorders>
            <w:vAlign w:val="center"/>
          </w:tcPr>
          <w:p w14:paraId="2DF37AB9">
            <w:pPr>
              <w:tabs>
                <w:tab w:val="left" w:pos="567"/>
              </w:tabs>
              <w:jc w:val="left"/>
              <w:rPr>
                <w:rFonts w:ascii="Times New Roman" w:hAnsi="Times New Roman" w:cs="Times New Roman"/>
                <w:sz w:val="20"/>
                <w:szCs w:val="20"/>
              </w:rPr>
            </w:pPr>
            <w:r>
              <w:rPr>
                <w:rFonts w:hint="eastAsia" w:ascii="Times New Roman" w:hAnsi="Times New Roman" w:cs="Times New Roman"/>
                <w:sz w:val="20"/>
                <w:szCs w:val="20"/>
              </w:rPr>
              <w:t>LAB chromaticity coordinates</w:t>
            </w:r>
          </w:p>
        </w:tc>
      </w:tr>
      <w:tr w14:paraId="1572A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3114" w:type="dxa"/>
            <w:vMerge w:val="continue"/>
            <w:tcBorders>
              <w:top w:val="nil"/>
              <w:left w:val="nil"/>
              <w:bottom w:val="single" w:color="000000" w:sz="4" w:space="0"/>
              <w:right w:val="nil"/>
            </w:tcBorders>
            <w:vAlign w:val="center"/>
          </w:tcPr>
          <w:p w14:paraId="5CBBA56D">
            <w:pPr>
              <w:tabs>
                <w:tab w:val="left" w:pos="567"/>
              </w:tabs>
              <w:jc w:val="left"/>
              <w:rPr>
                <w:sz w:val="20"/>
                <w:szCs w:val="20"/>
              </w:rPr>
            </w:pPr>
          </w:p>
        </w:tc>
        <w:tc>
          <w:tcPr>
            <w:tcW w:w="1231" w:type="dxa"/>
            <w:vMerge w:val="continue"/>
            <w:tcBorders>
              <w:top w:val="nil"/>
              <w:left w:val="nil"/>
              <w:bottom w:val="single" w:color="000000" w:sz="4" w:space="0"/>
              <w:right w:val="nil"/>
            </w:tcBorders>
            <w:vAlign w:val="center"/>
          </w:tcPr>
          <w:p w14:paraId="280B4CEB">
            <w:pPr>
              <w:tabs>
                <w:tab w:val="left" w:pos="567"/>
              </w:tabs>
              <w:jc w:val="left"/>
              <w:rPr>
                <w:sz w:val="20"/>
                <w:szCs w:val="20"/>
              </w:rPr>
            </w:pPr>
          </w:p>
        </w:tc>
        <w:tc>
          <w:tcPr>
            <w:tcW w:w="1217" w:type="dxa"/>
            <w:vMerge w:val="continue"/>
            <w:tcBorders>
              <w:top w:val="nil"/>
              <w:left w:val="nil"/>
              <w:bottom w:val="single" w:color="000000" w:sz="4" w:space="0"/>
              <w:right w:val="nil"/>
            </w:tcBorders>
            <w:vAlign w:val="center"/>
          </w:tcPr>
          <w:p w14:paraId="6DE21CA1">
            <w:pPr>
              <w:tabs>
                <w:tab w:val="left" w:pos="567"/>
              </w:tabs>
              <w:jc w:val="left"/>
              <w:rPr>
                <w:sz w:val="20"/>
                <w:szCs w:val="20"/>
              </w:rPr>
            </w:pPr>
          </w:p>
        </w:tc>
        <w:tc>
          <w:tcPr>
            <w:tcW w:w="1223" w:type="dxa"/>
            <w:vMerge w:val="continue"/>
            <w:tcBorders>
              <w:top w:val="nil"/>
              <w:left w:val="nil"/>
              <w:bottom w:val="single" w:color="000000" w:sz="4" w:space="0"/>
              <w:right w:val="nil"/>
            </w:tcBorders>
            <w:vAlign w:val="center"/>
          </w:tcPr>
          <w:p w14:paraId="132F3F41">
            <w:pPr>
              <w:tabs>
                <w:tab w:val="left" w:pos="567"/>
              </w:tabs>
              <w:jc w:val="left"/>
              <w:rPr>
                <w:sz w:val="20"/>
                <w:szCs w:val="20"/>
              </w:rPr>
            </w:pPr>
          </w:p>
        </w:tc>
        <w:tc>
          <w:tcPr>
            <w:tcW w:w="1221" w:type="dxa"/>
            <w:tcBorders>
              <w:top w:val="single" w:color="000000" w:sz="4" w:space="0"/>
              <w:left w:val="nil"/>
              <w:bottom w:val="single" w:color="000000" w:sz="4" w:space="0"/>
              <w:right w:val="nil"/>
            </w:tcBorders>
            <w:vAlign w:val="center"/>
          </w:tcPr>
          <w:p w14:paraId="23F08907">
            <w:pPr>
              <w:tabs>
                <w:tab w:val="left" w:pos="567"/>
              </w:tabs>
              <w:jc w:val="left"/>
              <w:rPr>
                <w:rFonts w:ascii="Times New Roman" w:hAnsi="Times New Roman" w:cs="Times New Roman"/>
                <w:sz w:val="20"/>
                <w:szCs w:val="20"/>
              </w:rPr>
            </w:pPr>
            <w:r>
              <w:rPr>
                <w:rFonts w:hint="eastAsia" w:ascii="Times New Roman" w:hAnsi="Times New Roman" w:cs="Times New Roman"/>
                <w:sz w:val="20"/>
                <w:szCs w:val="20"/>
              </w:rPr>
              <w:t>L*</w:t>
            </w:r>
          </w:p>
        </w:tc>
        <w:tc>
          <w:tcPr>
            <w:tcW w:w="1207" w:type="dxa"/>
            <w:tcBorders>
              <w:top w:val="single" w:color="000000" w:sz="4" w:space="0"/>
              <w:left w:val="nil"/>
              <w:bottom w:val="single" w:color="000000" w:sz="4" w:space="0"/>
              <w:right w:val="nil"/>
            </w:tcBorders>
            <w:vAlign w:val="center"/>
          </w:tcPr>
          <w:p w14:paraId="3C927ED7">
            <w:pPr>
              <w:tabs>
                <w:tab w:val="left" w:pos="567"/>
              </w:tabs>
              <w:jc w:val="left"/>
              <w:rPr>
                <w:rFonts w:ascii="Times New Roman" w:hAnsi="Times New Roman" w:cs="Times New Roman"/>
                <w:sz w:val="20"/>
                <w:szCs w:val="20"/>
              </w:rPr>
            </w:pPr>
            <w:r>
              <w:rPr>
                <w:rFonts w:hint="eastAsia" w:ascii="Times New Roman" w:hAnsi="Times New Roman" w:cs="Times New Roman"/>
                <w:sz w:val="20"/>
                <w:szCs w:val="20"/>
              </w:rPr>
              <w:t>a*</w:t>
            </w:r>
          </w:p>
        </w:tc>
        <w:tc>
          <w:tcPr>
            <w:tcW w:w="1204" w:type="dxa"/>
            <w:tcBorders>
              <w:top w:val="single" w:color="000000" w:sz="4" w:space="0"/>
              <w:left w:val="nil"/>
              <w:bottom w:val="single" w:color="000000" w:sz="4" w:space="0"/>
              <w:right w:val="nil"/>
            </w:tcBorders>
            <w:vAlign w:val="center"/>
          </w:tcPr>
          <w:p w14:paraId="5AC5DAD5">
            <w:pPr>
              <w:tabs>
                <w:tab w:val="left" w:pos="567"/>
              </w:tabs>
              <w:jc w:val="left"/>
              <w:rPr>
                <w:rFonts w:ascii="Times New Roman" w:hAnsi="Times New Roman" w:cs="Times New Roman"/>
                <w:sz w:val="20"/>
                <w:szCs w:val="20"/>
              </w:rPr>
            </w:pPr>
            <w:r>
              <w:rPr>
                <w:rFonts w:hint="eastAsia" w:ascii="Times New Roman" w:hAnsi="Times New Roman" w:cs="Times New Roman"/>
                <w:sz w:val="20"/>
                <w:szCs w:val="20"/>
              </w:rPr>
              <w:t>b*</w:t>
            </w:r>
          </w:p>
        </w:tc>
      </w:tr>
      <w:tr w14:paraId="0DE9C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3114" w:type="dxa"/>
            <w:tcBorders>
              <w:top w:val="single" w:color="000000" w:sz="4" w:space="0"/>
              <w:left w:val="nil"/>
              <w:bottom w:val="nil"/>
              <w:right w:val="nil"/>
            </w:tcBorders>
            <w:vAlign w:val="center"/>
          </w:tcPr>
          <w:p w14:paraId="2D11809A">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Case 1 in heating mode</w:t>
            </w:r>
          </w:p>
        </w:tc>
        <w:tc>
          <w:tcPr>
            <w:tcW w:w="1231" w:type="dxa"/>
            <w:tcBorders>
              <w:top w:val="single" w:color="000000" w:sz="4" w:space="0"/>
              <w:left w:val="nil"/>
              <w:bottom w:val="nil"/>
              <w:right w:val="nil"/>
            </w:tcBorders>
            <w:vAlign w:val="center"/>
          </w:tcPr>
          <w:p w14:paraId="0A171B70">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0.81</w:t>
            </w:r>
          </w:p>
        </w:tc>
        <w:tc>
          <w:tcPr>
            <w:tcW w:w="1217" w:type="dxa"/>
            <w:tcBorders>
              <w:top w:val="single" w:color="000000" w:sz="4" w:space="0"/>
              <w:left w:val="nil"/>
              <w:bottom w:val="nil"/>
              <w:right w:val="nil"/>
            </w:tcBorders>
            <w:vAlign w:val="center"/>
          </w:tcPr>
          <w:p w14:paraId="04D14B4E">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0.71</w:t>
            </w:r>
          </w:p>
        </w:tc>
        <w:tc>
          <w:tcPr>
            <w:tcW w:w="1223" w:type="dxa"/>
            <w:tcBorders>
              <w:top w:val="single" w:color="000000" w:sz="4" w:space="0"/>
              <w:left w:val="nil"/>
              <w:bottom w:val="nil"/>
              <w:right w:val="nil"/>
            </w:tcBorders>
            <w:vAlign w:val="center"/>
          </w:tcPr>
          <w:p w14:paraId="212FE4D8">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98</w:t>
            </w:r>
          </w:p>
        </w:tc>
        <w:tc>
          <w:tcPr>
            <w:tcW w:w="1221" w:type="dxa"/>
            <w:tcBorders>
              <w:top w:val="single" w:color="000000" w:sz="4" w:space="0"/>
              <w:left w:val="nil"/>
              <w:bottom w:val="nil"/>
              <w:right w:val="nil"/>
            </w:tcBorders>
            <w:vAlign w:val="center"/>
          </w:tcPr>
          <w:p w14:paraId="1CBE7EFB">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79.8</w:t>
            </w:r>
          </w:p>
        </w:tc>
        <w:tc>
          <w:tcPr>
            <w:tcW w:w="1207" w:type="dxa"/>
            <w:tcBorders>
              <w:top w:val="single" w:color="000000" w:sz="4" w:space="0"/>
              <w:left w:val="nil"/>
              <w:bottom w:val="nil"/>
              <w:right w:val="nil"/>
            </w:tcBorders>
            <w:vAlign w:val="center"/>
          </w:tcPr>
          <w:p w14:paraId="59D943AC">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-13.1</w:t>
            </w:r>
          </w:p>
        </w:tc>
        <w:tc>
          <w:tcPr>
            <w:tcW w:w="1204" w:type="dxa"/>
            <w:tcBorders>
              <w:top w:val="single" w:color="000000" w:sz="4" w:space="0"/>
              <w:left w:val="nil"/>
              <w:bottom w:val="nil"/>
              <w:right w:val="nil"/>
            </w:tcBorders>
            <w:vAlign w:val="center"/>
          </w:tcPr>
          <w:p w14:paraId="7E5426B9">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5.32</w:t>
            </w:r>
          </w:p>
        </w:tc>
      </w:tr>
      <w:tr w14:paraId="07602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3114" w:type="dxa"/>
            <w:tcBorders>
              <w:top w:val="nil"/>
              <w:left w:val="nil"/>
              <w:bottom w:val="nil"/>
              <w:right w:val="nil"/>
            </w:tcBorders>
            <w:vAlign w:val="center"/>
          </w:tcPr>
          <w:p w14:paraId="3B06FE25">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Case 1 in cooling mode</w:t>
            </w:r>
          </w:p>
        </w:tc>
        <w:tc>
          <w:tcPr>
            <w:tcW w:w="1231" w:type="dxa"/>
            <w:tcBorders>
              <w:top w:val="nil"/>
              <w:left w:val="nil"/>
              <w:bottom w:val="nil"/>
              <w:right w:val="nil"/>
            </w:tcBorders>
            <w:vAlign w:val="center"/>
          </w:tcPr>
          <w:p w14:paraId="66045825">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0.62</w:t>
            </w:r>
          </w:p>
        </w:tc>
        <w:tc>
          <w:tcPr>
            <w:tcW w:w="1217" w:type="dxa"/>
            <w:tcBorders>
              <w:top w:val="nil"/>
              <w:left w:val="nil"/>
              <w:bottom w:val="nil"/>
              <w:right w:val="nil"/>
            </w:tcBorders>
            <w:vAlign w:val="center"/>
          </w:tcPr>
          <w:p w14:paraId="31F355C4">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0.27</w:t>
            </w:r>
          </w:p>
        </w:tc>
        <w:tc>
          <w:tcPr>
            <w:tcW w:w="1223" w:type="dxa"/>
            <w:tcBorders>
              <w:top w:val="nil"/>
              <w:left w:val="nil"/>
              <w:bottom w:val="nil"/>
              <w:right w:val="nil"/>
            </w:tcBorders>
            <w:vAlign w:val="center"/>
          </w:tcPr>
          <w:p w14:paraId="17660897">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82</w:t>
            </w:r>
          </w:p>
        </w:tc>
        <w:tc>
          <w:tcPr>
            <w:tcW w:w="1221" w:type="dxa"/>
            <w:tcBorders>
              <w:top w:val="nil"/>
              <w:left w:val="nil"/>
              <w:bottom w:val="nil"/>
              <w:right w:val="nil"/>
            </w:tcBorders>
            <w:vAlign w:val="center"/>
          </w:tcPr>
          <w:p w14:paraId="2DBE4328">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90.2</w:t>
            </w:r>
          </w:p>
        </w:tc>
        <w:tc>
          <w:tcPr>
            <w:tcW w:w="1207" w:type="dxa"/>
            <w:tcBorders>
              <w:top w:val="nil"/>
              <w:left w:val="nil"/>
              <w:bottom w:val="nil"/>
              <w:right w:val="nil"/>
            </w:tcBorders>
            <w:vAlign w:val="center"/>
          </w:tcPr>
          <w:p w14:paraId="2BBED734">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-1.58</w:t>
            </w:r>
          </w:p>
        </w:tc>
        <w:tc>
          <w:tcPr>
            <w:tcW w:w="1204" w:type="dxa"/>
            <w:tcBorders>
              <w:top w:val="nil"/>
              <w:left w:val="nil"/>
              <w:bottom w:val="nil"/>
              <w:right w:val="nil"/>
            </w:tcBorders>
            <w:vAlign w:val="center"/>
          </w:tcPr>
          <w:p w14:paraId="109D4B23">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8.86</w:t>
            </w:r>
          </w:p>
        </w:tc>
      </w:tr>
      <w:tr w14:paraId="3F652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3114" w:type="dxa"/>
            <w:tcBorders>
              <w:top w:val="nil"/>
              <w:left w:val="nil"/>
              <w:bottom w:val="nil"/>
              <w:right w:val="nil"/>
            </w:tcBorders>
            <w:vAlign w:val="center"/>
          </w:tcPr>
          <w:p w14:paraId="0B89AFA0">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Case 2 in heating mode</w:t>
            </w:r>
          </w:p>
        </w:tc>
        <w:tc>
          <w:tcPr>
            <w:tcW w:w="1231" w:type="dxa"/>
            <w:tcBorders>
              <w:top w:val="nil"/>
              <w:left w:val="nil"/>
              <w:bottom w:val="nil"/>
              <w:right w:val="nil"/>
            </w:tcBorders>
            <w:vAlign w:val="center"/>
          </w:tcPr>
          <w:p w14:paraId="1C712AFF">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0.87</w:t>
            </w:r>
          </w:p>
        </w:tc>
        <w:tc>
          <w:tcPr>
            <w:tcW w:w="1217" w:type="dxa"/>
            <w:tcBorders>
              <w:top w:val="nil"/>
              <w:left w:val="nil"/>
              <w:bottom w:val="nil"/>
              <w:right w:val="nil"/>
            </w:tcBorders>
            <w:vAlign w:val="center"/>
          </w:tcPr>
          <w:p w14:paraId="47C1239A">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0.78</w:t>
            </w:r>
          </w:p>
        </w:tc>
        <w:tc>
          <w:tcPr>
            <w:tcW w:w="1223" w:type="dxa"/>
            <w:tcBorders>
              <w:top w:val="nil"/>
              <w:left w:val="nil"/>
              <w:bottom w:val="nil"/>
              <w:right w:val="nil"/>
            </w:tcBorders>
            <w:vAlign w:val="center"/>
          </w:tcPr>
          <w:p w14:paraId="6ED1B9DB">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98</w:t>
            </w:r>
          </w:p>
        </w:tc>
        <w:tc>
          <w:tcPr>
            <w:tcW w:w="1221" w:type="dxa"/>
            <w:tcBorders>
              <w:top w:val="nil"/>
              <w:left w:val="nil"/>
              <w:bottom w:val="nil"/>
              <w:right w:val="nil"/>
            </w:tcBorders>
            <w:vAlign w:val="center"/>
          </w:tcPr>
          <w:p w14:paraId="206915C5">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83.48</w:t>
            </w:r>
          </w:p>
        </w:tc>
        <w:tc>
          <w:tcPr>
            <w:tcW w:w="1207" w:type="dxa"/>
            <w:tcBorders>
              <w:top w:val="nil"/>
              <w:left w:val="nil"/>
              <w:bottom w:val="nil"/>
              <w:right w:val="nil"/>
            </w:tcBorders>
            <w:vAlign w:val="center"/>
          </w:tcPr>
          <w:p w14:paraId="53B69378">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-13</w:t>
            </w:r>
          </w:p>
        </w:tc>
        <w:tc>
          <w:tcPr>
            <w:tcW w:w="1204" w:type="dxa"/>
            <w:tcBorders>
              <w:top w:val="nil"/>
              <w:left w:val="nil"/>
              <w:bottom w:val="nil"/>
              <w:right w:val="nil"/>
            </w:tcBorders>
            <w:vAlign w:val="center"/>
          </w:tcPr>
          <w:p w14:paraId="4128EA14">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2.6</w:t>
            </w:r>
          </w:p>
        </w:tc>
      </w:tr>
      <w:tr w14:paraId="3EDCE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14" w:type="dxa"/>
            <w:tcBorders>
              <w:top w:val="nil"/>
              <w:left w:val="nil"/>
              <w:bottom w:val="single" w:color="000000" w:sz="12" w:space="0"/>
              <w:right w:val="nil"/>
            </w:tcBorders>
            <w:vAlign w:val="center"/>
          </w:tcPr>
          <w:p w14:paraId="3FFCBA03">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Case 2 in cooling mode</w:t>
            </w:r>
          </w:p>
        </w:tc>
        <w:tc>
          <w:tcPr>
            <w:tcW w:w="1231" w:type="dxa"/>
            <w:tcBorders>
              <w:top w:val="nil"/>
              <w:left w:val="nil"/>
              <w:bottom w:val="single" w:color="000000" w:sz="12" w:space="0"/>
              <w:right w:val="nil"/>
            </w:tcBorders>
            <w:vAlign w:val="center"/>
          </w:tcPr>
          <w:p w14:paraId="24BCD629">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0.65</w:t>
            </w:r>
          </w:p>
        </w:tc>
        <w:tc>
          <w:tcPr>
            <w:tcW w:w="1217" w:type="dxa"/>
            <w:tcBorders>
              <w:top w:val="nil"/>
              <w:left w:val="nil"/>
              <w:bottom w:val="single" w:color="000000" w:sz="12" w:space="0"/>
              <w:right w:val="nil"/>
            </w:tcBorders>
            <w:vAlign w:val="center"/>
          </w:tcPr>
          <w:p w14:paraId="358ED54B">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0.30</w:t>
            </w:r>
          </w:p>
        </w:tc>
        <w:tc>
          <w:tcPr>
            <w:tcW w:w="1223" w:type="dxa"/>
            <w:tcBorders>
              <w:top w:val="nil"/>
              <w:left w:val="nil"/>
              <w:bottom w:val="single" w:color="000000" w:sz="12" w:space="0"/>
              <w:right w:val="nil"/>
            </w:tcBorders>
            <w:vAlign w:val="center"/>
          </w:tcPr>
          <w:p w14:paraId="5461FFCD">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83</w:t>
            </w:r>
          </w:p>
        </w:tc>
        <w:tc>
          <w:tcPr>
            <w:tcW w:w="1221" w:type="dxa"/>
            <w:tcBorders>
              <w:top w:val="nil"/>
              <w:left w:val="nil"/>
              <w:bottom w:val="single" w:color="000000" w:sz="12" w:space="0"/>
              <w:right w:val="nil"/>
            </w:tcBorders>
            <w:vAlign w:val="center"/>
          </w:tcPr>
          <w:p w14:paraId="4FBE0697">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94.27</w:t>
            </w:r>
          </w:p>
        </w:tc>
        <w:tc>
          <w:tcPr>
            <w:tcW w:w="1207" w:type="dxa"/>
            <w:tcBorders>
              <w:top w:val="nil"/>
              <w:left w:val="nil"/>
              <w:bottom w:val="single" w:color="000000" w:sz="12" w:space="0"/>
              <w:right w:val="nil"/>
            </w:tcBorders>
            <w:vAlign w:val="center"/>
          </w:tcPr>
          <w:p w14:paraId="7DDA642D">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-0.9</w:t>
            </w:r>
          </w:p>
        </w:tc>
        <w:tc>
          <w:tcPr>
            <w:tcW w:w="1204" w:type="dxa"/>
            <w:tcBorders>
              <w:top w:val="nil"/>
              <w:left w:val="nil"/>
              <w:bottom w:val="single" w:color="000000" w:sz="12" w:space="0"/>
              <w:right w:val="nil"/>
            </w:tcBorders>
            <w:vAlign w:val="center"/>
          </w:tcPr>
          <w:p w14:paraId="7CE04BC2">
            <w:pPr>
              <w:tabs>
                <w:tab w:val="left" w:pos="567"/>
              </w:tabs>
              <w:spacing w:after="332" w:afterLines="100" w:line="360" w:lineRule="auto"/>
              <w:jc w:val="left"/>
              <w:rPr>
                <w:rFonts w:ascii="Times New Roman" w:hAnsi="Times New Roman" w:cs="Times New Roman"/>
                <w:sz w:val="20"/>
                <w:szCs w:val="20"/>
              </w:rPr>
            </w:pPr>
            <w:r>
              <w:rPr>
                <w:rFonts w:hint="eastAsia" w:ascii="Times New Roman" w:hAnsi="Times New Roman" w:cs="Times New Roman"/>
                <w:sz w:val="20"/>
                <w:szCs w:val="20"/>
              </w:rPr>
              <w:t>5.58</w:t>
            </w:r>
          </w:p>
        </w:tc>
      </w:tr>
    </w:tbl>
    <w:p w14:paraId="360CD90F">
      <w:pPr>
        <w:rPr>
          <w:rFonts w:ascii="Times New Roman" w:hAnsi="Times New Roman" w:eastAsia="宋体" w:cs="Times New Roman"/>
          <w:sz w:val="24"/>
          <w:shd w:val="clear" w:color="auto" w:fill="FFFFFF"/>
          <w:vertAlign w:val="subscript"/>
        </w:rPr>
      </w:pPr>
      <w:r>
        <w:rPr>
          <w:rFonts w:hint="eastAsia" w:ascii="Times New Roman" w:hAnsi="Times New Roman" w:eastAsia="宋体" w:cs="Times New Roman"/>
          <w:sz w:val="24"/>
          <w:shd w:val="clear" w:color="auto" w:fill="FFFFFF"/>
          <w:vertAlign w:val="subscript"/>
        </w:rPr>
        <w:t xml:space="preserve">Note: Case 1 refers to the JD window employs 3 mm-thick 0.05% CD and 10% CuSO4 as the </w:t>
      </w:r>
      <w:r>
        <w:rPr>
          <w:rFonts w:ascii="Times New Roman" w:hAnsi="Times New Roman" w:eastAsia="宋体" w:cs="Times New Roman"/>
          <w:sz w:val="24"/>
          <w:shd w:val="clear" w:color="auto" w:fill="FFFFFF"/>
          <w:vertAlign w:val="subscript"/>
        </w:rPr>
        <w:t>HL, and 7.5Ω</w:t>
      </w:r>
      <w:r>
        <w:rPr>
          <w:rFonts w:hint="eastAsia" w:ascii="Times New Roman" w:hAnsi="Times New Roman" w:eastAsia="宋体" w:cs="Times New Roman"/>
          <w:sz w:val="24"/>
          <w:shd w:val="clear" w:color="auto" w:fill="FFFFFF"/>
          <w:vertAlign w:val="subscript"/>
        </w:rPr>
        <w:t xml:space="preserve"> AgNW as the low-e surface. Case 2 refers to the JD window employs 3 mm-thick 0.05% CD and 10% CuSO4 as the </w:t>
      </w:r>
      <w:r>
        <w:rPr>
          <w:rFonts w:ascii="Times New Roman" w:hAnsi="Times New Roman" w:eastAsia="宋体" w:cs="Times New Roman"/>
          <w:sz w:val="24"/>
          <w:shd w:val="clear" w:color="auto" w:fill="FFFFFF"/>
          <w:vertAlign w:val="subscript"/>
        </w:rPr>
        <w:t xml:space="preserve">HL, and </w:t>
      </w:r>
      <w:r>
        <w:rPr>
          <w:rFonts w:hint="eastAsia" w:ascii="Times New Roman" w:hAnsi="Times New Roman" w:eastAsia="宋体" w:cs="Times New Roman"/>
          <w:sz w:val="24"/>
          <w:shd w:val="clear" w:color="auto" w:fill="FFFFFF"/>
          <w:vertAlign w:val="subscript"/>
        </w:rPr>
        <w:t>10</w:t>
      </w:r>
      <w:r>
        <w:rPr>
          <w:rFonts w:ascii="Times New Roman" w:hAnsi="Times New Roman" w:eastAsia="宋体" w:cs="Times New Roman"/>
          <w:sz w:val="24"/>
          <w:shd w:val="clear" w:color="auto" w:fill="FFFFFF"/>
          <w:vertAlign w:val="subscript"/>
        </w:rPr>
        <w:t>Ω</w:t>
      </w:r>
      <w:r>
        <w:rPr>
          <w:rFonts w:hint="eastAsia" w:ascii="Times New Roman" w:hAnsi="Times New Roman" w:eastAsia="宋体" w:cs="Times New Roman"/>
          <w:sz w:val="24"/>
          <w:shd w:val="clear" w:color="auto" w:fill="FFFFFF"/>
          <w:vertAlign w:val="subscript"/>
        </w:rPr>
        <w:t xml:space="preserve"> AgNW as the low-e surface.</w:t>
      </w:r>
    </w:p>
    <w:p w14:paraId="7097B4AF">
      <w:pPr>
        <w:widowControl/>
        <w:tabs>
          <w:tab w:val="left" w:pos="567"/>
        </w:tabs>
        <w:snapToGrid w:val="0"/>
        <w:spacing w:after="332" w:afterLines="100"/>
        <w:rPr>
          <w:rFonts w:ascii="Times New Roman" w:hAnsi="Times New Roman" w:cs="Times New Roman"/>
          <w:b/>
          <w:bCs/>
          <w:sz w:val="24"/>
        </w:rPr>
      </w:pPr>
    </w:p>
    <w:p w14:paraId="581A4997">
      <w:pPr>
        <w:widowControl/>
        <w:tabs>
          <w:tab w:val="left" w:pos="567"/>
        </w:tabs>
        <w:snapToGrid w:val="0"/>
        <w:spacing w:after="332" w:afterLines="100"/>
        <w:rPr>
          <w:rFonts w:ascii="Times New Roman" w:hAnsi="Times New Roman" w:cs="Times New Roman"/>
          <w:b/>
          <w:bCs/>
          <w:sz w:val="20"/>
          <w:szCs w:val="20"/>
        </w:rPr>
        <w:sectPr>
          <w:endnotePr>
            <w:numFmt w:val="decimal"/>
          </w:endnotePr>
          <w:pgSz w:w="11906" w:h="16838"/>
          <w:pgMar w:top="720" w:right="720" w:bottom="720" w:left="720" w:header="851" w:footer="992" w:gutter="0"/>
          <w:cols w:space="0" w:num="1"/>
          <w:docGrid w:type="lines" w:linePitch="332" w:charSpace="0"/>
        </w:sectPr>
      </w:pPr>
    </w:p>
    <w:p w14:paraId="60711FC7">
      <w:pPr>
        <w:widowControl/>
        <w:tabs>
          <w:tab w:val="left" w:pos="567"/>
        </w:tabs>
        <w:snapToGrid w:val="0"/>
        <w:spacing w:after="332" w:afterLines="100"/>
        <w:rPr>
          <w:rFonts w:ascii="Times New Roman" w:hAnsi="Times New Roman" w:cs="Times New Roman"/>
          <w:sz w:val="24"/>
        </w:rPr>
      </w:pPr>
      <w:r>
        <w:rPr>
          <w:rFonts w:ascii="Times New Roman" w:hAnsi="Times New Roman" w:cs="Times New Roman"/>
          <w:b/>
          <w:bCs/>
          <w:sz w:val="24"/>
        </w:rPr>
        <w:t>Table</w:t>
      </w:r>
      <w:r>
        <w:rPr>
          <w:rFonts w:hint="eastAsia" w:ascii="Times New Roman" w:hAnsi="Times New Roman" w:cs="Times New Roman"/>
          <w:b/>
          <w:bCs/>
          <w:sz w:val="24"/>
        </w:rPr>
        <w:t xml:space="preserve"> S7</w:t>
      </w:r>
      <w:r>
        <w:rPr>
          <w:rFonts w:ascii="Times New Roman" w:hAnsi="Times New Roman" w:cs="Times New Roman"/>
          <w:b/>
          <w:bCs/>
          <w:sz w:val="24"/>
        </w:rPr>
        <w:t xml:space="preserve"> </w:t>
      </w:r>
      <w:r>
        <w:rPr>
          <w:rFonts w:ascii="Times New Roman" w:hAnsi="Times New Roman" w:cs="Times New Roman"/>
          <w:sz w:val="24"/>
        </w:rPr>
        <w:t>Optical parameters of the JD window and its counterparts</w:t>
      </w:r>
    </w:p>
    <w:tbl>
      <w:tblPr>
        <w:tblStyle w:val="6"/>
        <w:tblW w:w="15516" w:type="dxa"/>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635"/>
        <w:gridCol w:w="1302"/>
        <w:gridCol w:w="1114"/>
        <w:gridCol w:w="1150"/>
        <w:gridCol w:w="1040"/>
        <w:gridCol w:w="920"/>
        <w:gridCol w:w="835"/>
        <w:gridCol w:w="947"/>
        <w:gridCol w:w="1050"/>
        <w:gridCol w:w="918"/>
        <w:gridCol w:w="2605"/>
      </w:tblGrid>
      <w:tr w14:paraId="35B4BCE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62" w:hRule="atLeast"/>
        </w:trPr>
        <w:tc>
          <w:tcPr>
            <w:tcW w:w="3635" w:type="dxa"/>
            <w:vMerge w:val="restart"/>
            <w:tcBorders>
              <w:bottom w:val="single" w:color="auto" w:sz="4" w:space="0"/>
            </w:tcBorders>
            <w:shd w:val="clear" w:color="auto" w:fill="auto"/>
            <w:noWrap/>
          </w:tcPr>
          <w:p w14:paraId="2BFAB6AB">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Categories</w:t>
            </w:r>
          </w:p>
        </w:tc>
        <w:tc>
          <w:tcPr>
            <w:tcW w:w="1302" w:type="dxa"/>
            <w:vMerge w:val="restart"/>
            <w:shd w:val="clear" w:color="auto" w:fill="auto"/>
            <w:noWrap/>
          </w:tcPr>
          <w:p w14:paraId="287ACCEB">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Scattering or not?</w:t>
            </w:r>
          </w:p>
        </w:tc>
        <w:tc>
          <w:tcPr>
            <w:tcW w:w="2264" w:type="dxa"/>
            <w:gridSpan w:val="2"/>
            <w:tcBorders>
              <w:bottom w:val="single" w:color="auto" w:sz="4" w:space="0"/>
            </w:tcBorders>
            <w:shd w:val="clear" w:color="auto" w:fill="auto"/>
            <w:noWrap/>
          </w:tcPr>
          <w:p w14:paraId="0221E6BF">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T</w:t>
            </w:r>
            <w:r>
              <w:rPr>
                <w:rFonts w:ascii="Times New Roman" w:hAnsi="Times New Roman" w:cs="Times New Roman"/>
                <w:bCs/>
                <w:sz w:val="20"/>
                <w:szCs w:val="20"/>
                <w:vertAlign w:val="subscript"/>
              </w:rPr>
              <w:t>lum</w:t>
            </w:r>
            <w:r>
              <w:rPr>
                <w:rFonts w:ascii="Times New Roman" w:hAnsi="Times New Roman" w:cs="Times New Roman"/>
                <w:bCs/>
                <w:sz w:val="20"/>
                <w:szCs w:val="20"/>
              </w:rPr>
              <w:t xml:space="preserve"> (%)</w:t>
            </w:r>
          </w:p>
        </w:tc>
        <w:tc>
          <w:tcPr>
            <w:tcW w:w="1960" w:type="dxa"/>
            <w:gridSpan w:val="2"/>
            <w:tcBorders>
              <w:bottom w:val="single" w:color="auto" w:sz="4" w:space="0"/>
            </w:tcBorders>
            <w:shd w:val="clear" w:color="auto" w:fill="auto"/>
            <w:noWrap/>
          </w:tcPr>
          <w:p w14:paraId="495EAA57">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T</w:t>
            </w:r>
            <w:r>
              <w:rPr>
                <w:rFonts w:ascii="Times New Roman" w:hAnsi="Times New Roman" w:cs="Times New Roman"/>
                <w:bCs/>
                <w:sz w:val="20"/>
                <w:szCs w:val="20"/>
                <w:vertAlign w:val="subscript"/>
              </w:rPr>
              <w:t>sol</w:t>
            </w:r>
            <w:r>
              <w:rPr>
                <w:rFonts w:ascii="Times New Roman" w:hAnsi="Times New Roman" w:cs="Times New Roman"/>
                <w:bCs/>
                <w:sz w:val="20"/>
                <w:szCs w:val="20"/>
              </w:rPr>
              <w:t xml:space="preserve"> (%)</w:t>
            </w:r>
          </w:p>
        </w:tc>
        <w:tc>
          <w:tcPr>
            <w:tcW w:w="835" w:type="dxa"/>
            <w:vMerge w:val="restart"/>
            <w:shd w:val="clear" w:color="auto" w:fill="auto"/>
            <w:noWrap/>
          </w:tcPr>
          <w:p w14:paraId="7D07712C">
            <w:pPr>
              <w:pStyle w:val="3"/>
              <w:tabs>
                <w:tab w:val="left" w:pos="567"/>
              </w:tabs>
              <w:snapToGrid w:val="0"/>
              <w:spacing w:before="0" w:after="0" w:line="288" w:lineRule="auto"/>
              <w:rPr>
                <w:rFonts w:ascii="Times New Roman" w:hAnsi="Times New Roman" w:cs="Times New Roman"/>
                <w:bCs/>
                <w:sz w:val="20"/>
                <w:szCs w:val="20"/>
              </w:rPr>
            </w:pPr>
            <w:r>
              <w:rPr>
                <w:rFonts w:ascii="Symbol" w:hAnsi="Symbol" w:cs="Symbol"/>
                <w:bCs/>
                <w:i/>
                <w:iCs/>
                <w:sz w:val="20"/>
                <w:szCs w:val="20"/>
              </w:rPr>
              <w:t></w:t>
            </w:r>
            <w:r>
              <w:rPr>
                <w:rFonts w:ascii="Times New Roman" w:hAnsi="Times New Roman" w:cs="Times New Roman"/>
                <w:bCs/>
                <w:i/>
                <w:iCs/>
                <w:sz w:val="20"/>
                <w:szCs w:val="20"/>
              </w:rPr>
              <w:t>T</w:t>
            </w:r>
            <w:r>
              <w:rPr>
                <w:rFonts w:ascii="Times New Roman" w:hAnsi="Times New Roman" w:cs="Times New Roman"/>
                <w:bCs/>
                <w:i/>
                <w:iCs/>
                <w:sz w:val="20"/>
                <w:szCs w:val="20"/>
                <w:vertAlign w:val="subscript"/>
              </w:rPr>
              <w:t>sol</w:t>
            </w:r>
          </w:p>
        </w:tc>
        <w:tc>
          <w:tcPr>
            <w:tcW w:w="1997" w:type="dxa"/>
            <w:gridSpan w:val="2"/>
            <w:tcBorders>
              <w:bottom w:val="single" w:color="auto" w:sz="4" w:space="0"/>
            </w:tcBorders>
            <w:shd w:val="clear" w:color="auto" w:fill="auto"/>
            <w:noWrap/>
          </w:tcPr>
          <w:p w14:paraId="431E4073">
            <w:pPr>
              <w:pStyle w:val="3"/>
              <w:tabs>
                <w:tab w:val="left" w:pos="567"/>
              </w:tabs>
              <w:snapToGrid w:val="0"/>
              <w:spacing w:before="0" w:after="0" w:line="288" w:lineRule="auto"/>
              <w:rPr>
                <w:rFonts w:ascii="Times New Roman" w:hAnsi="Times New Roman" w:cs="Times New Roman"/>
                <w:bCs/>
                <w:sz w:val="20"/>
                <w:szCs w:val="20"/>
              </w:rPr>
            </w:pPr>
            <w:r>
              <w:rPr>
                <w:rFonts w:ascii="Symbol" w:hAnsi="Symbol" w:cs="Symbol"/>
                <w:bCs/>
                <w:i/>
                <w:iCs/>
                <w:sz w:val="20"/>
                <w:szCs w:val="20"/>
              </w:rPr>
              <w:t></w:t>
            </w:r>
          </w:p>
        </w:tc>
        <w:tc>
          <w:tcPr>
            <w:tcW w:w="918" w:type="dxa"/>
            <w:vMerge w:val="restart"/>
            <w:shd w:val="clear" w:color="auto" w:fill="auto"/>
            <w:noWrap/>
          </w:tcPr>
          <w:p w14:paraId="555419A5">
            <w:pPr>
              <w:pStyle w:val="3"/>
              <w:tabs>
                <w:tab w:val="left" w:pos="567"/>
              </w:tabs>
              <w:snapToGrid w:val="0"/>
              <w:spacing w:before="0" w:after="0" w:line="288" w:lineRule="auto"/>
              <w:rPr>
                <w:rFonts w:ascii="Times New Roman" w:hAnsi="Times New Roman" w:cs="Times New Roman"/>
                <w:bCs/>
                <w:i/>
                <w:iCs/>
                <w:sz w:val="20"/>
                <w:szCs w:val="20"/>
              </w:rPr>
            </w:pPr>
            <w:r>
              <w:rPr>
                <w:rFonts w:ascii="Symbol" w:hAnsi="Symbol" w:cs="Symbol"/>
                <w:bCs/>
                <w:i/>
                <w:iCs/>
                <w:sz w:val="20"/>
                <w:szCs w:val="20"/>
              </w:rPr>
              <w:t></w:t>
            </w:r>
            <w:r>
              <w:rPr>
                <w:rFonts w:ascii="Times New Roman" w:hAnsi="Times New Roman" w:cs="Times New Roman"/>
                <w:bCs/>
                <w:i/>
                <w:iCs/>
                <w:sz w:val="20"/>
                <w:szCs w:val="20"/>
              </w:rPr>
              <w:t xml:space="preserve"> </w:t>
            </w:r>
            <w:r>
              <w:rPr>
                <w:rFonts w:ascii="Symbol" w:hAnsi="Symbol" w:cs="Symbol"/>
                <w:bCs/>
                <w:i/>
                <w:iCs/>
                <w:sz w:val="20"/>
                <w:szCs w:val="20"/>
              </w:rPr>
              <w:t></w:t>
            </w:r>
          </w:p>
        </w:tc>
        <w:tc>
          <w:tcPr>
            <w:tcW w:w="2605" w:type="dxa"/>
            <w:vMerge w:val="restart"/>
            <w:shd w:val="clear" w:color="auto" w:fill="auto"/>
            <w:noWrap/>
          </w:tcPr>
          <w:p w14:paraId="15B6C603">
            <w:pPr>
              <w:pStyle w:val="3"/>
              <w:tabs>
                <w:tab w:val="left" w:pos="567"/>
              </w:tabs>
              <w:snapToGrid w:val="0"/>
              <w:spacing w:before="0" w:after="0" w:line="288" w:lineRule="auto"/>
              <w:rPr>
                <w:rFonts w:ascii="Times New Roman" w:hAnsi="Times New Roman" w:cs="Times New Roman" w:eastAsiaTheme="majorEastAsia"/>
                <w:sz w:val="20"/>
                <w:szCs w:val="20"/>
              </w:rPr>
            </w:pPr>
            <w:r>
              <w:rPr>
                <w:rFonts w:ascii="Times New Roman" w:hAnsi="Times New Roman" w:cs="Times New Roman"/>
                <w:i/>
                <w:iCs/>
                <w:sz w:val="20"/>
                <w:szCs w:val="20"/>
              </w:rPr>
              <w:t>Ref</w:t>
            </w:r>
            <w:r>
              <w:rPr>
                <w:rFonts w:hint="eastAsia" w:ascii="Times New Roman" w:hAnsi="Times New Roman" w:cs="Times New Roman"/>
                <w:i/>
                <w:iCs/>
                <w:sz w:val="20"/>
                <w:szCs w:val="20"/>
              </w:rPr>
              <w:t>s</w:t>
            </w:r>
          </w:p>
        </w:tc>
      </w:tr>
      <w:tr w14:paraId="7F20ABE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02" w:hRule="atLeast"/>
        </w:trPr>
        <w:tc>
          <w:tcPr>
            <w:tcW w:w="3635" w:type="dxa"/>
            <w:vMerge w:val="continue"/>
            <w:tcBorders>
              <w:top w:val="single" w:color="auto" w:sz="4" w:space="0"/>
              <w:bottom w:val="single" w:color="auto" w:sz="4" w:space="0"/>
              <w:tl2br w:val="nil"/>
              <w:tr2bl w:val="nil"/>
            </w:tcBorders>
            <w:shd w:val="clear" w:color="auto" w:fill="auto"/>
            <w:noWrap/>
          </w:tcPr>
          <w:p w14:paraId="69C7BEFB">
            <w:pPr>
              <w:pStyle w:val="3"/>
              <w:tabs>
                <w:tab w:val="left" w:pos="567"/>
              </w:tabs>
              <w:snapToGrid w:val="0"/>
              <w:spacing w:before="0" w:after="0" w:line="288" w:lineRule="auto"/>
              <w:rPr>
                <w:rFonts w:ascii="Times New Roman" w:hAnsi="Times New Roman" w:cs="Times New Roman"/>
                <w:bCs/>
                <w:sz w:val="20"/>
                <w:szCs w:val="20"/>
              </w:rPr>
            </w:pPr>
          </w:p>
        </w:tc>
        <w:tc>
          <w:tcPr>
            <w:tcW w:w="1302" w:type="dxa"/>
            <w:vMerge w:val="continue"/>
            <w:tcBorders>
              <w:bottom w:val="single" w:color="auto" w:sz="4" w:space="0"/>
            </w:tcBorders>
            <w:shd w:val="clear" w:color="auto" w:fill="auto"/>
            <w:noWrap/>
          </w:tcPr>
          <w:p w14:paraId="3C8C75D4">
            <w:pPr>
              <w:pStyle w:val="3"/>
              <w:tabs>
                <w:tab w:val="left" w:pos="567"/>
              </w:tabs>
              <w:snapToGrid w:val="0"/>
              <w:spacing w:before="0" w:after="0" w:line="288" w:lineRule="auto"/>
              <w:rPr>
                <w:rFonts w:ascii="Times New Roman" w:hAnsi="Times New Roman" w:cs="Times New Roman"/>
                <w:bCs/>
                <w:sz w:val="20"/>
                <w:szCs w:val="20"/>
              </w:rPr>
            </w:pPr>
          </w:p>
        </w:tc>
        <w:tc>
          <w:tcPr>
            <w:tcW w:w="1114" w:type="dxa"/>
            <w:tcBorders>
              <w:top w:val="single" w:color="auto" w:sz="4" w:space="0"/>
              <w:bottom w:val="single" w:color="auto" w:sz="4" w:space="0"/>
            </w:tcBorders>
            <w:shd w:val="clear" w:color="auto" w:fill="auto"/>
            <w:noWrap/>
          </w:tcPr>
          <w:p w14:paraId="5382225D">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Cold</w:t>
            </w:r>
          </w:p>
        </w:tc>
        <w:tc>
          <w:tcPr>
            <w:tcW w:w="1150" w:type="dxa"/>
            <w:tcBorders>
              <w:top w:val="single" w:color="auto" w:sz="4" w:space="0"/>
              <w:bottom w:val="single" w:color="auto" w:sz="4" w:space="0"/>
            </w:tcBorders>
            <w:shd w:val="clear" w:color="auto" w:fill="auto"/>
            <w:noWrap/>
          </w:tcPr>
          <w:p w14:paraId="26BDE264">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Hot</w:t>
            </w:r>
          </w:p>
        </w:tc>
        <w:tc>
          <w:tcPr>
            <w:tcW w:w="1040" w:type="dxa"/>
            <w:tcBorders>
              <w:top w:val="single" w:color="auto" w:sz="4" w:space="0"/>
              <w:bottom w:val="single" w:color="auto" w:sz="4" w:space="0"/>
            </w:tcBorders>
            <w:shd w:val="clear" w:color="auto" w:fill="auto"/>
            <w:noWrap/>
          </w:tcPr>
          <w:p w14:paraId="210712C0">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Cold</w:t>
            </w:r>
          </w:p>
        </w:tc>
        <w:tc>
          <w:tcPr>
            <w:tcW w:w="920" w:type="dxa"/>
            <w:tcBorders>
              <w:top w:val="single" w:color="auto" w:sz="4" w:space="0"/>
              <w:bottom w:val="single" w:color="auto" w:sz="4" w:space="0"/>
            </w:tcBorders>
            <w:shd w:val="clear" w:color="auto" w:fill="auto"/>
            <w:noWrap/>
          </w:tcPr>
          <w:p w14:paraId="578AC9A8">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Hot</w:t>
            </w:r>
          </w:p>
        </w:tc>
        <w:tc>
          <w:tcPr>
            <w:tcW w:w="835" w:type="dxa"/>
            <w:vMerge w:val="continue"/>
            <w:tcBorders>
              <w:bottom w:val="single" w:color="auto" w:sz="4" w:space="0"/>
            </w:tcBorders>
            <w:shd w:val="clear" w:color="auto" w:fill="auto"/>
            <w:noWrap/>
          </w:tcPr>
          <w:p w14:paraId="0C107249">
            <w:pPr>
              <w:pStyle w:val="3"/>
              <w:tabs>
                <w:tab w:val="left" w:pos="567"/>
              </w:tabs>
              <w:snapToGrid w:val="0"/>
              <w:spacing w:before="0" w:after="0" w:line="288" w:lineRule="auto"/>
              <w:rPr>
                <w:rFonts w:ascii="Times New Roman" w:hAnsi="Times New Roman" w:cs="Times New Roman"/>
                <w:bCs/>
                <w:sz w:val="20"/>
                <w:szCs w:val="20"/>
              </w:rPr>
            </w:pPr>
          </w:p>
        </w:tc>
        <w:tc>
          <w:tcPr>
            <w:tcW w:w="947" w:type="dxa"/>
            <w:tcBorders>
              <w:top w:val="single" w:color="auto" w:sz="4" w:space="0"/>
              <w:bottom w:val="single" w:color="auto" w:sz="4" w:space="0"/>
            </w:tcBorders>
            <w:shd w:val="clear" w:color="auto" w:fill="auto"/>
            <w:noWrap/>
          </w:tcPr>
          <w:p w14:paraId="5F9B2E57">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Cold</w:t>
            </w:r>
          </w:p>
        </w:tc>
        <w:tc>
          <w:tcPr>
            <w:tcW w:w="1050" w:type="dxa"/>
            <w:tcBorders>
              <w:top w:val="single" w:color="auto" w:sz="4" w:space="0"/>
              <w:bottom w:val="single" w:color="auto" w:sz="4" w:space="0"/>
            </w:tcBorders>
            <w:shd w:val="clear" w:color="auto" w:fill="auto"/>
            <w:noWrap/>
          </w:tcPr>
          <w:p w14:paraId="3FFEFC36">
            <w:pPr>
              <w:pStyle w:val="3"/>
              <w:tabs>
                <w:tab w:val="left" w:pos="567"/>
              </w:tabs>
              <w:snapToGrid w:val="0"/>
              <w:spacing w:before="0" w:after="0" w:line="288" w:lineRule="auto"/>
              <w:rPr>
                <w:rFonts w:ascii="Times New Roman" w:hAnsi="Times New Roman" w:cs="Times New Roman"/>
                <w:bCs/>
                <w:sz w:val="20"/>
                <w:szCs w:val="20"/>
              </w:rPr>
            </w:pPr>
            <w:r>
              <w:rPr>
                <w:rFonts w:ascii="Times New Roman" w:hAnsi="Times New Roman" w:cs="Times New Roman"/>
                <w:bCs/>
                <w:sz w:val="20"/>
                <w:szCs w:val="20"/>
              </w:rPr>
              <w:t>Hot</w:t>
            </w:r>
          </w:p>
        </w:tc>
        <w:tc>
          <w:tcPr>
            <w:tcW w:w="918" w:type="dxa"/>
            <w:vMerge w:val="continue"/>
            <w:tcBorders>
              <w:bottom w:val="single" w:color="auto" w:sz="4" w:space="0"/>
            </w:tcBorders>
            <w:shd w:val="clear" w:color="auto" w:fill="auto"/>
            <w:noWrap/>
          </w:tcPr>
          <w:p w14:paraId="4B1EE0AD">
            <w:pPr>
              <w:pStyle w:val="3"/>
              <w:tabs>
                <w:tab w:val="left" w:pos="567"/>
              </w:tabs>
              <w:snapToGrid w:val="0"/>
              <w:spacing w:before="0" w:after="0" w:line="288" w:lineRule="auto"/>
              <w:rPr>
                <w:rFonts w:ascii="Times New Roman" w:hAnsi="Times New Roman" w:cs="Times New Roman"/>
                <w:sz w:val="20"/>
                <w:szCs w:val="20"/>
              </w:rPr>
            </w:pPr>
          </w:p>
        </w:tc>
        <w:tc>
          <w:tcPr>
            <w:tcW w:w="2605" w:type="dxa"/>
            <w:vMerge w:val="continue"/>
            <w:tcBorders>
              <w:bottom w:val="single" w:color="auto" w:sz="4" w:space="0"/>
            </w:tcBorders>
            <w:shd w:val="clear" w:color="auto" w:fill="auto"/>
            <w:noWrap/>
          </w:tcPr>
          <w:p w14:paraId="73C9EB22">
            <w:pPr>
              <w:pStyle w:val="3"/>
              <w:tabs>
                <w:tab w:val="left" w:pos="567"/>
              </w:tabs>
              <w:snapToGrid w:val="0"/>
              <w:spacing w:before="0" w:after="0" w:line="288" w:lineRule="auto"/>
              <w:rPr>
                <w:rFonts w:ascii="Times New Roman" w:hAnsi="Times New Roman" w:cs="Times New Roman"/>
                <w:sz w:val="20"/>
                <w:szCs w:val="20"/>
              </w:rPr>
            </w:pPr>
          </w:p>
        </w:tc>
      </w:tr>
      <w:tr w14:paraId="5D5D201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single" w:color="000000" w:sz="4" w:space="0"/>
              <w:bottom w:val="dashed" w:color="BEBEBE" w:themeColor="background1" w:themeShade="BF" w:sz="4" w:space="0"/>
              <w:tl2br w:val="nil"/>
              <w:tr2bl w:val="nil"/>
            </w:tcBorders>
            <w:shd w:val="clear" w:color="auto" w:fill="auto"/>
          </w:tcPr>
          <w:p w14:paraId="13643717">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VO</w:t>
            </w:r>
            <w:r>
              <w:rPr>
                <w:rFonts w:ascii="Times New Roman" w:hAnsi="Times New Roman" w:cs="Times New Roman"/>
                <w:b w:val="0"/>
                <w:bCs/>
                <w:sz w:val="20"/>
                <w:szCs w:val="20"/>
                <w:vertAlign w:val="subscript"/>
              </w:rPr>
              <w:t>2</w:t>
            </w:r>
          </w:p>
        </w:tc>
        <w:tc>
          <w:tcPr>
            <w:tcW w:w="1302" w:type="dxa"/>
            <w:tcBorders>
              <w:top w:val="single" w:color="000000" w:sz="4" w:space="0"/>
              <w:bottom w:val="dashed" w:color="BEBEBE" w:themeColor="background1" w:themeShade="BF" w:sz="4" w:space="0"/>
              <w:tl2br w:val="nil"/>
              <w:tr2bl w:val="nil"/>
            </w:tcBorders>
            <w:shd w:val="clear" w:color="auto" w:fill="auto"/>
            <w:noWrap/>
          </w:tcPr>
          <w:p w14:paraId="6EBE97A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single" w:color="000000" w:sz="4" w:space="0"/>
              <w:bottom w:val="dashed" w:color="BEBEBE" w:themeColor="background1" w:themeShade="BF" w:sz="4" w:space="0"/>
              <w:tl2br w:val="nil"/>
              <w:tr2bl w:val="nil"/>
            </w:tcBorders>
            <w:shd w:val="clear" w:color="auto" w:fill="auto"/>
            <w:noWrap/>
          </w:tcPr>
          <w:p w14:paraId="56D09C9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0.28</w:t>
            </w:r>
          </w:p>
        </w:tc>
        <w:tc>
          <w:tcPr>
            <w:tcW w:w="1150" w:type="dxa"/>
            <w:tcBorders>
              <w:top w:val="single" w:color="000000" w:sz="4" w:space="0"/>
              <w:bottom w:val="dashed" w:color="BEBEBE" w:themeColor="background1" w:themeShade="BF" w:sz="4" w:space="0"/>
              <w:tl2br w:val="nil"/>
              <w:tr2bl w:val="nil"/>
            </w:tcBorders>
            <w:shd w:val="clear" w:color="auto" w:fill="auto"/>
            <w:noWrap/>
          </w:tcPr>
          <w:p w14:paraId="1BF8201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0.26</w:t>
            </w:r>
          </w:p>
        </w:tc>
        <w:tc>
          <w:tcPr>
            <w:tcW w:w="1040" w:type="dxa"/>
            <w:tcBorders>
              <w:top w:val="single" w:color="000000" w:sz="4" w:space="0"/>
              <w:bottom w:val="dashed" w:color="BEBEBE" w:themeColor="background1" w:themeShade="BF" w:sz="4" w:space="0"/>
              <w:tl2br w:val="nil"/>
              <w:tr2bl w:val="nil"/>
            </w:tcBorders>
            <w:shd w:val="clear" w:color="auto" w:fill="auto"/>
            <w:noWrap/>
          </w:tcPr>
          <w:p w14:paraId="610056D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t>
            </w:r>
          </w:p>
        </w:tc>
        <w:tc>
          <w:tcPr>
            <w:tcW w:w="920" w:type="dxa"/>
            <w:tcBorders>
              <w:top w:val="single" w:color="000000" w:sz="4" w:space="0"/>
              <w:bottom w:val="dashed" w:color="BEBEBE" w:themeColor="background1" w:themeShade="BF" w:sz="4" w:space="0"/>
              <w:tl2br w:val="nil"/>
              <w:tr2bl w:val="nil"/>
            </w:tcBorders>
            <w:shd w:val="clear" w:color="auto" w:fill="auto"/>
            <w:noWrap/>
          </w:tcPr>
          <w:p w14:paraId="62B3056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t>
            </w:r>
          </w:p>
        </w:tc>
        <w:tc>
          <w:tcPr>
            <w:tcW w:w="835" w:type="dxa"/>
            <w:tcBorders>
              <w:top w:val="single" w:color="000000" w:sz="4" w:space="0"/>
              <w:bottom w:val="dashed" w:color="BEBEBE" w:themeColor="background1" w:themeShade="BF" w:sz="4" w:space="0"/>
              <w:tl2br w:val="nil"/>
              <w:tr2bl w:val="nil"/>
            </w:tcBorders>
            <w:shd w:val="clear" w:color="auto" w:fill="auto"/>
            <w:noWrap/>
          </w:tcPr>
          <w:p w14:paraId="61745FA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0.09</w:t>
            </w:r>
          </w:p>
        </w:tc>
        <w:tc>
          <w:tcPr>
            <w:tcW w:w="947" w:type="dxa"/>
            <w:tcBorders>
              <w:top w:val="single" w:color="000000" w:sz="4" w:space="0"/>
              <w:bottom w:val="dashed" w:color="BEBEBE" w:themeColor="background1" w:themeShade="BF" w:sz="4" w:space="0"/>
              <w:tl2br w:val="nil"/>
              <w:tr2bl w:val="nil"/>
            </w:tcBorders>
            <w:shd w:val="clear" w:color="auto" w:fill="auto"/>
            <w:noWrap/>
          </w:tcPr>
          <w:p w14:paraId="68FCC36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0.21</w:t>
            </w:r>
          </w:p>
        </w:tc>
        <w:tc>
          <w:tcPr>
            <w:tcW w:w="1050" w:type="dxa"/>
            <w:tcBorders>
              <w:top w:val="single" w:color="000000" w:sz="4" w:space="0"/>
              <w:bottom w:val="dashed" w:color="BEBEBE" w:themeColor="background1" w:themeShade="BF" w:sz="4" w:space="0"/>
              <w:tl2br w:val="nil"/>
              <w:tr2bl w:val="nil"/>
            </w:tcBorders>
            <w:shd w:val="clear" w:color="auto" w:fill="auto"/>
            <w:noWrap/>
          </w:tcPr>
          <w:p w14:paraId="4CE0FAA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0.61</w:t>
            </w:r>
          </w:p>
        </w:tc>
        <w:tc>
          <w:tcPr>
            <w:tcW w:w="918" w:type="dxa"/>
            <w:tcBorders>
              <w:top w:val="single" w:color="000000" w:sz="4" w:space="0"/>
              <w:bottom w:val="dashed" w:color="BEBEBE" w:themeColor="background1" w:themeShade="BF" w:sz="4" w:space="0"/>
              <w:tl2br w:val="nil"/>
              <w:tr2bl w:val="nil"/>
            </w:tcBorders>
            <w:shd w:val="clear" w:color="auto" w:fill="auto"/>
            <w:noWrap/>
          </w:tcPr>
          <w:p w14:paraId="4FBF0D87">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w:t>
            </w:r>
          </w:p>
        </w:tc>
        <w:tc>
          <w:tcPr>
            <w:tcW w:w="2605" w:type="dxa"/>
            <w:tcBorders>
              <w:top w:val="single" w:color="000000" w:sz="4" w:space="0"/>
              <w:bottom w:val="dashed" w:color="BEBEBE" w:themeColor="background1" w:themeShade="BF" w:sz="4" w:space="0"/>
              <w:tl2br w:val="nil"/>
              <w:tr2bl w:val="nil"/>
            </w:tcBorders>
            <w:shd w:val="clear" w:color="auto" w:fill="auto"/>
            <w:noWrap/>
          </w:tcPr>
          <w:p w14:paraId="0377859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 xml:space="preserve">Wang et al. 2021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&lt;EndNote&gt;&lt;Cite&gt;&lt;Author&gt;Wang&lt;/Author&gt;&lt;Year&gt;2021&lt;/Year&gt;&lt;RecNum&gt;487&lt;/RecNum&gt;&lt;DisplayText&gt;[12]&lt;/DisplayText&gt;&lt;record&gt;&lt;rec-number&gt;487&lt;/rec-number&gt;&lt;foreign-keys&gt;&lt;key app="EN" db-id="paaztsr04trapte5f9cpv9ss0fav5erzzr9a" timestamp="1744708598" guid="0836ec1d-3bfe-4715-a7ba-64fd5eff7f69"&gt;487&lt;/key&gt;&lt;/foreign-keys&gt;&lt;ref-type name="Journal Article"&gt;17&lt;/ref-type&gt;&lt;contributors&gt;&lt;authors&gt;&lt;author&gt;Wang, Shancheng&lt;/author&gt;&lt;author&gt;Jiang, Tengyao&lt;/author&gt;&lt;author&gt;Meng, Yun&lt;/author&gt;&lt;author&gt;Yang, Ronggui&lt;/author&gt;&lt;author&gt;Tan, Gang&lt;/author&gt;&lt;author&gt;Long, Yi&lt;/author&gt;&lt;/authors&gt;&lt;/contributors&gt;&lt;titles&gt;&lt;title&gt;Scalable thermochromic smart windows with passive radiative cooling regulation&lt;/title&gt;&lt;secondary-title&gt;Science&lt;/secondary-title&gt;&lt;/titles&gt;&lt;periodical&gt;&lt;full-title&gt;Science&lt;/full-title&gt;&lt;/periodical&gt;&lt;pages&gt;1501-1504&lt;/pages&gt;&lt;volume&gt;374&lt;/volume&gt;&lt;number&gt;6574&lt;/number&gt;&lt;dates&gt;&lt;year&gt;2021&lt;/year&gt;&lt;pub-dates&gt;&lt;date&gt;2021/12/17&lt;/date&gt;&lt;/pub-dates&gt;&lt;/dates&gt;&lt;publisher&gt;American Association for the Advancement of Science&lt;/publisher&gt;&lt;urls&gt;&lt;related-urls&gt;&lt;url&gt;https://doi.org/10.1126/science.abg0291&lt;/url&gt;&lt;/related-urls&gt;&lt;/urls&gt;&lt;electronic-resource-num&gt;10.1126/science.abg0291&lt;/electronic-resource-num&gt;&lt;access-date&gt;2025/04/15&lt;/access-date&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[12]</w:t>
            </w:r>
            <w:r>
              <w:rPr>
                <w:rFonts w:ascii="Times New Roman" w:hAnsi="Times New Roman" w:cs="Times New Roman"/>
                <w:color w:val="0070C0"/>
                <w:sz w:val="20"/>
                <w:szCs w:val="20"/>
              </w:rPr>
              <w:fldChar w:fldCharType="end"/>
            </w:r>
          </w:p>
        </w:tc>
      </w:tr>
      <w:tr w14:paraId="36EBE9C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72C2753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W-doped VO</w:t>
            </w:r>
            <w:r>
              <w:rPr>
                <w:rFonts w:ascii="Times New Roman" w:hAnsi="Times New Roman" w:cs="Times New Roman"/>
                <w:b w:val="0"/>
                <w:bCs/>
                <w:sz w:val="20"/>
                <w:szCs w:val="20"/>
                <w:vertAlign w:val="subscript"/>
              </w:rPr>
              <w:t>2</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5622625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7BCDF54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0.43</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5CB645C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0.43</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0F631B9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0.51</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356F420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0.40</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622DB7B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0.11</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343B2F3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0.71</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0AC9603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0.94</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3AFAEE2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0.23</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5BEA133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Wang et al. 2024</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&lt;EndNote&gt;&lt;Cite&gt;&lt;Author&gt;Wang&lt;/Author&gt;&lt;Year&gt;2024&lt;/Year&gt;&lt;RecNum&gt;506&lt;/RecNum&gt;&lt;DisplayText&gt;[13]&lt;/DisplayText&gt;&lt;record&gt;&lt;rec-number&gt;506&lt;/rec-number&gt;&lt;foreign-keys&gt;&lt;key app="EN" db-id="paaztsr04trapte5f9cpv9ss0fav5erzzr9a" timestamp="1744805640" guid="904091bb-54ce-4269-b9e5-f555e23597d0"&gt;506&lt;/key&gt;&lt;/foreign-keys&gt;&lt;ref-type name="Journal Article"&gt;17&lt;/ref-type&gt;&lt;contributors&gt;&lt;authors&gt;&lt;author&gt;Wang, Zhaoyang&lt;/author&gt;&lt;author&gt;Liang, Jiran&lt;/author&gt;&lt;author&gt;Lei, Dangyuan&lt;/author&gt;&lt;author&gt;Jiang, Cancheng&lt;/author&gt;&lt;author&gt;Yang, Zhe&lt;/author&gt;&lt;author&gt;Yang, Guixiang&lt;/author&gt;&lt;author&gt;Zhang, Dequan&lt;/author&gt;&lt;author&gt;Zhang, Lanxiang&lt;/author&gt;&lt;author&gt;Zhang, Chengye&lt;/author&gt;&lt;author&gt;Bai, Yunfei&lt;/author&gt;&lt;/authors&gt;&lt;/contributors&gt;&lt;titles&gt;&lt;title&gt;Temperature-adaptive smart windows with passive transmittance and radiative cooling regulation&lt;/title&gt;&lt;secondary-title&gt;Applied Energy&lt;/secondary-title&gt;&lt;/titles&gt;&lt;periodical&gt;&lt;full-title&gt;Applied Energy&lt;/full-title&gt;&lt;/periodical&gt;&lt;pages&gt;123619&lt;/pages&gt;&lt;volume&gt;369&lt;/volume&gt;&lt;keywords&gt;&lt;keyword&gt;Tungsten-doped vanadium dioxide&lt;/keyword&gt;&lt;keyword&gt;Nanoscale effects&lt;/keyword&gt;&lt;keyword&gt;Energy-saving smart windows&lt;/keyword&gt;&lt;keyword&gt;Thermochromic window&lt;/keyword&gt;&lt;keyword&gt;Solar management&lt;/keyword&gt;&lt;keyword&gt;Radiative cooling&lt;/keyword&gt;&lt;/keywords&gt;&lt;dates&gt;&lt;year&gt;2024&lt;/year&gt;&lt;pub-dates&gt;&lt;date&gt;2024/09/01/&lt;/date&gt;&lt;/pub-dates&gt;&lt;/dates&gt;&lt;isbn&gt;0306-2619&lt;/isbn&gt;&lt;urls&gt;&lt;related-urls&gt;&lt;url&gt;https://www.sciencedirect.com/science/article/pii/S030626192401002X&lt;/url&gt;&lt;/related-urls&gt;&lt;/urls&gt;&lt;electronic-resource-num&gt;https://doi.org/10.1016/j.apenergy.2024.123619&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[13]</w:t>
            </w:r>
            <w:r>
              <w:rPr>
                <w:rFonts w:ascii="Times New Roman" w:hAnsi="Times New Roman" w:cs="Times New Roman"/>
                <w:color w:val="0070C0"/>
                <w:sz w:val="20"/>
                <w:szCs w:val="20"/>
              </w:rPr>
              <w:fldChar w:fldCharType="end"/>
            </w:r>
          </w:p>
        </w:tc>
      </w:tr>
      <w:tr w14:paraId="4D4562E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2420661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VO</w:t>
            </w:r>
            <w:r>
              <w:rPr>
                <w:rFonts w:ascii="Times New Roman" w:hAnsi="Times New Roman" w:cs="Times New Roman"/>
                <w:b w:val="0"/>
                <w:bCs/>
                <w:sz w:val="20"/>
                <w:szCs w:val="20"/>
                <w:vertAlign w:val="subscript"/>
              </w:rPr>
              <w:t>2</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36E32B9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35601F3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0.38</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1510400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0.36</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0319E7E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0.38</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5A2B3A2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0.29</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4B963E8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0.09</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6B2D9E1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710DB5E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0.7</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2D05AC8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0.40</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2AC2BF4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Keum et al. 2025</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&lt;EndNote&gt;&lt;Cite&gt;&lt;Author&gt;Keum&lt;/Author&gt;&lt;Year&gt;2025&lt;/Year&gt;&lt;RecNum&gt;510&lt;/RecNum&gt;&lt;DisplayText&gt;[14]&lt;/DisplayText&gt;&lt;record&gt;&lt;rec-number&gt;510&lt;/rec-number&gt;&lt;foreign-keys&gt;&lt;key app="EN" db-id="paaztsr04trapte5f9cpv9ss0fav5erzzr9a" timestamp="1744874563" guid="b97c9f81-2a30-4208-ad41-0684c65f484f"&gt;510&lt;/key&gt;&lt;/foreign-keys&gt;&lt;ref-type name="Journal Article"&gt;17&lt;/ref-type&gt;&lt;contributors&gt;&lt;authors&gt;&lt;author&gt;Keum, Joonho&lt;/author&gt;&lt;author&gt;Choi, Jun&lt;/author&gt;&lt;author&gt;Kim, Sujin&lt;/author&gt;&lt;author&gt;Kang, Guyoung&lt;/author&gt;&lt;author&gt;Lee, Byuonghong&lt;/author&gt;&lt;author&gt;Lee, Min Jae&lt;/author&gt;&lt;author&gt;Kim, Woochul&lt;/author&gt;&lt;/authors&gt;&lt;/contributors&gt;&lt;titles&gt;&lt;title&gt;Innovative dual-band energy-efficient smart windows using VO2(M)-Based Fabry-Pérot structures for solar and radiative cooling modulation&lt;/title&gt;&lt;secondary-title&gt;Materials Today Physics&lt;/secondary-title&gt;&lt;/titles&gt;&lt;periodical&gt;&lt;full-title&gt;Materials Today Physics&lt;/full-title&gt;&lt;/periodical&gt;&lt;pages&gt;101665&lt;/pages&gt;&lt;volume&gt;52&lt;/volume&gt;&lt;keywords&gt;&lt;keyword&gt;Smart window&lt;/keyword&gt;&lt;keyword&gt;Temperature-adaptive radiative cooling&lt;/keyword&gt;&lt;keyword&gt;Solar transmission modulation&lt;/keyword&gt;&lt;keyword&gt;Long-wave infrared emission modulation&lt;/keyword&gt;&lt;keyword&gt;Vanadium dioxide&lt;/keyword&gt;&lt;/keywords&gt;&lt;dates&gt;&lt;year&gt;2025&lt;/year&gt;&lt;pub-dates&gt;&lt;date&gt;2025/03/01/&lt;/date&gt;&lt;/pub-dates&gt;&lt;/dates&gt;&lt;isbn&gt;2542-5293&lt;/isbn&gt;&lt;urls&gt;&lt;related-urls&gt;&lt;url&gt;https://www.sciencedirect.com/science/article/pii/S2542529325000215&lt;/url&gt;&lt;/related-urls&gt;&lt;/urls&gt;&lt;electronic-resource-num&gt;https://doi.org/10.1016/j.mtphys.2025.101665&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[14]</w:t>
            </w:r>
            <w:r>
              <w:rPr>
                <w:rFonts w:ascii="Times New Roman" w:hAnsi="Times New Roman" w:cs="Times New Roman"/>
                <w:color w:val="0070C0"/>
                <w:sz w:val="20"/>
                <w:szCs w:val="20"/>
              </w:rPr>
              <w:fldChar w:fldCharType="end"/>
            </w:r>
          </w:p>
        </w:tc>
      </w:tr>
      <w:tr w14:paraId="6B9B2E5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nil"/>
            </w:tcBorders>
            <w:shd w:val="clear" w:color="auto" w:fill="auto"/>
          </w:tcPr>
          <w:p w14:paraId="0BE3CAD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WO</w:t>
            </w:r>
            <w:r>
              <w:rPr>
                <w:rFonts w:ascii="Times New Roman" w:hAnsi="Times New Roman" w:cs="Times New Roman"/>
                <w:b w:val="0"/>
                <w:bCs/>
                <w:sz w:val="20"/>
                <w:szCs w:val="20"/>
                <w:vertAlign w:val="subscript"/>
              </w:rPr>
              <w:t>3</w:t>
            </w:r>
          </w:p>
        </w:tc>
        <w:tc>
          <w:tcPr>
            <w:tcW w:w="1302" w:type="dxa"/>
            <w:tcBorders>
              <w:top w:val="dashed" w:color="BEBEBE" w:themeColor="background1" w:themeShade="BF" w:sz="4" w:space="0"/>
              <w:bottom w:val="nil"/>
            </w:tcBorders>
            <w:shd w:val="clear" w:color="auto" w:fill="auto"/>
            <w:noWrap/>
          </w:tcPr>
          <w:p w14:paraId="032E66A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dashed" w:color="BEBEBE" w:themeColor="background1" w:themeShade="BF" w:sz="4" w:space="0"/>
              <w:bottom w:val="nil"/>
            </w:tcBorders>
            <w:shd w:val="clear" w:color="auto" w:fill="auto"/>
            <w:noWrap/>
          </w:tcPr>
          <w:p w14:paraId="5DB5628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0.50</w:t>
            </w:r>
          </w:p>
        </w:tc>
        <w:tc>
          <w:tcPr>
            <w:tcW w:w="1150" w:type="dxa"/>
            <w:tcBorders>
              <w:top w:val="dashed" w:color="BEBEBE" w:themeColor="background1" w:themeShade="BF" w:sz="4" w:space="0"/>
              <w:bottom w:val="nil"/>
            </w:tcBorders>
            <w:shd w:val="clear" w:color="auto" w:fill="auto"/>
            <w:noWrap/>
          </w:tcPr>
          <w:p w14:paraId="74600F4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0.12</w:t>
            </w:r>
          </w:p>
        </w:tc>
        <w:tc>
          <w:tcPr>
            <w:tcW w:w="1040" w:type="dxa"/>
            <w:tcBorders>
              <w:top w:val="dashed" w:color="BEBEBE" w:themeColor="background1" w:themeShade="BF" w:sz="4" w:space="0"/>
              <w:bottom w:val="nil"/>
            </w:tcBorders>
            <w:shd w:val="clear" w:color="auto" w:fill="auto"/>
            <w:noWrap/>
          </w:tcPr>
          <w:p w14:paraId="6442AD8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0.39</w:t>
            </w:r>
          </w:p>
        </w:tc>
        <w:tc>
          <w:tcPr>
            <w:tcW w:w="920" w:type="dxa"/>
            <w:tcBorders>
              <w:top w:val="dashed" w:color="BEBEBE" w:themeColor="background1" w:themeShade="BF" w:sz="4" w:space="0"/>
              <w:bottom w:val="nil"/>
            </w:tcBorders>
            <w:shd w:val="clear" w:color="auto" w:fill="auto"/>
            <w:noWrap/>
          </w:tcPr>
          <w:p w14:paraId="14D4404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0.08</w:t>
            </w:r>
          </w:p>
        </w:tc>
        <w:tc>
          <w:tcPr>
            <w:tcW w:w="835" w:type="dxa"/>
            <w:tcBorders>
              <w:top w:val="dashed" w:color="BEBEBE" w:themeColor="background1" w:themeShade="BF" w:sz="4" w:space="0"/>
              <w:bottom w:val="nil"/>
            </w:tcBorders>
            <w:shd w:val="clear" w:color="auto" w:fill="auto"/>
            <w:noWrap/>
          </w:tcPr>
          <w:p w14:paraId="4BBB886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0.39</w:t>
            </w:r>
          </w:p>
        </w:tc>
        <w:tc>
          <w:tcPr>
            <w:tcW w:w="947" w:type="dxa"/>
            <w:tcBorders>
              <w:top w:val="dashed" w:color="BEBEBE" w:themeColor="background1" w:themeShade="BF" w:sz="4" w:space="0"/>
              <w:bottom w:val="nil"/>
            </w:tcBorders>
            <w:shd w:val="clear" w:color="auto" w:fill="auto"/>
            <w:noWrap/>
          </w:tcPr>
          <w:p w14:paraId="3944FC7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w:t>
            </w:r>
          </w:p>
        </w:tc>
        <w:tc>
          <w:tcPr>
            <w:tcW w:w="1050" w:type="dxa"/>
            <w:tcBorders>
              <w:top w:val="dashed" w:color="BEBEBE" w:themeColor="background1" w:themeShade="BF" w:sz="4" w:space="0"/>
              <w:bottom w:val="nil"/>
            </w:tcBorders>
            <w:shd w:val="clear" w:color="auto" w:fill="auto"/>
            <w:noWrap/>
          </w:tcPr>
          <w:p w14:paraId="7201CF3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0.82</w:t>
            </w:r>
          </w:p>
        </w:tc>
        <w:tc>
          <w:tcPr>
            <w:tcW w:w="918" w:type="dxa"/>
            <w:tcBorders>
              <w:top w:val="dashed" w:color="BEBEBE" w:themeColor="background1" w:themeShade="BF" w:sz="4" w:space="0"/>
              <w:bottom w:val="nil"/>
            </w:tcBorders>
            <w:shd w:val="clear" w:color="auto" w:fill="auto"/>
            <w:noWrap/>
          </w:tcPr>
          <w:p w14:paraId="7E542F62">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0.42</w:t>
            </w:r>
          </w:p>
        </w:tc>
        <w:tc>
          <w:tcPr>
            <w:tcW w:w="2605" w:type="dxa"/>
            <w:tcBorders>
              <w:top w:val="dashed" w:color="BEBEBE" w:themeColor="background1" w:themeShade="BF" w:sz="4" w:space="0"/>
              <w:bottom w:val="nil"/>
            </w:tcBorders>
            <w:shd w:val="clear" w:color="auto" w:fill="auto"/>
            <w:noWrap/>
          </w:tcPr>
          <w:p w14:paraId="01703587">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Zhang et al. 2024</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&lt;EndNote&gt;&lt;Cite&gt;&lt;Author&gt;Zhang&lt;/Author&gt;&lt;Year&gt;2024&lt;/Year&gt;&lt;RecNum&gt;485&lt;/RecNum&gt;&lt;DisplayText&gt;[15]&lt;/DisplayText&gt;&lt;record&gt;&lt;rec-number&gt;485&lt;/rec-number&gt;&lt;foreign-keys&gt;&lt;key app="EN" db-id="paaztsr04trapte5f9cpv9ss0fav5erzzr9a" timestamp="1744706479" guid="43cd7c29-9bfb-4232-b803-ac92c4115fb1"&gt;485&lt;/key&gt;&lt;/foreign-keys&gt;&lt;ref-type name="Journal Article"&gt;17&lt;/ref-type&gt;&lt;contributors&gt;&lt;authors&gt;&lt;author&gt;Zhang, Hulin&lt;/author&gt;&lt;author&gt;Zhang, Xiang&lt;/author&gt;&lt;author&gt;Sun, Wenhai&lt;/author&gt;&lt;author&gt;Chen, Mingjun&lt;/author&gt;&lt;author&gt;Xiao, Yingjun&lt;/author&gt;&lt;author&gt;Ding, Zhenmin&lt;/author&gt;&lt;author&gt;Yan, Dukang&lt;/author&gt;&lt;author&gt;Deng, Jianbo&lt;/author&gt;&lt;author&gt;Li, Zitong&lt;/author&gt;&lt;author&gt;Zhao, Jiupeng&lt;/author&gt;&lt;author&gt;Li, Yao&lt;/author&gt;&lt;/authors&gt;&lt;/contributors&gt;&lt;titles&gt;&lt;title&gt;All-Solid-State Transparent Variable Infrared Emissivity Devices for Multi-Mode Smart Windows&lt;/title&gt;&lt;secondary-title&gt;Advanced Functional Materials&lt;/secondary-title&gt;&lt;/titles&gt;&lt;periodical&gt;&lt;full-title&gt;Advanced Functional Materials&lt;/full-title&gt;&lt;/periodical&gt;&lt;pages&gt;2307356&lt;/pages&gt;&lt;volume&gt;34&lt;/volume&gt;&lt;number&gt;16&lt;/number&gt;&lt;keywords&gt;&lt;keyword&gt;all-solid-state&lt;/keyword&gt;&lt;keyword&gt;dual-band independent regulation&lt;/keyword&gt;&lt;keyword&gt;Fabry–Perot cavity&lt;/keyword&gt;&lt;keyword&gt;photothermal modulator&lt;/keyword&gt;&lt;keyword&gt;transparent variable emissivity device&lt;/keyword&gt;&lt;/keywords&gt;&lt;dates&gt;&lt;year&gt;2024&lt;/year&gt;&lt;pub-dates&gt;&lt;date&gt;2024/04/01&lt;/date&gt;&lt;/pub-dates&gt;&lt;/dates&gt;&lt;publisher&gt;John Wiley &amp;amp; Sons, Ltd&lt;/publisher&gt;&lt;isbn&gt;1616-301X&lt;/isbn&gt;&lt;urls&gt;&lt;related-urls&gt;&lt;url&gt;https://doi.org/10.1002/adfm.202307356&lt;/url&gt;&lt;/related-urls&gt;&lt;/urls&gt;&lt;electronic-resource-num&gt;https://doi.org/10.1002/adfm.202307356&lt;/electronic-resource-num&gt;&lt;access-date&gt;2025/04/15&lt;/access-date&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[15]</w:t>
            </w:r>
            <w:r>
              <w:rPr>
                <w:rFonts w:ascii="Times New Roman" w:hAnsi="Times New Roman" w:cs="Times New Roman"/>
                <w:color w:val="0070C0"/>
                <w:sz w:val="20"/>
                <w:szCs w:val="20"/>
              </w:rPr>
              <w:fldChar w:fldCharType="end"/>
            </w:r>
          </w:p>
        </w:tc>
      </w:tr>
      <w:tr w14:paraId="08E079D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43" w:hRule="atLeast"/>
        </w:trPr>
        <w:tc>
          <w:tcPr>
            <w:tcW w:w="3635" w:type="dxa"/>
            <w:tcBorders>
              <w:top w:val="nil"/>
              <w:bottom w:val="nil"/>
            </w:tcBorders>
            <w:shd w:val="clear" w:color="auto" w:fill="auto"/>
          </w:tcPr>
          <w:p w14:paraId="0569D1AE">
            <w:pPr>
              <w:pStyle w:val="3"/>
              <w:tabs>
                <w:tab w:val="left" w:pos="567"/>
              </w:tabs>
              <w:snapToGrid w:val="0"/>
              <w:spacing w:before="0" w:after="0" w:line="288" w:lineRule="auto"/>
              <w:rPr>
                <w:rFonts w:ascii="Times New Roman" w:hAnsi="Times New Roman" w:cs="Times New Roman"/>
                <w:b w:val="0"/>
                <w:bCs/>
                <w:sz w:val="20"/>
                <w:szCs w:val="20"/>
              </w:rPr>
            </w:pPr>
          </w:p>
        </w:tc>
        <w:tc>
          <w:tcPr>
            <w:tcW w:w="1302" w:type="dxa"/>
            <w:tcBorders>
              <w:top w:val="nil"/>
              <w:bottom w:val="nil"/>
            </w:tcBorders>
            <w:shd w:val="clear" w:color="auto" w:fill="auto"/>
            <w:noWrap/>
          </w:tcPr>
          <w:p w14:paraId="30BEB38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nil"/>
              <w:bottom w:val="nil"/>
            </w:tcBorders>
            <w:shd w:val="clear" w:color="auto" w:fill="auto"/>
            <w:noWrap/>
          </w:tcPr>
          <w:p w14:paraId="2E4AE64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0.60</w:t>
            </w:r>
          </w:p>
        </w:tc>
        <w:tc>
          <w:tcPr>
            <w:tcW w:w="1150" w:type="dxa"/>
            <w:tcBorders>
              <w:top w:val="nil"/>
              <w:bottom w:val="nil"/>
            </w:tcBorders>
            <w:shd w:val="clear" w:color="auto" w:fill="auto"/>
            <w:noWrap/>
          </w:tcPr>
          <w:p w14:paraId="1E5644D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0.26</w:t>
            </w:r>
          </w:p>
        </w:tc>
        <w:tc>
          <w:tcPr>
            <w:tcW w:w="1040" w:type="dxa"/>
            <w:tcBorders>
              <w:top w:val="nil"/>
              <w:bottom w:val="nil"/>
            </w:tcBorders>
            <w:shd w:val="clear" w:color="auto" w:fill="auto"/>
            <w:noWrap/>
          </w:tcPr>
          <w:p w14:paraId="2C7D149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0.57</w:t>
            </w:r>
          </w:p>
        </w:tc>
        <w:tc>
          <w:tcPr>
            <w:tcW w:w="920" w:type="dxa"/>
            <w:tcBorders>
              <w:top w:val="nil"/>
              <w:bottom w:val="nil"/>
            </w:tcBorders>
            <w:shd w:val="clear" w:color="auto" w:fill="auto"/>
            <w:noWrap/>
          </w:tcPr>
          <w:p w14:paraId="663F3C3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0.19</w:t>
            </w:r>
          </w:p>
        </w:tc>
        <w:tc>
          <w:tcPr>
            <w:tcW w:w="835" w:type="dxa"/>
            <w:tcBorders>
              <w:top w:val="nil"/>
              <w:bottom w:val="nil"/>
            </w:tcBorders>
            <w:shd w:val="clear" w:color="auto" w:fill="auto"/>
            <w:noWrap/>
          </w:tcPr>
          <w:p w14:paraId="2A25F78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0.38</w:t>
            </w:r>
          </w:p>
        </w:tc>
        <w:tc>
          <w:tcPr>
            <w:tcW w:w="947" w:type="dxa"/>
            <w:tcBorders>
              <w:top w:val="nil"/>
              <w:bottom w:val="nil"/>
            </w:tcBorders>
            <w:shd w:val="clear" w:color="auto" w:fill="auto"/>
            <w:noWrap/>
          </w:tcPr>
          <w:p w14:paraId="4AD96B02">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0.42</w:t>
            </w:r>
          </w:p>
        </w:tc>
        <w:tc>
          <w:tcPr>
            <w:tcW w:w="1050" w:type="dxa"/>
            <w:tcBorders>
              <w:top w:val="nil"/>
              <w:bottom w:val="nil"/>
            </w:tcBorders>
            <w:shd w:val="clear" w:color="auto" w:fill="auto"/>
            <w:noWrap/>
          </w:tcPr>
          <w:p w14:paraId="2CBB3B2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0.82</w:t>
            </w:r>
          </w:p>
        </w:tc>
        <w:tc>
          <w:tcPr>
            <w:tcW w:w="918" w:type="dxa"/>
            <w:tcBorders>
              <w:top w:val="nil"/>
              <w:bottom w:val="nil"/>
            </w:tcBorders>
            <w:shd w:val="clear" w:color="auto" w:fill="auto"/>
            <w:noWrap/>
          </w:tcPr>
          <w:p w14:paraId="7FD8919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w:t>
            </w:r>
          </w:p>
        </w:tc>
        <w:tc>
          <w:tcPr>
            <w:tcW w:w="2605" w:type="dxa"/>
            <w:tcBorders>
              <w:top w:val="nil"/>
              <w:bottom w:val="nil"/>
            </w:tcBorders>
            <w:shd w:val="clear" w:color="auto" w:fill="auto"/>
            <w:noWrap/>
          </w:tcPr>
          <w:p w14:paraId="541B9838">
            <w:pPr>
              <w:pStyle w:val="3"/>
              <w:tabs>
                <w:tab w:val="left" w:pos="567"/>
              </w:tabs>
              <w:snapToGrid w:val="0"/>
              <w:spacing w:before="0" w:after="0" w:line="288" w:lineRule="auto"/>
              <w:rPr>
                <w:rFonts w:ascii="Times New Roman" w:hAnsi="Times New Roman" w:cs="Times New Roman"/>
                <w:b w:val="0"/>
                <w:bCs/>
                <w:sz w:val="20"/>
                <w:szCs w:val="20"/>
              </w:rPr>
            </w:pPr>
          </w:p>
        </w:tc>
      </w:tr>
      <w:tr w14:paraId="77068E7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43" w:hRule="atLeast"/>
        </w:trPr>
        <w:tc>
          <w:tcPr>
            <w:tcW w:w="3635" w:type="dxa"/>
            <w:tcBorders>
              <w:top w:val="nil"/>
              <w:bottom w:val="dashed" w:color="BEBEBE" w:themeColor="background1" w:themeShade="BF" w:sz="4" w:space="0"/>
            </w:tcBorders>
            <w:shd w:val="clear" w:color="auto" w:fill="auto"/>
          </w:tcPr>
          <w:p w14:paraId="4DCE0234">
            <w:pPr>
              <w:pStyle w:val="3"/>
              <w:tabs>
                <w:tab w:val="left" w:pos="567"/>
              </w:tabs>
              <w:snapToGrid w:val="0"/>
              <w:spacing w:before="0" w:after="0" w:line="288" w:lineRule="auto"/>
              <w:rPr>
                <w:rFonts w:ascii="Times New Roman" w:hAnsi="Times New Roman" w:cs="Times New Roman"/>
                <w:b w:val="0"/>
                <w:bCs/>
                <w:sz w:val="20"/>
                <w:szCs w:val="20"/>
              </w:rPr>
            </w:pPr>
          </w:p>
        </w:tc>
        <w:tc>
          <w:tcPr>
            <w:tcW w:w="1302" w:type="dxa"/>
            <w:tcBorders>
              <w:top w:val="nil"/>
              <w:bottom w:val="dashed" w:color="BEBEBE" w:themeColor="background1" w:themeShade="BF" w:sz="4" w:space="0"/>
            </w:tcBorders>
            <w:shd w:val="clear" w:color="auto" w:fill="auto"/>
            <w:noWrap/>
          </w:tcPr>
          <w:p w14:paraId="2F2214B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nil"/>
              <w:bottom w:val="dashed" w:color="BEBEBE" w:themeColor="background1" w:themeShade="BF" w:sz="4" w:space="0"/>
            </w:tcBorders>
            <w:shd w:val="clear" w:color="auto" w:fill="auto"/>
            <w:noWrap/>
          </w:tcPr>
          <w:p w14:paraId="040C6A7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0.61</w:t>
            </w:r>
          </w:p>
        </w:tc>
        <w:tc>
          <w:tcPr>
            <w:tcW w:w="1150" w:type="dxa"/>
            <w:tcBorders>
              <w:top w:val="nil"/>
              <w:bottom w:val="dashed" w:color="BEBEBE" w:themeColor="background1" w:themeShade="BF" w:sz="4" w:space="0"/>
            </w:tcBorders>
            <w:shd w:val="clear" w:color="auto" w:fill="auto"/>
            <w:noWrap/>
          </w:tcPr>
          <w:p w14:paraId="4B0914A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0.24</w:t>
            </w:r>
          </w:p>
        </w:tc>
        <w:tc>
          <w:tcPr>
            <w:tcW w:w="1040" w:type="dxa"/>
            <w:tcBorders>
              <w:top w:val="nil"/>
              <w:bottom w:val="dashed" w:color="BEBEBE" w:themeColor="background1" w:themeShade="BF" w:sz="4" w:space="0"/>
            </w:tcBorders>
            <w:shd w:val="clear" w:color="auto" w:fill="auto"/>
            <w:noWrap/>
          </w:tcPr>
          <w:p w14:paraId="4A372B5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0.58</w:t>
            </w:r>
          </w:p>
        </w:tc>
        <w:tc>
          <w:tcPr>
            <w:tcW w:w="920" w:type="dxa"/>
            <w:tcBorders>
              <w:top w:val="nil"/>
              <w:bottom w:val="dashed" w:color="BEBEBE" w:themeColor="background1" w:themeShade="BF" w:sz="4" w:space="0"/>
            </w:tcBorders>
            <w:shd w:val="clear" w:color="auto" w:fill="auto"/>
            <w:noWrap/>
          </w:tcPr>
          <w:p w14:paraId="14CAC38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0.18</w:t>
            </w:r>
          </w:p>
        </w:tc>
        <w:tc>
          <w:tcPr>
            <w:tcW w:w="835" w:type="dxa"/>
            <w:tcBorders>
              <w:top w:val="nil"/>
              <w:bottom w:val="dashed" w:color="BEBEBE" w:themeColor="background1" w:themeShade="BF" w:sz="4" w:space="0"/>
            </w:tcBorders>
            <w:shd w:val="clear" w:color="auto" w:fill="auto"/>
            <w:noWrap/>
          </w:tcPr>
          <w:p w14:paraId="19E8118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w:t>
            </w:r>
          </w:p>
        </w:tc>
        <w:tc>
          <w:tcPr>
            <w:tcW w:w="947" w:type="dxa"/>
            <w:tcBorders>
              <w:top w:val="nil"/>
              <w:bottom w:val="dashed" w:color="BEBEBE" w:themeColor="background1" w:themeShade="BF" w:sz="4" w:space="0"/>
            </w:tcBorders>
            <w:shd w:val="clear" w:color="auto" w:fill="auto"/>
            <w:noWrap/>
          </w:tcPr>
          <w:p w14:paraId="613C134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0.37</w:t>
            </w:r>
          </w:p>
        </w:tc>
        <w:tc>
          <w:tcPr>
            <w:tcW w:w="1050" w:type="dxa"/>
            <w:tcBorders>
              <w:top w:val="nil"/>
              <w:bottom w:val="dashed" w:color="BEBEBE" w:themeColor="background1" w:themeShade="BF" w:sz="4" w:space="0"/>
            </w:tcBorders>
            <w:shd w:val="clear" w:color="auto" w:fill="auto"/>
            <w:noWrap/>
          </w:tcPr>
          <w:p w14:paraId="22B22ED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0.82</w:t>
            </w:r>
          </w:p>
        </w:tc>
        <w:tc>
          <w:tcPr>
            <w:tcW w:w="918" w:type="dxa"/>
            <w:tcBorders>
              <w:top w:val="nil"/>
              <w:bottom w:val="dashed" w:color="BEBEBE" w:themeColor="background1" w:themeShade="BF" w:sz="4" w:space="0"/>
            </w:tcBorders>
            <w:shd w:val="clear" w:color="auto" w:fill="auto"/>
            <w:noWrap/>
          </w:tcPr>
          <w:p w14:paraId="57104AD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0.45</w:t>
            </w:r>
          </w:p>
        </w:tc>
        <w:tc>
          <w:tcPr>
            <w:tcW w:w="2605" w:type="dxa"/>
            <w:tcBorders>
              <w:top w:val="nil"/>
              <w:bottom w:val="dashed" w:color="BEBEBE" w:themeColor="background1" w:themeShade="BF" w:sz="4" w:space="0"/>
            </w:tcBorders>
            <w:shd w:val="clear" w:color="auto" w:fill="auto"/>
            <w:noWrap/>
          </w:tcPr>
          <w:p w14:paraId="50AD6C92">
            <w:pPr>
              <w:pStyle w:val="3"/>
              <w:tabs>
                <w:tab w:val="left" w:pos="567"/>
              </w:tabs>
              <w:snapToGrid w:val="0"/>
              <w:spacing w:before="0" w:after="0" w:line="288" w:lineRule="auto"/>
              <w:rPr>
                <w:rFonts w:ascii="Times New Roman" w:hAnsi="Times New Roman" w:cs="Times New Roman"/>
                <w:b w:val="0"/>
                <w:bCs/>
                <w:sz w:val="20"/>
                <w:szCs w:val="20"/>
              </w:rPr>
            </w:pPr>
          </w:p>
        </w:tc>
      </w:tr>
      <w:tr w14:paraId="0442EC8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38B1C61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Electrically controlled device</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20F0460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2EAE94E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0.85</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610EEF6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0.85</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4082D72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28E29E7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2B7D8B8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4C55AF2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0.49</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3ADF40C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203735D7">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0.41</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2CB35C3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Jia et al. 2023</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&lt;EndNote&gt;&lt;Cite&gt;&lt;Author&gt;Jia&lt;/Author&gt;&lt;Year&gt;2023&lt;/Year&gt;&lt;RecNum&gt;498&lt;/RecNum&gt;&lt;DisplayText&gt;[16]&lt;/DisplayText&gt;&lt;record&gt;&lt;rec-number&gt;498&lt;/rec-number&gt;&lt;foreign-keys&gt;&lt;key app="EN" db-id="paaztsr04trapte5f9cpv9ss0fav5erzzr9a" timestamp="1744777334" guid="606b1854-af56-41e5-b990-6fea80d95e5d"&gt;498&lt;/key&gt;&lt;/foreign-keys&gt;&lt;ref-type name="Journal Article"&gt;17&lt;/ref-type&gt;&lt;contributors&gt;&lt;authors&gt;&lt;author&gt;Jia, Yan&lt;/author&gt;&lt;author&gt;Liu, Dongqing&lt;/author&gt;&lt;author&gt;Chen, Desui&lt;/author&gt;&lt;author&gt;Jin, Yizheng&lt;/author&gt;&lt;author&gt;Chen, Chen&lt;/author&gt;&lt;author&gt;Tao, Jundong&lt;/author&gt;&lt;author&gt;Cheng, Haifeng&lt;/author&gt;&lt;author&gt;Zhou, Shen&lt;/author&gt;&lt;author&gt;Cheng, Baizhang&lt;/author&gt;&lt;author&gt;Wang, Xinfei&lt;/author&gt;&lt;author&gt;Meng, Zhen&lt;/author&gt;&lt;author&gt;Liu, Tianwen&lt;/author&gt;&lt;/authors&gt;&lt;/contributors&gt;&lt;titles&gt;&lt;title&gt;Transparent dynamic infrared emissivity regulators&lt;/title&gt;&lt;secondary-title&gt;Nature Communications&lt;/secondary-title&gt;&lt;/titles&gt;&lt;periodical&gt;&lt;full-title&gt;Nature Communications&lt;/full-title&gt;&lt;/periodical&gt;&lt;pages&gt;5087&lt;/pages&gt;&lt;volume&gt;14&lt;/volume&gt;&lt;number&gt;1&lt;/number&gt;&lt;dates&gt;&lt;year&gt;2023&lt;/year&gt;&lt;pub-dates&gt;&lt;date&gt;2023/08/22&lt;/date&gt;&lt;/pub-dates&gt;&lt;/dates&gt;&lt;isbn&gt;2041-1723&lt;/isbn&gt;&lt;urls&gt;&lt;related-urls&gt;&lt;url&gt;https://doi.org/10.1038/s41467-023-40902-w&lt;/url&gt;&lt;/related-urls&gt;&lt;/urls&gt;&lt;electronic-resource-num&gt;10.1038/s41467-023-40902-w&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[16]</w:t>
            </w:r>
            <w:r>
              <w:rPr>
                <w:rFonts w:ascii="Times New Roman" w:hAnsi="Times New Roman" w:cs="Times New Roman"/>
                <w:color w:val="0070C0"/>
                <w:sz w:val="20"/>
                <w:szCs w:val="20"/>
              </w:rPr>
              <w:fldChar w:fldCharType="end"/>
            </w:r>
          </w:p>
        </w:tc>
      </w:tr>
      <w:tr w14:paraId="281309A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7D9E4E2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Liquid filled EC device</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26A9048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076AC6F2">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0.81</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7401AF8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0.27</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20A7D74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0.69</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702CE01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0.25</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645A236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0.44</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45C186B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0.19</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5B40FEB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0.93</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2381671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0.74</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2EBCCA7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Huang et al. 2025</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&lt;EndNote&gt;&lt;Cite&gt;&lt;Author&gt;Huang&lt;/Author&gt;&lt;Year&gt;2025&lt;/Year&gt;&lt;RecNum&gt;492&lt;/RecNum&gt;&lt;DisplayText&gt;[17]&lt;/DisplayText&gt;&lt;record&gt;&lt;rec-number&gt;492&lt;/rec-number&gt;&lt;foreign-keys&gt;&lt;key app="EN" db-id="paaztsr04trapte5f9cpv9ss0fav5erzzr9a" timestamp="1744711987" guid="0e2c2cd7-12a9-406f-9417-f79fc6030ffc"&gt;492&lt;/key&gt;&lt;/foreign-keys&gt;&lt;ref-type name="Journal Article"&gt;17&lt;/ref-type&gt;&lt;contributors&gt;&lt;authors&gt;&lt;author&gt;Huang, Ya&lt;/author&gt;&lt;author&gt;Wu, Shuangdui&lt;/author&gt;&lt;author&gt;Zhao, Siming&lt;/author&gt;&lt;author&gt;Guo, Zhenyu&lt;/author&gt;&lt;author&gt;Zhao, Zhuojing&lt;/author&gt;&lt;author&gt;Wu, Xueke&lt;/author&gt;&lt;author&gt;Wang, Baoshun&lt;/author&gt;&lt;author&gt;Wang, Fei&lt;/author&gt;&lt;author&gt;Xi, Aike&lt;/author&gt;&lt;author&gt;Lan, Fan&lt;/author&gt;&lt;author&gt;Li, Yunrui&lt;/author&gt;&lt;author&gt;Xu, Jiaqi&lt;/author&gt;&lt;author&gt;Li, Run&lt;/author&gt;&lt;author&gt;Zhao, Yanlong&lt;/author&gt;&lt;author&gt;Zhang, Rufan&lt;/author&gt;&lt;/authors&gt;&lt;/contributors&gt;&lt;titles&gt;&lt;title&gt;A novel liquid flow electrochromic smart window for all-year-round dynamic photothermal regulation&lt;/title&gt;&lt;secondary-title&gt;Energy &amp;amp; Environmental Science&lt;/secondary-title&gt;&lt;/titles&gt;&lt;periodical&gt;&lt;full-title&gt;Energy &amp;amp; Environmental Science&lt;/full-title&gt;&lt;/periodical&gt;&lt;pages&gt;1824-1834&lt;/pages&gt;&lt;volume&gt;18&lt;/volume&gt;&lt;number&gt;4&lt;/number&gt;&lt;dates&gt;&lt;year&gt;2025&lt;/year&gt;&lt;/dates&gt;&lt;publisher&gt;The Royal Society of Chemistry&lt;/publisher&gt;&lt;isbn&gt;1754-5692&lt;/isbn&gt;&lt;work-type&gt;10.1039/D4EE05416D&lt;/work-type&gt;&lt;urls&gt;&lt;related-urls&gt;&lt;url&gt;http://dx.doi.org/10.1039/D4EE05416D&lt;/url&gt;&lt;/related-urls&gt;&lt;/urls&gt;&lt;electronic-resource-num&gt;10.1039/D4EE05416D&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[17]</w:t>
            </w:r>
            <w:r>
              <w:rPr>
                <w:rFonts w:ascii="Times New Roman" w:hAnsi="Times New Roman" w:cs="Times New Roman"/>
                <w:color w:val="0070C0"/>
                <w:sz w:val="20"/>
                <w:szCs w:val="20"/>
              </w:rPr>
              <w:fldChar w:fldCharType="end"/>
            </w:r>
          </w:p>
        </w:tc>
      </w:tr>
      <w:tr w14:paraId="529B047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3D80BC0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ITO/PEDOT:PSS</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42363A5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793E7AA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≈0.73</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7E8AA02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2753E92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≈0.7</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40D86D3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70B7EF4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0.6</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75D1FFC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0099678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0.94</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316457D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0.74</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5A2178C7">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Deng et al. 2025</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&lt;EndNote&gt;&lt;Cite&gt;&lt;Author&gt;Feng&lt;/Author&gt;&lt;Year&gt;2025&lt;/Year&gt;&lt;RecNum&gt;505&lt;/RecNum&gt;&lt;DisplayText&gt;[18]&lt;/DisplayText&gt;&lt;record&gt;&lt;rec-number&gt;505&lt;/rec-number&gt;&lt;foreign-keys&gt;&lt;key app="EN" db-id="paaztsr04trapte5f9cpv9ss0fav5erzzr9a" timestamp="1744797165" guid="a6c6855a-3da9-454b-863f-c30efb63de83"&gt;505&lt;/key&gt;&lt;/foreign-keys&gt;&lt;ref-type name="Journal Article"&gt;17&lt;/ref-type&gt;&lt;contributors&gt;&lt;authors&gt;&lt;author&gt;Feng, Kai&lt;/author&gt;&lt;author&gt;Ma, Yanfei&lt;/author&gt;&lt;author&gt;Zhang, Lina&lt;/author&gt;&lt;author&gt;Liu, Yubo&lt;/author&gt;&lt;author&gt;Liu, Yizhe&lt;/author&gt;&lt;author&gt;Xing, Zhencai&lt;/author&gt;&lt;author&gt;Pei, Xiaowei&lt;/author&gt;&lt;author&gt;Wu, Yang&lt;/author&gt;&lt;author&gt;Zhou, Feng&lt;/author&gt;&lt;/authors&gt;&lt;/contributors&gt;&lt;titles&gt;&lt;title&gt;Electrically Controlled Smart Window for Seasonally Adaptive Thermal Management in Buildings&lt;/title&gt;&lt;secondary-title&gt;Small&lt;/secondary-title&gt;&lt;/titles&gt;&lt;periodical&gt;&lt;full-title&gt;Small&lt;/full-title&gt;&lt;/periodical&gt;&lt;pages&gt;2407033&lt;/pages&gt;&lt;volume&gt;21&lt;/volume&gt;&lt;number&gt;5&lt;/number&gt;&lt;keywords&gt;&lt;keyword&gt;energy-saving&lt;/keyword&gt;&lt;keyword&gt;photothermal effect&lt;/keyword&gt;&lt;keyword&gt;radiative cooling&lt;/keyword&gt;&lt;keyword&gt;season-adaptive&lt;/keyword&gt;&lt;keyword&gt;smart window&lt;/keyword&gt;&lt;/keywords&gt;&lt;dates&gt;&lt;year&gt;2025&lt;/year&gt;&lt;pub-dates&gt;&lt;date&gt;2025/02/01&lt;/date&gt;&lt;/pub-dates&gt;&lt;/dates&gt;&lt;publisher&gt;John Wiley &amp;amp; Sons, Ltd&lt;/publisher&gt;&lt;isbn&gt;1613-6810&lt;/isbn&gt;&lt;urls&gt;&lt;related-urls&gt;&lt;url&gt;https://doi.org/10.1002/smll.202407033&lt;/url&gt;&lt;/related-urls&gt;&lt;/urls&gt;&lt;electronic-resource-num&gt;https://doi.org/10.1002/smll.202407033&lt;/electronic-resource-num&gt;&lt;access-date&gt;2025/04/16&lt;/access-date&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[18]</w:t>
            </w:r>
            <w:r>
              <w:rPr>
                <w:rFonts w:ascii="Times New Roman" w:hAnsi="Times New Roman" w:cs="Times New Roman"/>
                <w:color w:val="0070C0"/>
                <w:sz w:val="20"/>
                <w:szCs w:val="20"/>
              </w:rPr>
              <w:fldChar w:fldCharType="end"/>
            </w:r>
          </w:p>
        </w:tc>
      </w:tr>
      <w:tr w14:paraId="6C5E578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0CCCA46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Reconfigurable interwoven surface</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20F464C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30958E4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2F22F67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72ACA21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0.45</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06F6507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0.55</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2794FD3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7E1B69B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0.36</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2399C04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0.93</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0DD49A0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0.57</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7A48C8D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Ke et al. 2022</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&lt;EndNote&gt;&lt;Cite&gt;&lt;Author&gt;Ke&lt;/Author&gt;&lt;Year&gt;2022&lt;/Year&gt;&lt;RecNum&gt;497&lt;/RecNum&gt;&lt;DisplayText&gt;[19]&lt;/DisplayText&gt;&lt;record&gt;&lt;rec-number&gt;497&lt;/rec-number&gt;&lt;foreign-keys&gt;&lt;key app="EN" db-id="paaztsr04trapte5f9cpv9ss0fav5erzzr9a" timestamp="1744776185" guid="bf72fa4b-826b-4b98-9971-71b3f7e69897"&gt;497&lt;/key&gt;&lt;/foreign-keys&gt;&lt;ref-type name="Journal Article"&gt;17&lt;/ref-type&gt;&lt;contributors&gt;&lt;authors&gt;&lt;author&gt;Ke, Yujie&lt;/author&gt;&lt;author&gt;Li, Yanbin&lt;/author&gt;&lt;author&gt;Wu, Lichen&lt;/author&gt;&lt;author&gt;Wang, Shancheng&lt;/author&gt;&lt;author&gt;Yang, Ronggui&lt;/author&gt;&lt;author&gt;Yin, Jie&lt;/author&gt;&lt;author&gt;Tan, Gang&lt;/author&gt;&lt;author&gt;Long, Yi&lt;/author&gt;&lt;/authors&gt;&lt;/contributors&gt;&lt;titles&gt;&lt;title&gt;On-Demand Solar and Thermal Radiation Management Based on Switchable Interwoven Surfaces&lt;/title&gt;&lt;secondary-title&gt;ACS Energy Letters&lt;/secondary-title&gt;&lt;/titles&gt;&lt;periodical&gt;&lt;full-title&gt;ACS Energy Letters&lt;/full-title&gt;&lt;/periodical&gt;&lt;pages&gt;1758-1763&lt;/pages&gt;&lt;volume&gt;7&lt;/volume&gt;&lt;number&gt;5&lt;/number&gt;&lt;dates&gt;&lt;year&gt;2022&lt;/year&gt;&lt;pub-dates&gt;&lt;date&gt;2022/05/13&lt;/date&gt;&lt;/pub-dates&gt;&lt;/dates&gt;&lt;publisher&gt;American Chemical Society&lt;/publisher&gt;&lt;urls&gt;&lt;related-urls&gt;&lt;url&gt;https://doi.org/10.1021/acsenergylett.2c00419&lt;/url&gt;&lt;/related-urls&gt;&lt;/urls&gt;&lt;electronic-resource-num&gt;10.1021/acsenergylett.2c00419&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[19]</w:t>
            </w:r>
            <w:r>
              <w:rPr>
                <w:rFonts w:ascii="Times New Roman" w:hAnsi="Times New Roman" w:cs="Times New Roman"/>
                <w:color w:val="0070C0"/>
                <w:sz w:val="20"/>
                <w:szCs w:val="20"/>
              </w:rPr>
              <w:fldChar w:fldCharType="end"/>
            </w:r>
          </w:p>
        </w:tc>
      </w:tr>
      <w:tr w14:paraId="30E4C73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48DD52B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Flipping structure</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3391D58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No</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31FB7C9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0.47</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6712D19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0.47</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38FEF1E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≈0.25</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2096048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≈0.25</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652F0617">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32BC01F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0.13</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2AE254A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0.94</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293E75E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0.81</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226565F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Huang et al. 2024</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&lt;EndNote&gt;&lt;Cite&gt;&lt;Author&gt;Huang&lt;/Author&gt;&lt;Year&gt;2025&lt;/Year&gt;&lt;RecNum&gt;508&lt;/RecNum&gt;&lt;DisplayText&gt;[20]&lt;/DisplayText&gt;&lt;record&gt;&lt;rec-number&gt;508&lt;/rec-number&gt;&lt;foreign-keys&gt;&lt;key app="EN" db-id="paaztsr04trapte5f9cpv9ss0fav5erzzr9a" timestamp="1744810675" guid="387760e7-8de8-4c34-83e2-aa0ab90bad7a"&gt;508&lt;/key&gt;&lt;/foreign-keys&gt;&lt;ref-type name="Journal Article"&gt;17&lt;/ref-type&gt;&lt;contributors&gt;&lt;authors&gt;&lt;author&gt;Huang, Jingkai&lt;/author&gt;&lt;author&gt;Yuan, Liming&lt;/author&gt;&lt;author&gt;Liao, Jianming&lt;/author&gt;&lt;author&gt;Liu, Yang&lt;/author&gt;&lt;author&gt;Li, Dongxian&lt;/author&gt;&lt;author&gt;Wang, Yuetang&lt;/author&gt;&lt;author&gt;Lin, He&lt;/author&gt;&lt;author&gt;Ji, Chen&lt;/author&gt;&lt;author&gt;Ma, Xiaoliang&lt;/author&gt;&lt;author&gt;Huang, Cheng&lt;/author&gt;&lt;author&gt;Luo, Xiangang&lt;/author&gt;&lt;/authors&gt;&lt;/contributors&gt;&lt;titles&gt;&lt;title&gt;A Janus Spectrally Selective Glazing Toward All-Season Energy-Efficient Windows&lt;/title&gt;&lt;secondary-title&gt;Small&lt;/secondary-title&gt;&lt;/titles&gt;&lt;periodical&gt;&lt;full-title&gt;Small&lt;/full-title&gt;&lt;/periodical&gt;&lt;pages&gt;2407204&lt;/pages&gt;&lt;volume&gt;21&lt;/volume&gt;&lt;number&gt;10&lt;/number&gt;&lt;keywords&gt;&lt;keyword&gt;antifogging&lt;/keyword&gt;&lt;keyword&gt;energy-efficien&lt;/keyword&gt;&lt;keyword&gt;natural lighting&lt;/keyword&gt;&lt;keyword&gt;photothermal effect&lt;/keyword&gt;&lt;keyword&gt;radiative cooling&lt;/keyword&gt;&lt;/keywords&gt;&lt;dates&gt;&lt;year&gt;2025&lt;/year&gt;&lt;pub-dates&gt;&lt;date&gt;2025/03/01&lt;/date&gt;&lt;/pub-dates&gt;&lt;/dates&gt;&lt;publisher&gt;John Wiley &amp;amp; Sons, Ltd&lt;/publisher&gt;&lt;isbn&gt;1613-6810&lt;/isbn&gt;&lt;urls&gt;&lt;related-urls&gt;&lt;url&gt;https://doi.org/10.1002/smll.202407204&lt;/url&gt;&lt;/related-urls&gt;&lt;/urls&gt;&lt;electronic-resource-num&gt;https://doi.org/10.1002/smll.202407204&lt;/electronic-resource-num&gt;&lt;access-date&gt;2025/04/16&lt;/access-date&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[20]</w:t>
            </w:r>
            <w:r>
              <w:rPr>
                <w:rFonts w:ascii="Times New Roman" w:hAnsi="Times New Roman" w:cs="Times New Roman"/>
                <w:color w:val="0070C0"/>
                <w:sz w:val="20"/>
                <w:szCs w:val="20"/>
              </w:rPr>
              <w:fldChar w:fldCharType="end"/>
            </w:r>
          </w:p>
        </w:tc>
      </w:tr>
      <w:tr w14:paraId="4617425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49507AB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Flipping PDLC</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7CBD5FA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Yes</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3352FD2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0.36</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046CEC0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haze</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555F6A3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0.43</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5ACF6A3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5B3E020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0.42</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3BACD67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45C2E9F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0.95</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3F333C52">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0.65</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3B361A4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Deng et al. 2024</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&lt;EndNote&gt;&lt;Cite&gt;&lt;Author&gt;Deng&lt;/Author&gt;&lt;Year&gt;2024&lt;/Year&gt;&lt;RecNum&gt;507&lt;/RecNum&gt;&lt;DisplayText&gt;[21]&lt;/DisplayText&gt;&lt;record&gt;&lt;rec-number&gt;507&lt;/rec-number&gt;&lt;foreign-keys&gt;&lt;key app="EN" db-id="paaztsr04trapte5f9cpv9ss0fav5erzzr9a" timestamp="1744809360" guid="fb75ec5f-b0de-403b-a2ab-e4de4538cc02"&gt;507&lt;/key&gt;&lt;/foreign-keys&gt;&lt;ref-type name="Journal Article"&gt;17&lt;/ref-type&gt;&lt;contributors&gt;&lt;authors&gt;&lt;author&gt;Deng, Yuan&lt;/author&gt;&lt;author&gt;Yang, Yihai&lt;/author&gt;&lt;author&gt;Xiao, Yuanhang&lt;/author&gt;&lt;author&gt;Zeng, Xingping&lt;/author&gt;&lt;author&gt;Xie, He-Lou&lt;/author&gt;&lt;author&gt;Lan, Ruochen&lt;/author&gt;&lt;author&gt;Zhang, Lanying&lt;/author&gt;&lt;author&gt;Yang, Huai&lt;/author&gt;&lt;/authors&gt;&lt;/contributors&gt;&lt;titles&gt;&lt;title&gt;Annual Energy-Saving Smart Windows with Actively Controllable Passive Radiative Cooling and Multimode Heating Regulation&lt;/title&gt;&lt;secondary-title&gt;Advanced Materials&lt;/secondary-title&gt;&lt;/titles&gt;&lt;periodical&gt;&lt;full-title&gt;Advanced materials&lt;/full-title&gt;&lt;/periodical&gt;&lt;pages&gt;2401869&lt;/pages&gt;&lt;volume&gt;36&lt;/volume&gt;&lt;number&gt;27&lt;/number&gt;&lt;keywords&gt;&lt;keyword&gt;smart window&lt;/keyword&gt;&lt;keyword&gt;multistage passive radiative cooling&lt;/keyword&gt;&lt;keyword&gt;multimode heating&lt;/keyword&gt;&lt;keyword&gt;year-round energy saving&lt;/keyword&gt;&lt;/keywords&gt;&lt;dates&gt;&lt;year&gt;2024&lt;/year&gt;&lt;pub-dates&gt;&lt;date&gt;2024/07/01&lt;/date&gt;&lt;/pub-dates&gt;&lt;/dates&gt;&lt;publisher&gt;John Wiley &amp;amp; Sons, Ltd&lt;/publisher&gt;&lt;isbn&gt;0935-9648&lt;/isbn&gt;&lt;urls&gt;&lt;related-urls&gt;&lt;url&gt;https://doi.org/10.1002/adma.202401869&lt;/url&gt;&lt;/related-urls&gt;&lt;/urls&gt;&lt;electronic-resource-num&gt;https://doi.org/10.1002/adma.202401869&lt;/electronic-resource-num&gt;&lt;access-date&gt;2025/04/16&lt;/access-date&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[21]</w:t>
            </w:r>
            <w:r>
              <w:rPr>
                <w:rFonts w:ascii="Times New Roman" w:hAnsi="Times New Roman" w:cs="Times New Roman"/>
                <w:color w:val="0070C0"/>
                <w:sz w:val="20"/>
                <w:szCs w:val="20"/>
              </w:rPr>
              <w:fldChar w:fldCharType="end"/>
            </w:r>
          </w:p>
        </w:tc>
      </w:tr>
      <w:tr w14:paraId="1A9E17D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36"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4C1D243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Flipping structure with hydrogel</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6861413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Yes</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015C0F5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0.72</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1F6AB15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0.08</w:t>
            </w:r>
            <w:r>
              <w:rPr>
                <w:rFonts w:hint="eastAsia" w:ascii="Times New Roman" w:hAnsi="Times New Roman" w:cs="Times New Roman"/>
                <w:b w:val="0"/>
                <w:bCs/>
                <w:sz w:val="20"/>
                <w:szCs w:val="20"/>
              </w:rPr>
              <w:t xml:space="preserve"> </w:t>
            </w:r>
            <w:r>
              <w:rPr>
                <w:rFonts w:ascii="Times New Roman" w:hAnsi="Times New Roman" w:cs="Times New Roman"/>
                <w:b w:val="0"/>
                <w:bCs/>
                <w:sz w:val="20"/>
                <w:szCs w:val="20"/>
              </w:rPr>
              <w:t>haze</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4017B29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0.57</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290E818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0.07</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64ADBD47">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0.50</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715D3C4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493BC31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 (PE)</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0E19A15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3097118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Wang et al. 2021</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&lt;EndNote&gt;&lt;Cite&gt;&lt;Author&gt;Wang&lt;/Author&gt;&lt;Year&gt;2021&lt;/Year&gt;&lt;RecNum&gt;496&lt;/RecNum&gt;&lt;DisplayText&gt;[22]&lt;/DisplayText&gt;&lt;record&gt;&lt;rec-number&gt;496&lt;/rec-number&gt;&lt;foreign-keys&gt;&lt;key app="EN" db-id="paaztsr04trapte5f9cpv9ss0fav5erzzr9a" timestamp="1744775356" guid="13d40b29-441e-4206-8b0b-452af854f214"&gt;496&lt;/key&gt;&lt;/foreign-keys&gt;&lt;ref-type name="Journal Article"&gt;17&lt;/ref-type&gt;&lt;contributors&gt;&lt;authors&gt;&lt;author&gt;Wang, Shancheng&lt;/author&gt;&lt;author&gt;Zhou, Yang&lt;/author&gt;&lt;author&gt;Jiang, Tengyao&lt;/author&gt;&lt;author&gt;Yang, Ronggui&lt;/author&gt;&lt;author&gt;Tan, Gang&lt;/author&gt;&lt;author&gt;Long, Yi&lt;/author&gt;&lt;/authors&gt;&lt;/contributors&gt;&lt;titles&gt;&lt;title&gt;Thermochromic smart windows with highly regulated radiative cooling and solar transmission&lt;/title&gt;&lt;secondary-title&gt;Nano Energy&lt;/secondary-title&gt;&lt;/titles&gt;&lt;periodical&gt;&lt;full-title&gt;Nano Energy&lt;/full-title&gt;&lt;/periodical&gt;&lt;pages&gt;106440&lt;/pages&gt;&lt;volume&gt;89&lt;/volume&gt;&lt;keywords&gt;&lt;keyword&gt;Radiative cooling&lt;/keyword&gt;&lt;keyword&gt;Smart window&lt;/keyword&gt;&lt;keyword&gt;Energy saving&lt;/keyword&gt;&lt;keyword&gt;Thermochromic&lt;/keyword&gt;&lt;/keywords&gt;&lt;dates&gt;&lt;year&gt;2021&lt;/year&gt;&lt;pub-dates&gt;&lt;date&gt;2021/11/01/&lt;/date&gt;&lt;/pub-dates&gt;&lt;/dates&gt;&lt;isbn&gt;2211-2855&lt;/isbn&gt;&lt;urls&gt;&lt;related-urls&gt;&lt;url&gt;https://www.sciencedirect.com/science/article/pii/S2211285521006959&lt;/url&gt;&lt;/related-urls&gt;&lt;/urls&gt;&lt;electronic-resource-num&gt;https://doi.org/10.1016/j.nanoen.2021.106440&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[22]</w:t>
            </w:r>
            <w:r>
              <w:rPr>
                <w:rFonts w:ascii="Times New Roman" w:hAnsi="Times New Roman" w:cs="Times New Roman"/>
                <w:color w:val="0070C0"/>
                <w:sz w:val="20"/>
                <w:szCs w:val="20"/>
              </w:rPr>
              <w:fldChar w:fldCharType="end"/>
            </w:r>
          </w:p>
        </w:tc>
      </w:tr>
      <w:tr w14:paraId="048AEFE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0959ECE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Hydrogel and AgNW</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2D2CBF2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Yes</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49C9D69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0.78</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7A09BA47">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haze</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21775A9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0.66</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65AEA0B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0.07</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1E1ECD9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0.58</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33FCBA0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0.35</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6FD84690">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0.92</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72C7951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0.57</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77CB711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Lin et al. 2022</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&lt;EndNote&gt;&lt;Cite&gt;&lt;Author&gt;Lin&lt;/Author&gt;&lt;RecNum&gt;494&lt;/RecNum&gt;&lt;DisplayText&gt;[23]&lt;/DisplayText&gt;&lt;record&gt;&lt;rec-number&gt;494&lt;/rec-number&gt;&lt;foreign-keys&gt;&lt;key app="EN" db-id="paaztsr04trapte5f9cpv9ss0fav5erzzr9a" timestamp="1744774783" guid="ba2b60ea-8374-48d8-bcc7-ee385743bd22"&gt;494&lt;/key&gt;&lt;/foreign-keys&gt;&lt;ref-type name="Journal Article"&gt;17&lt;/ref-type&gt;&lt;contributors&gt;&lt;authors&gt;&lt;author&gt;Lin, Chongjia&lt;/author&gt;&lt;author&gt;Hur, Jun&lt;/author&gt;&lt;author&gt;Chao, Christopher Y. H.&lt;/author&gt;&lt;author&gt;Liu, Gongze&lt;/author&gt;&lt;author&gt;Yao, Shuhuai&lt;/author&gt;&lt;author&gt;Li, Weihong&lt;/author&gt;&lt;author&gt;Huang, Baoling&lt;/author&gt;&lt;/authors&gt;&lt;/contributors&gt;&lt;titles&gt;&lt;title&gt;All-weather thermochromic windows for synchronous solar and thermal radiation regulation&lt;/title&gt;&lt;secondary-title&gt;Science Advances&lt;/secondary-title&gt;&lt;/titles&gt;&lt;periodical&gt;&lt;full-title&gt;Science Advances&lt;/full-title&gt;&lt;/periodical&gt;&lt;pages&gt;eabn7359&lt;/pages&gt;&lt;volume&gt;8&lt;/volume&gt;&lt;number&gt;17&lt;/number&gt;&lt;dates&gt;&lt;/dates&gt;&lt;publisher&gt;American Association for the Advancement of Science&lt;/publisher&gt;&lt;urls&gt;&lt;related-urls&gt;&lt;url&gt;https://doi.org/10.1126/sciadv.abn7359&lt;/url&gt;&lt;/related-urls&gt;&lt;/urls&gt;&lt;electronic-resource-num&gt;10.1126/sciadv.abn7359&lt;/electronic-resource-num&gt;&lt;access-date&gt;2025/04/15&lt;/access-date&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[23]</w:t>
            </w:r>
            <w:r>
              <w:rPr>
                <w:rFonts w:ascii="Times New Roman" w:hAnsi="Times New Roman" w:cs="Times New Roman"/>
                <w:color w:val="0070C0"/>
                <w:sz w:val="20"/>
                <w:szCs w:val="20"/>
              </w:rPr>
              <w:fldChar w:fldCharType="end"/>
            </w:r>
          </w:p>
        </w:tc>
      </w:tr>
      <w:tr w14:paraId="15AD364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4B2AFCEF">
            <w:pPr>
              <w:pStyle w:val="3"/>
              <w:tabs>
                <w:tab w:val="left" w:pos="567"/>
              </w:tabs>
              <w:snapToGrid w:val="0"/>
              <w:spacing w:before="0" w:after="0" w:line="288" w:lineRule="auto"/>
              <w:rPr>
                <w:rFonts w:ascii="Times New Roman" w:hAnsi="Times New Roman" w:cs="Times New Roman"/>
                <w:b w:val="0"/>
                <w:bCs/>
                <w:sz w:val="20"/>
                <w:szCs w:val="20"/>
              </w:rPr>
            </w:pPr>
            <w:r>
              <w:rPr>
                <w:rFonts w:hint="eastAsia" w:ascii="Times New Roman" w:hAnsi="Times New Roman" w:cs="Times New Roman"/>
                <w:b w:val="0"/>
                <w:bCs/>
                <w:sz w:val="20"/>
                <w:szCs w:val="20"/>
              </w:rPr>
              <w:t>H</w:t>
            </w:r>
            <w:r>
              <w:rPr>
                <w:rFonts w:ascii="Times New Roman" w:hAnsi="Times New Roman" w:cs="Times New Roman"/>
                <w:b w:val="0"/>
                <w:bCs/>
                <w:sz w:val="20"/>
                <w:szCs w:val="20"/>
              </w:rPr>
              <w:t>ydrogel</w:t>
            </w:r>
            <w:r>
              <w:rPr>
                <w:rFonts w:hint="eastAsia" w:ascii="Times New Roman" w:hAnsi="Times New Roman" w:cs="Times New Roman"/>
                <w:b w:val="0"/>
                <w:bCs/>
                <w:sz w:val="20"/>
                <w:szCs w:val="20"/>
              </w:rPr>
              <w:t xml:space="preserve"> and AgNW</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6D55B78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Yes</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496B71F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t>
            </w:r>
            <w:r>
              <w:rPr>
                <w:rFonts w:hint="eastAsia" w:ascii="Times New Roman" w:hAnsi="Times New Roman" w:cs="Times New Roman"/>
                <w:b w:val="0"/>
                <w:bCs/>
                <w:sz w:val="20"/>
                <w:szCs w:val="20"/>
              </w:rPr>
              <w:t>0.70</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44029342">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haze</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39003F0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t>
            </w:r>
            <w:r>
              <w:rPr>
                <w:rFonts w:hint="eastAsia" w:ascii="Times New Roman" w:hAnsi="Times New Roman" w:cs="Times New Roman"/>
                <w:b w:val="0"/>
                <w:bCs/>
                <w:sz w:val="20"/>
                <w:szCs w:val="20"/>
              </w:rPr>
              <w:t>0.66</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7F4A97E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t>
            </w:r>
            <w:r>
              <w:rPr>
                <w:rFonts w:hint="eastAsia" w:ascii="Times New Roman" w:hAnsi="Times New Roman" w:cs="Times New Roman"/>
                <w:b w:val="0"/>
                <w:bCs/>
                <w:sz w:val="20"/>
                <w:szCs w:val="20"/>
              </w:rPr>
              <w:t>0</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5F7606AD">
            <w:pPr>
              <w:pStyle w:val="3"/>
              <w:tabs>
                <w:tab w:val="left" w:pos="567"/>
              </w:tabs>
              <w:snapToGrid w:val="0"/>
              <w:spacing w:before="0" w:after="0" w:line="288" w:lineRule="auto"/>
              <w:rPr>
                <w:rFonts w:ascii="Times New Roman" w:hAnsi="Times New Roman" w:cs="Times New Roman"/>
                <w:b w:val="0"/>
                <w:bCs/>
                <w:sz w:val="20"/>
                <w:szCs w:val="20"/>
              </w:rPr>
            </w:pPr>
            <w:r>
              <w:rPr>
                <w:rFonts w:hint="eastAsia" w:ascii="Times New Roman" w:hAnsi="Times New Roman" w:cs="Times New Roman"/>
                <w:b w:val="0"/>
                <w:bCs/>
                <w:sz w:val="20"/>
                <w:szCs w:val="20"/>
              </w:rPr>
              <w:t>0.66</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6AC8D1A0">
            <w:pPr>
              <w:pStyle w:val="3"/>
              <w:tabs>
                <w:tab w:val="left" w:pos="567"/>
              </w:tabs>
              <w:snapToGrid w:val="0"/>
              <w:spacing w:before="0" w:after="0" w:line="288" w:lineRule="auto"/>
              <w:rPr>
                <w:rFonts w:ascii="Times New Roman" w:hAnsi="Times New Roman" w:cs="Times New Roman"/>
                <w:b w:val="0"/>
                <w:bCs/>
                <w:sz w:val="20"/>
                <w:szCs w:val="20"/>
              </w:rPr>
            </w:pPr>
            <w:r>
              <w:rPr>
                <w:rFonts w:hint="eastAsia" w:ascii="Times New Roman" w:hAnsi="Times New Roman" w:cs="Times New Roman"/>
                <w:b w:val="0"/>
                <w:bCs/>
                <w:sz w:val="20"/>
                <w:szCs w:val="20"/>
              </w:rPr>
              <w:t>N/A</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5A0C409B">
            <w:pPr>
              <w:pStyle w:val="3"/>
              <w:tabs>
                <w:tab w:val="left" w:pos="567"/>
              </w:tabs>
              <w:snapToGrid w:val="0"/>
              <w:spacing w:before="0" w:after="0" w:line="288" w:lineRule="auto"/>
              <w:rPr>
                <w:rFonts w:ascii="Times New Roman" w:hAnsi="Times New Roman" w:cs="Times New Roman"/>
                <w:b w:val="0"/>
                <w:bCs/>
                <w:sz w:val="20"/>
                <w:szCs w:val="20"/>
              </w:rPr>
            </w:pPr>
            <w:r>
              <w:rPr>
                <w:rFonts w:hint="eastAsia" w:ascii="Times New Roman" w:hAnsi="Times New Roman" w:cs="Times New Roman"/>
                <w:b w:val="0"/>
                <w:bCs/>
                <w:sz w:val="20"/>
                <w:szCs w:val="20"/>
              </w:rPr>
              <w:t>N/A</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6C07D544">
            <w:pPr>
              <w:pStyle w:val="3"/>
              <w:tabs>
                <w:tab w:val="left" w:pos="567"/>
              </w:tabs>
              <w:snapToGrid w:val="0"/>
              <w:spacing w:before="0" w:after="0" w:line="288" w:lineRule="auto"/>
              <w:rPr>
                <w:rFonts w:ascii="Times New Roman" w:hAnsi="Times New Roman" w:cs="Times New Roman"/>
                <w:b w:val="0"/>
                <w:bCs/>
                <w:sz w:val="20"/>
                <w:szCs w:val="20"/>
              </w:rPr>
            </w:pPr>
            <w:r>
              <w:rPr>
                <w:rFonts w:hint="eastAsia" w:ascii="Times New Roman" w:hAnsi="Times New Roman" w:cs="Times New Roman"/>
                <w:b w:val="0"/>
                <w:bCs/>
                <w:sz w:val="20"/>
                <w:szCs w:val="20"/>
              </w:rPr>
              <w:t>0.32</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3CE88201">
            <w:pPr>
              <w:pStyle w:val="3"/>
              <w:tabs>
                <w:tab w:val="left" w:pos="567"/>
              </w:tabs>
              <w:snapToGrid w:val="0"/>
              <w:spacing w:before="0" w:after="0" w:line="288" w:lineRule="auto"/>
              <w:rPr>
                <w:rFonts w:ascii="Times New Roman" w:hAnsi="Times New Roman" w:cs="Times New Roman"/>
                <w:b w:val="0"/>
                <w:bCs/>
                <w:sz w:val="20"/>
                <w:szCs w:val="20"/>
              </w:rPr>
            </w:pPr>
            <w:r>
              <w:rPr>
                <w:rFonts w:hint="eastAsia" w:ascii="Times New Roman" w:hAnsi="Times New Roman" w:cs="Times New Roman"/>
                <w:b w:val="0"/>
                <w:bCs/>
                <w:sz w:val="20"/>
                <w:szCs w:val="20"/>
              </w:rPr>
              <w:t>Yu et al. 2025</w:t>
            </w:r>
            <w:r>
              <w:rPr>
                <w:rFonts w:hint="eastAsia" w:ascii="Times New Roman" w:hAnsi="Times New Roman" w:cs="Times New Roman"/>
                <w:color w:val="0070C0"/>
                <w:sz w:val="20"/>
                <w:szCs w:val="20"/>
              </w:rPr>
              <w:t xml:space="preserve"> </w:t>
            </w:r>
            <w:r>
              <w:rPr>
                <w:rFonts w:hint="eastAsia"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&lt;EndNote&gt;&lt;Cite&gt;&lt;Author&gt;Tu&lt;/Author&gt;&lt;Year&gt;2025&lt;/Year&gt;&lt;RecNum&gt;1092&lt;/RecNum&gt;&lt;DisplayText&gt;[24]&lt;/DisplayText&gt;&lt;record&gt;&lt;rec-number&gt;1092&lt;/rec-number&gt;&lt;foreign-keys&gt;&lt;key app="EN" db-id="paaztsr04trapte5f9cpv9ss0fav5erzzr9a" timestamp="1755851763" guid="9008457a-e942-42eb-be29-7c09236064af"&gt;1092&lt;/key&gt;&lt;/foreign-keys&gt;&lt;ref-type name="Journal Article"&gt;17&lt;/ref-type&gt;&lt;contributors&gt;&lt;authors&gt;&lt;author&gt;Tu, Hongyi&lt;/author&gt;&lt;author&gt;Wang, Tong&lt;/author&gt;&lt;author&gt;Chen, Min&lt;/author&gt;&lt;author&gt;Wu, Limin&lt;/author&gt;&lt;/authors&gt;&lt;/contributors&gt;&lt;titles&gt;&lt;title&gt;Isotope-driven hydrogel smart windows for self-adaptive thermoregulation&lt;/title&gt;&lt;secondary-title&gt;Nature Communications&lt;/secondary-title&gt;&lt;/titles&gt;&lt;periodical&gt;&lt;full-title&gt;Nature Communications&lt;/full-title&gt;&lt;/periodical&gt;&lt;pages&gt;6952&lt;/pages&gt;&lt;volume&gt;16&lt;/volume&gt;&lt;number&gt;1&lt;/number&gt;&lt;dates&gt;&lt;year&gt;2025&lt;/year&gt;&lt;pub-dates&gt;&lt;date&gt;2025/07/29&lt;/date&gt;&lt;/pub-dates&gt;&lt;/dates&gt;&lt;isbn&gt;2041-1723&lt;/isbn&gt;&lt;urls&gt;&lt;related-urls&gt;&lt;url&gt;https://doi.org/10.1038/s41467-025-62432-3&lt;/url&gt;&lt;/related-urls&gt;&lt;/urls&gt;&lt;electronic-resource-num&gt;10.1038/s41467-025-62432-3&lt;/electronic-resource-num&gt;&lt;/record&gt;&lt;/Cite&gt;&lt;/EndNote&gt;</w:instrText>
            </w:r>
            <w:r>
              <w:rPr>
                <w:rFonts w:hint="eastAsia"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[24]</w:t>
            </w:r>
            <w:r>
              <w:rPr>
                <w:rFonts w:hint="eastAsia" w:ascii="Times New Roman" w:hAnsi="Times New Roman" w:cs="Times New Roman"/>
                <w:color w:val="0070C0"/>
                <w:sz w:val="20"/>
                <w:szCs w:val="20"/>
              </w:rPr>
              <w:fldChar w:fldCharType="end"/>
            </w:r>
          </w:p>
        </w:tc>
      </w:tr>
      <w:tr w14:paraId="1DDCB2A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032027F2">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VO</w:t>
            </w:r>
            <w:r>
              <w:rPr>
                <w:rFonts w:ascii="Times New Roman" w:hAnsi="Times New Roman" w:cs="Times New Roman"/>
                <w:b w:val="0"/>
                <w:bCs/>
                <w:sz w:val="20"/>
                <w:szCs w:val="20"/>
                <w:vertAlign w:val="subscript"/>
              </w:rPr>
              <w:t>2</w:t>
            </w:r>
            <w:r>
              <w:rPr>
                <w:rFonts w:ascii="Times New Roman" w:hAnsi="Times New Roman" w:cs="Times New Roman"/>
                <w:b w:val="0"/>
                <w:bCs/>
                <w:sz w:val="20"/>
                <w:szCs w:val="20"/>
              </w:rPr>
              <w:t xml:space="preserve"> and hydrogel</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4F17CCD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Yes</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41481CB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0.21</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230FD5C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haze</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2182612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0.20</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74213D0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7922DE52">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782C700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0.35</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5B48AD9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0.69</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153EBF55">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0.33</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468C7E9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Zhang et al. 2025</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&lt;EndNote&gt;&lt;Cite&gt;&lt;Author&gt;Zhang&lt;/Author&gt;&lt;Year&gt;2023&lt;/Year&gt;&lt;RecNum&gt;499&lt;/RecNum&gt;&lt;DisplayText&gt;[25]&lt;/DisplayText&gt;&lt;record&gt;&lt;rec-number&gt;499&lt;/rec-number&gt;&lt;foreign-keys&gt;&lt;key app="EN" db-id="paaztsr04trapte5f9cpv9ss0fav5erzzr9a" timestamp="1744794325" guid="1672fb56-ad29-45f5-9e38-1ae72ba9cdf0"&gt;499&lt;/key&gt;&lt;/foreign-keys&gt;&lt;ref-type name="Journal Article"&gt;17&lt;/ref-type&gt;&lt;contributors&gt;&lt;authors&gt;&lt;author&gt;Zhang, Rong&lt;/author&gt;&lt;author&gt;Li, Renzhi&lt;/author&gt;&lt;author&gt;Xu, Peng&lt;/author&gt;&lt;author&gt;Zhong, Wenhuan&lt;/author&gt;&lt;author&gt;Zhang, Yifan&lt;/author&gt;&lt;author&gt;Luo, Zhenyang&lt;/author&gt;&lt;author&gt;Xiang, Bo&lt;/author&gt;&lt;/authors&gt;&lt;/contributors&gt;&lt;titles&gt;&lt;title&gt;Thermochromic smart window utilizing passive radiative cooling for Self-Adaptive thermoregulation&lt;/title&gt;&lt;secondary-title&gt;Chemical Engineering Journal&lt;/secondary-title&gt;&lt;/titles&gt;&lt;periodical&gt;&lt;full-title&gt;Chemical Engineering Journal&lt;/full-title&gt;&lt;/periodical&gt;&lt;pages&gt;144527&lt;/pages&gt;&lt;volume&gt;471&lt;/volume&gt;&lt;keywords&gt;&lt;keyword&gt;Radiative Cooling&lt;/keyword&gt;&lt;keyword&gt;Solar Energy&lt;/keyword&gt;&lt;keyword&gt;Dynamic Emissivity Modulation&lt;/keyword&gt;&lt;keyword&gt;Smart Windows&lt;/keyword&gt;&lt;/keywords&gt;&lt;dates&gt;&lt;year&gt;2023&lt;/year&gt;&lt;pub-dates&gt;&lt;date&gt;2023/09/01/&lt;/date&gt;&lt;/pub-dates&gt;&lt;/dates&gt;&lt;isbn&gt;1385-8947&lt;/isbn&gt;&lt;urls&gt;&lt;related-urls&gt;&lt;url&gt;https://www.sciencedirect.com/science/article/pii/S1385894723032588&lt;/url&gt;&lt;/related-urls&gt;&lt;/urls&gt;&lt;electronic-resource-num&gt;https://doi.org/10.1016/j.cej.2023.144527&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[25]</w:t>
            </w:r>
            <w:r>
              <w:rPr>
                <w:rFonts w:ascii="Times New Roman" w:hAnsi="Times New Roman" w:cs="Times New Roman"/>
                <w:color w:val="0070C0"/>
                <w:sz w:val="20"/>
                <w:szCs w:val="20"/>
              </w:rPr>
              <w:fldChar w:fldCharType="end"/>
            </w:r>
          </w:p>
        </w:tc>
      </w:tr>
      <w:tr w14:paraId="4F62BB6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EBEBE" w:themeColor="background1" w:themeShade="BF" w:sz="4" w:space="0"/>
            </w:tcBorders>
            <w:shd w:val="clear" w:color="auto" w:fill="auto"/>
          </w:tcPr>
          <w:p w14:paraId="618BA0B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Mechanical strain</w:t>
            </w:r>
          </w:p>
        </w:tc>
        <w:tc>
          <w:tcPr>
            <w:tcW w:w="1302" w:type="dxa"/>
            <w:tcBorders>
              <w:top w:val="dashed" w:color="BEBEBE" w:themeColor="background1" w:themeShade="BF" w:sz="4" w:space="0"/>
              <w:bottom w:val="dashed" w:color="BEBEBE" w:themeColor="background1" w:themeShade="BF" w:sz="4" w:space="0"/>
            </w:tcBorders>
            <w:shd w:val="clear" w:color="auto" w:fill="auto"/>
            <w:noWrap/>
          </w:tcPr>
          <w:p w14:paraId="15BF8CB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Yes</w:t>
            </w:r>
          </w:p>
        </w:tc>
        <w:tc>
          <w:tcPr>
            <w:tcW w:w="1114" w:type="dxa"/>
            <w:tcBorders>
              <w:top w:val="dashed" w:color="BEBEBE" w:themeColor="background1" w:themeShade="BF" w:sz="4" w:space="0"/>
              <w:bottom w:val="dashed" w:color="BEBEBE" w:themeColor="background1" w:themeShade="BF" w:sz="4" w:space="0"/>
            </w:tcBorders>
            <w:shd w:val="clear" w:color="auto" w:fill="auto"/>
            <w:noWrap/>
          </w:tcPr>
          <w:p w14:paraId="00C8D88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w:t>
            </w:r>
          </w:p>
        </w:tc>
        <w:tc>
          <w:tcPr>
            <w:tcW w:w="1150" w:type="dxa"/>
            <w:tcBorders>
              <w:top w:val="dashed" w:color="BEBEBE" w:themeColor="background1" w:themeShade="BF" w:sz="4" w:space="0"/>
              <w:bottom w:val="dashed" w:color="BEBEBE" w:themeColor="background1" w:themeShade="BF" w:sz="4" w:space="0"/>
            </w:tcBorders>
            <w:shd w:val="clear" w:color="auto" w:fill="auto"/>
            <w:noWrap/>
          </w:tcPr>
          <w:p w14:paraId="256C35F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≈0.15</w:t>
            </w:r>
          </w:p>
        </w:tc>
        <w:tc>
          <w:tcPr>
            <w:tcW w:w="1040" w:type="dxa"/>
            <w:tcBorders>
              <w:top w:val="dashed" w:color="BEBEBE" w:themeColor="background1" w:themeShade="BF" w:sz="4" w:space="0"/>
              <w:bottom w:val="dashed" w:color="BEBEBE" w:themeColor="background1" w:themeShade="BF" w:sz="4" w:space="0"/>
            </w:tcBorders>
            <w:shd w:val="clear" w:color="auto" w:fill="auto"/>
            <w:noWrap/>
          </w:tcPr>
          <w:p w14:paraId="45C5481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w:t>
            </w:r>
          </w:p>
        </w:tc>
        <w:tc>
          <w:tcPr>
            <w:tcW w:w="920" w:type="dxa"/>
            <w:tcBorders>
              <w:top w:val="dashed" w:color="BEBEBE" w:themeColor="background1" w:themeShade="BF" w:sz="4" w:space="0"/>
              <w:bottom w:val="dashed" w:color="BEBEBE" w:themeColor="background1" w:themeShade="BF" w:sz="4" w:space="0"/>
            </w:tcBorders>
            <w:shd w:val="clear" w:color="auto" w:fill="auto"/>
            <w:noWrap/>
          </w:tcPr>
          <w:p w14:paraId="0DEA705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0.25</w:t>
            </w:r>
          </w:p>
        </w:tc>
        <w:tc>
          <w:tcPr>
            <w:tcW w:w="835" w:type="dxa"/>
            <w:tcBorders>
              <w:top w:val="dashed" w:color="BEBEBE" w:themeColor="background1" w:themeShade="BF" w:sz="4" w:space="0"/>
              <w:bottom w:val="dashed" w:color="BEBEBE" w:themeColor="background1" w:themeShade="BF" w:sz="4" w:space="0"/>
            </w:tcBorders>
            <w:shd w:val="clear" w:color="auto" w:fill="auto"/>
            <w:noWrap/>
          </w:tcPr>
          <w:p w14:paraId="6913374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0.55</w:t>
            </w:r>
          </w:p>
        </w:tc>
        <w:tc>
          <w:tcPr>
            <w:tcW w:w="947" w:type="dxa"/>
            <w:tcBorders>
              <w:top w:val="dashed" w:color="BEBEBE" w:themeColor="background1" w:themeShade="BF" w:sz="4" w:space="0"/>
              <w:bottom w:val="dashed" w:color="BEBEBE" w:themeColor="background1" w:themeShade="BF" w:sz="4" w:space="0"/>
            </w:tcBorders>
            <w:shd w:val="clear" w:color="auto" w:fill="auto"/>
            <w:noWrap/>
          </w:tcPr>
          <w:p w14:paraId="21C39CE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0.59</w:t>
            </w:r>
          </w:p>
        </w:tc>
        <w:tc>
          <w:tcPr>
            <w:tcW w:w="1050" w:type="dxa"/>
            <w:tcBorders>
              <w:top w:val="dashed" w:color="BEBEBE" w:themeColor="background1" w:themeShade="BF" w:sz="4" w:space="0"/>
              <w:bottom w:val="dashed" w:color="BEBEBE" w:themeColor="background1" w:themeShade="BF" w:sz="4" w:space="0"/>
            </w:tcBorders>
            <w:shd w:val="clear" w:color="auto" w:fill="auto"/>
            <w:noWrap/>
          </w:tcPr>
          <w:p w14:paraId="525878D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0.84</w:t>
            </w:r>
          </w:p>
        </w:tc>
        <w:tc>
          <w:tcPr>
            <w:tcW w:w="918" w:type="dxa"/>
            <w:tcBorders>
              <w:top w:val="dashed" w:color="BEBEBE" w:themeColor="background1" w:themeShade="BF" w:sz="4" w:space="0"/>
              <w:bottom w:val="dashed" w:color="BEBEBE" w:themeColor="background1" w:themeShade="BF" w:sz="4" w:space="0"/>
            </w:tcBorders>
            <w:shd w:val="clear" w:color="auto" w:fill="auto"/>
            <w:noWrap/>
          </w:tcPr>
          <w:p w14:paraId="764361B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0.25</w:t>
            </w:r>
          </w:p>
        </w:tc>
        <w:tc>
          <w:tcPr>
            <w:tcW w:w="2605" w:type="dxa"/>
            <w:tcBorders>
              <w:top w:val="dashed" w:color="BEBEBE" w:themeColor="background1" w:themeShade="BF" w:sz="4" w:space="0"/>
              <w:bottom w:val="dashed" w:color="BEBEBE" w:themeColor="background1" w:themeShade="BF" w:sz="4" w:space="0"/>
            </w:tcBorders>
            <w:shd w:val="clear" w:color="auto" w:fill="auto"/>
            <w:noWrap/>
          </w:tcPr>
          <w:p w14:paraId="7E85FDF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Zhou et al. 2022</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&lt;EndNote&gt;&lt;Cite&gt;&lt;Author&gt;Zhou&lt;/Author&gt;&lt;Year&gt;2022&lt;/Year&gt;&lt;RecNum&gt;500&lt;/RecNum&gt;&lt;DisplayText&gt;[26]&lt;/DisplayText&gt;&lt;record&gt;&lt;rec-number&gt;500&lt;/rec-number&gt;&lt;foreign-keys&gt;&lt;key app="EN" db-id="paaztsr04trapte5f9cpv9ss0fav5erzzr9a" timestamp="1744794364" guid="1ad40bf2-ff06-4940-9361-103f459d8ce9"&gt;500&lt;/key&gt;&lt;/foreign-keys&gt;&lt;ref-type name="Journal Article"&gt;17&lt;/ref-type&gt;&lt;contributors&gt;&lt;authors&gt;&lt;author&gt;Zhou, Zhengui&lt;/author&gt;&lt;author&gt;Fang, Yunsheng&lt;/author&gt;&lt;author&gt;Wang, Xin&lt;/author&gt;&lt;author&gt;Yang, Erqi&lt;/author&gt;&lt;author&gt;Liu, Rong&lt;/author&gt;&lt;author&gt;Zhou, Xishu&lt;/author&gt;&lt;author&gt;Huang, Zhen&lt;/author&gt;&lt;author&gt;Yin, Hanzhi&lt;/author&gt;&lt;author&gt;Zhou, Jun&lt;/author&gt;&lt;author&gt;Hu, Bin&lt;/author&gt;&lt;/authors&gt;&lt;/contributors&gt;&lt;titles&gt;&lt;title&gt;Synergistic modulation of solar and thermal radiation in dynamic energy-efficient windows&lt;/title&gt;&lt;secondary-title&gt;Nano Energy&lt;/secondary-title&gt;&lt;/titles&gt;&lt;periodical&gt;&lt;full-title&gt;Nano Energy&lt;/full-title&gt;&lt;/periodical&gt;&lt;pages&gt;106865&lt;/pages&gt;&lt;volume&gt;93&lt;/volume&gt;&lt;keywords&gt;&lt;keyword&gt;Dynamic window&lt;/keyword&gt;&lt;keyword&gt;Thermal management&lt;/keyword&gt;&lt;keyword&gt;Energy savings&lt;/keyword&gt;&lt;keyword&gt;Light modulation&lt;/keyword&gt;&lt;keyword&gt;Sequence photonic structure&lt;/keyword&gt;&lt;/keywords&gt;&lt;dates&gt;&lt;year&gt;2022&lt;/year&gt;&lt;pub-dates&gt;&lt;date&gt;2022/03/01/&lt;/date&gt;&lt;/pub-dates&gt;&lt;/dates&gt;&lt;isbn&gt;2211-2855&lt;/isbn&gt;&lt;urls&gt;&lt;related-urls&gt;&lt;url&gt;https://www.sciencedirect.com/science/article/pii/S2211285521011149&lt;/url&gt;&lt;/related-urls&gt;&lt;/urls&gt;&lt;electronic-resource-num&gt;https://doi.org/10.1016/j.nanoen.2021.106865&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[26]</w:t>
            </w:r>
            <w:r>
              <w:rPr>
                <w:rFonts w:ascii="Times New Roman" w:hAnsi="Times New Roman" w:cs="Times New Roman"/>
                <w:color w:val="0070C0"/>
                <w:sz w:val="20"/>
                <w:szCs w:val="20"/>
              </w:rPr>
              <w:fldChar w:fldCharType="end"/>
            </w:r>
          </w:p>
        </w:tc>
      </w:tr>
      <w:tr w14:paraId="63DFDDA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FBFBF" w:sz="4" w:space="0"/>
            </w:tcBorders>
            <w:shd w:val="clear" w:color="auto" w:fill="auto"/>
          </w:tcPr>
          <w:p w14:paraId="60F8D98E">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Mechanical strain</w:t>
            </w:r>
          </w:p>
        </w:tc>
        <w:tc>
          <w:tcPr>
            <w:tcW w:w="1302" w:type="dxa"/>
            <w:tcBorders>
              <w:top w:val="dashed" w:color="BEBEBE" w:themeColor="background1" w:themeShade="BF" w:sz="4" w:space="0"/>
              <w:bottom w:val="dashed" w:color="BFBFBF" w:sz="4" w:space="0"/>
            </w:tcBorders>
            <w:shd w:val="clear" w:color="auto" w:fill="auto"/>
            <w:noWrap/>
          </w:tcPr>
          <w:p w14:paraId="4B758DF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Yes</w:t>
            </w:r>
          </w:p>
        </w:tc>
        <w:tc>
          <w:tcPr>
            <w:tcW w:w="1114" w:type="dxa"/>
            <w:tcBorders>
              <w:top w:val="dashed" w:color="BEBEBE" w:themeColor="background1" w:themeShade="BF" w:sz="4" w:space="0"/>
              <w:bottom w:val="dashed" w:color="BFBFBF" w:sz="4" w:space="0"/>
            </w:tcBorders>
            <w:shd w:val="clear" w:color="auto" w:fill="auto"/>
            <w:noWrap/>
          </w:tcPr>
          <w:p w14:paraId="10D0CEE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0.37</w:t>
            </w:r>
          </w:p>
        </w:tc>
        <w:tc>
          <w:tcPr>
            <w:tcW w:w="1150" w:type="dxa"/>
            <w:tcBorders>
              <w:top w:val="dashed" w:color="BEBEBE" w:themeColor="background1" w:themeShade="BF" w:sz="4" w:space="0"/>
              <w:bottom w:val="dashed" w:color="BFBFBF" w:sz="4" w:space="0"/>
            </w:tcBorders>
            <w:shd w:val="clear" w:color="auto" w:fill="auto"/>
            <w:noWrap/>
          </w:tcPr>
          <w:p w14:paraId="6A6A494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haze</w:t>
            </w:r>
          </w:p>
        </w:tc>
        <w:tc>
          <w:tcPr>
            <w:tcW w:w="1040" w:type="dxa"/>
            <w:tcBorders>
              <w:top w:val="dashed" w:color="BEBEBE" w:themeColor="background1" w:themeShade="BF" w:sz="4" w:space="0"/>
              <w:bottom w:val="dashed" w:color="BFBFBF" w:sz="4" w:space="0"/>
            </w:tcBorders>
            <w:shd w:val="clear" w:color="auto" w:fill="auto"/>
            <w:noWrap/>
          </w:tcPr>
          <w:p w14:paraId="2807407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t>
            </w:r>
          </w:p>
        </w:tc>
        <w:tc>
          <w:tcPr>
            <w:tcW w:w="920" w:type="dxa"/>
            <w:tcBorders>
              <w:top w:val="dashed" w:color="BEBEBE" w:themeColor="background1" w:themeShade="BF" w:sz="4" w:space="0"/>
              <w:bottom w:val="dashed" w:color="BFBFBF" w:sz="4" w:space="0"/>
            </w:tcBorders>
            <w:shd w:val="clear" w:color="auto" w:fill="auto"/>
            <w:noWrap/>
          </w:tcPr>
          <w:p w14:paraId="5ADCB079">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t>
            </w:r>
          </w:p>
        </w:tc>
        <w:tc>
          <w:tcPr>
            <w:tcW w:w="835" w:type="dxa"/>
            <w:tcBorders>
              <w:top w:val="dashed" w:color="BEBEBE" w:themeColor="background1" w:themeShade="BF" w:sz="4" w:space="0"/>
              <w:bottom w:val="dashed" w:color="BFBFBF" w:sz="4" w:space="0"/>
            </w:tcBorders>
            <w:shd w:val="clear" w:color="auto" w:fill="auto"/>
            <w:noWrap/>
          </w:tcPr>
          <w:p w14:paraId="320EB59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0.24</w:t>
            </w:r>
          </w:p>
        </w:tc>
        <w:tc>
          <w:tcPr>
            <w:tcW w:w="947" w:type="dxa"/>
            <w:tcBorders>
              <w:top w:val="dashed" w:color="BEBEBE" w:themeColor="background1" w:themeShade="BF" w:sz="4" w:space="0"/>
              <w:bottom w:val="dashed" w:color="BFBFBF" w:sz="4" w:space="0"/>
            </w:tcBorders>
            <w:shd w:val="clear" w:color="auto" w:fill="auto"/>
            <w:noWrap/>
          </w:tcPr>
          <w:p w14:paraId="7E7C94C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0.45</w:t>
            </w:r>
          </w:p>
        </w:tc>
        <w:tc>
          <w:tcPr>
            <w:tcW w:w="1050" w:type="dxa"/>
            <w:tcBorders>
              <w:top w:val="dashed" w:color="BEBEBE" w:themeColor="background1" w:themeShade="BF" w:sz="4" w:space="0"/>
              <w:bottom w:val="dashed" w:color="BFBFBF" w:sz="4" w:space="0"/>
            </w:tcBorders>
            <w:shd w:val="clear" w:color="auto" w:fill="auto"/>
            <w:noWrap/>
          </w:tcPr>
          <w:p w14:paraId="49B9C0F2">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w:t>
            </w:r>
          </w:p>
        </w:tc>
        <w:tc>
          <w:tcPr>
            <w:tcW w:w="918" w:type="dxa"/>
            <w:tcBorders>
              <w:top w:val="dashed" w:color="BEBEBE" w:themeColor="background1" w:themeShade="BF" w:sz="4" w:space="0"/>
              <w:bottom w:val="dashed" w:color="BFBFBF" w:sz="4" w:space="0"/>
            </w:tcBorders>
            <w:shd w:val="clear" w:color="auto" w:fill="auto"/>
            <w:noWrap/>
          </w:tcPr>
          <w:p w14:paraId="1BC0AB4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0.45</w:t>
            </w:r>
          </w:p>
        </w:tc>
        <w:tc>
          <w:tcPr>
            <w:tcW w:w="2605" w:type="dxa"/>
            <w:tcBorders>
              <w:top w:val="dashed" w:color="BEBEBE" w:themeColor="background1" w:themeShade="BF" w:sz="4" w:space="0"/>
              <w:bottom w:val="dashed" w:color="BFBFBF" w:sz="4" w:space="0"/>
            </w:tcBorders>
            <w:shd w:val="clear" w:color="auto" w:fill="auto"/>
            <w:noWrap/>
          </w:tcPr>
          <w:p w14:paraId="1076589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Wang et al. 2023</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&lt;EndNote&gt;&lt;Cite&gt;&lt;Author&gt;Wang&lt;/Author&gt;&lt;Year&gt;2023&lt;/Year&gt;&lt;RecNum&gt;509&lt;/RecNum&gt;&lt;DisplayText&gt;[27]&lt;/DisplayText&gt;&lt;record&gt;&lt;rec-number&gt;509&lt;/rec-number&gt;&lt;foreign-keys&gt;&lt;key app="EN" db-id="paaztsr04trapte5f9cpv9ss0fav5erzzr9a" timestamp="1744855455" guid="09ee2fec-bac1-4d58-af1b-2b49adbc207c"&gt;509&lt;/key&gt;&lt;/foreign-keys&gt;&lt;ref-type name="Journal Article"&gt;17&lt;/ref-type&gt;&lt;contributors&gt;&lt;authors&gt;&lt;author&gt;Wang, Shancheng&lt;/author&gt;&lt;author&gt;Dong, Yuting&lt;/author&gt;&lt;author&gt;Li, Yanbin&lt;/author&gt;&lt;author&gt;Ryu, Keunhyuk&lt;/author&gt;&lt;author&gt;Dong, Zhili&lt;/author&gt;&lt;author&gt;Chen, Jian&lt;/author&gt;&lt;author&gt;Dai, Zhendong&lt;/author&gt;&lt;author&gt;Ke, Yujie&lt;/author&gt;&lt;author&gt;Yin, Jie&lt;/author&gt;&lt;author&gt;Long, Yi&lt;/author&gt;&lt;/authors&gt;&lt;/contributors&gt;&lt;titles&gt;&lt;title&gt;A solar/radiative cooling dual-regulation smart window based on shape-morphing kirigami structures&lt;/title&gt;&lt;secondary-title&gt;Materials Horizons&lt;/secondary-title&gt;&lt;/titles&gt;&lt;periodical&gt;&lt;full-title&gt;Materials Horizons&lt;/full-title&gt;&lt;/periodical&gt;&lt;pages&gt;4243-4250&lt;/pages&gt;&lt;volume&gt;10&lt;/volume&gt;&lt;number&gt;10&lt;/number&gt;&lt;dates&gt;&lt;year&gt;2023&lt;/year&gt;&lt;/dates&gt;&lt;publisher&gt;The Royal Society of Chemistry&lt;/publisher&gt;&lt;isbn&gt;2051-6347&lt;/isbn&gt;&lt;work-type&gt;10.1039/D3MH00671A&lt;/work-type&gt;&lt;urls&gt;&lt;related-urls&gt;&lt;url&gt;http://dx.doi.org/10.1039/D3MH00671A&lt;/url&gt;&lt;/related-urls&gt;&lt;/urls&gt;&lt;electronic-resource-num&gt;10.1039/D3MH00671A&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[27]</w:t>
            </w:r>
            <w:r>
              <w:rPr>
                <w:rFonts w:ascii="Times New Roman" w:hAnsi="Times New Roman" w:cs="Times New Roman"/>
                <w:color w:val="0070C0"/>
                <w:sz w:val="20"/>
                <w:szCs w:val="20"/>
              </w:rPr>
              <w:fldChar w:fldCharType="end"/>
            </w:r>
          </w:p>
        </w:tc>
      </w:tr>
      <w:tr w14:paraId="531FC02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tcBorders>
              <w:top w:val="dashed" w:color="BEBEBE" w:themeColor="background1" w:themeShade="BF" w:sz="4" w:space="0"/>
              <w:bottom w:val="dashed" w:color="BFBFBF" w:sz="4" w:space="0"/>
            </w:tcBorders>
            <w:shd w:val="clear" w:color="auto" w:fill="auto"/>
          </w:tcPr>
          <w:p w14:paraId="1EAC8E1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Transparent wood</w:t>
            </w:r>
          </w:p>
        </w:tc>
        <w:tc>
          <w:tcPr>
            <w:tcW w:w="1302" w:type="dxa"/>
            <w:tcBorders>
              <w:top w:val="dashed" w:color="BEBEBE" w:themeColor="background1" w:themeShade="BF" w:sz="4" w:space="0"/>
              <w:bottom w:val="dashed" w:color="BFBFBF" w:sz="4" w:space="0"/>
            </w:tcBorders>
            <w:shd w:val="clear" w:color="auto" w:fill="auto"/>
            <w:noWrap/>
          </w:tcPr>
          <w:p w14:paraId="08721B8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Yes</w:t>
            </w:r>
          </w:p>
        </w:tc>
        <w:tc>
          <w:tcPr>
            <w:tcW w:w="1114" w:type="dxa"/>
            <w:tcBorders>
              <w:top w:val="dashed" w:color="BEBEBE" w:themeColor="background1" w:themeShade="BF" w:sz="4" w:space="0"/>
              <w:bottom w:val="dashed" w:color="BFBFBF" w:sz="4" w:space="0"/>
            </w:tcBorders>
            <w:shd w:val="clear" w:color="auto" w:fill="auto"/>
            <w:noWrap/>
          </w:tcPr>
          <w:p w14:paraId="34EDAB6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0.20</w:t>
            </w:r>
          </w:p>
        </w:tc>
        <w:tc>
          <w:tcPr>
            <w:tcW w:w="1150" w:type="dxa"/>
            <w:tcBorders>
              <w:top w:val="dashed" w:color="BEBEBE" w:themeColor="background1" w:themeShade="BF" w:sz="4" w:space="0"/>
              <w:bottom w:val="dashed" w:color="BFBFBF" w:sz="4" w:space="0"/>
            </w:tcBorders>
            <w:shd w:val="clear" w:color="auto" w:fill="auto"/>
            <w:noWrap/>
          </w:tcPr>
          <w:p w14:paraId="6590BB0A">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w:t>
            </w:r>
          </w:p>
        </w:tc>
        <w:tc>
          <w:tcPr>
            <w:tcW w:w="1040" w:type="dxa"/>
            <w:tcBorders>
              <w:top w:val="dashed" w:color="BEBEBE" w:themeColor="background1" w:themeShade="BF" w:sz="4" w:space="0"/>
              <w:bottom w:val="dashed" w:color="BFBFBF" w:sz="4" w:space="0"/>
            </w:tcBorders>
            <w:shd w:val="clear" w:color="auto" w:fill="auto"/>
            <w:noWrap/>
          </w:tcPr>
          <w:p w14:paraId="4BC6946C">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0.22</w:t>
            </w:r>
          </w:p>
        </w:tc>
        <w:tc>
          <w:tcPr>
            <w:tcW w:w="920" w:type="dxa"/>
            <w:tcBorders>
              <w:top w:val="dashed" w:color="BEBEBE" w:themeColor="background1" w:themeShade="BF" w:sz="4" w:space="0"/>
              <w:bottom w:val="dashed" w:color="BFBFBF" w:sz="4" w:space="0"/>
            </w:tcBorders>
            <w:shd w:val="clear" w:color="auto" w:fill="auto"/>
            <w:noWrap/>
          </w:tcPr>
          <w:p w14:paraId="7CB24FBF">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0.21</w:t>
            </w:r>
          </w:p>
        </w:tc>
        <w:tc>
          <w:tcPr>
            <w:tcW w:w="835" w:type="dxa"/>
            <w:tcBorders>
              <w:top w:val="dashed" w:color="BEBEBE" w:themeColor="background1" w:themeShade="BF" w:sz="4" w:space="0"/>
              <w:bottom w:val="dashed" w:color="BFBFBF" w:sz="4" w:space="0"/>
            </w:tcBorders>
            <w:shd w:val="clear" w:color="auto" w:fill="auto"/>
            <w:noWrap/>
          </w:tcPr>
          <w:p w14:paraId="034921F1">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0.01</w:t>
            </w:r>
          </w:p>
        </w:tc>
        <w:tc>
          <w:tcPr>
            <w:tcW w:w="947" w:type="dxa"/>
            <w:tcBorders>
              <w:top w:val="dashed" w:color="BEBEBE" w:themeColor="background1" w:themeShade="BF" w:sz="4" w:space="0"/>
              <w:bottom w:val="dashed" w:color="BFBFBF" w:sz="4" w:space="0"/>
            </w:tcBorders>
            <w:shd w:val="clear" w:color="auto" w:fill="auto"/>
            <w:noWrap/>
          </w:tcPr>
          <w:p w14:paraId="5F97A0C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0.19</w:t>
            </w:r>
          </w:p>
        </w:tc>
        <w:tc>
          <w:tcPr>
            <w:tcW w:w="1050" w:type="dxa"/>
            <w:tcBorders>
              <w:top w:val="dashed" w:color="BEBEBE" w:themeColor="background1" w:themeShade="BF" w:sz="4" w:space="0"/>
              <w:bottom w:val="dashed" w:color="BFBFBF" w:sz="4" w:space="0"/>
            </w:tcBorders>
            <w:shd w:val="clear" w:color="auto" w:fill="auto"/>
            <w:noWrap/>
          </w:tcPr>
          <w:p w14:paraId="2F169A8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0.63</w:t>
            </w:r>
          </w:p>
        </w:tc>
        <w:tc>
          <w:tcPr>
            <w:tcW w:w="918" w:type="dxa"/>
            <w:tcBorders>
              <w:top w:val="dashed" w:color="BEBEBE" w:themeColor="background1" w:themeShade="BF" w:sz="4" w:space="0"/>
              <w:bottom w:val="dashed" w:color="BFBFBF" w:sz="4" w:space="0"/>
            </w:tcBorders>
            <w:shd w:val="clear" w:color="auto" w:fill="auto"/>
            <w:noWrap/>
          </w:tcPr>
          <w:p w14:paraId="63E6CD6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0.44</w:t>
            </w:r>
          </w:p>
        </w:tc>
        <w:tc>
          <w:tcPr>
            <w:tcW w:w="2605" w:type="dxa"/>
            <w:tcBorders>
              <w:top w:val="dashed" w:color="BEBEBE" w:themeColor="background1" w:themeShade="BF" w:sz="4" w:space="0"/>
              <w:bottom w:val="dashed" w:color="BFBFBF" w:sz="4" w:space="0"/>
            </w:tcBorders>
            <w:shd w:val="clear" w:color="auto" w:fill="auto"/>
            <w:noWrap/>
          </w:tcPr>
          <w:p w14:paraId="6177A99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Hu et al. 2024</w:t>
            </w:r>
            <w:r>
              <w:rPr>
                <w:rFonts w:ascii="Times New Roman" w:hAnsi="Times New Roman" w:cs="Times New Roman"/>
                <w:color w:val="0070C0"/>
                <w:sz w:val="20"/>
                <w:szCs w:val="20"/>
              </w:rPr>
              <w:t xml:space="preserve"> </w:t>
            </w:r>
            <w:r>
              <w:rPr>
                <w:rFonts w:ascii="Times New Roman" w:hAnsi="Times New Roman" w:cs="Times New Roman"/>
                <w:color w:val="0070C0"/>
                <w:sz w:val="20"/>
                <w:szCs w:val="20"/>
              </w:rPr>
              <w:fldChar w:fldCharType="begin"/>
            </w:r>
            <w:r>
              <w:rPr>
                <w:rFonts w:hint="eastAsia" w:ascii="Times New Roman" w:hAnsi="Times New Roman" w:cs="Times New Roman"/>
                <w:color w:val="0070C0"/>
                <w:sz w:val="20"/>
                <w:szCs w:val="20"/>
              </w:rPr>
              <w:instrText xml:space="preserve"> ADDIN EN.CITE &lt;EndNote&gt;&lt;Cite&gt;&lt;Author&gt;Hu&lt;/Author&gt;&lt;Year&gt;2024&lt;/Year&gt;&lt;RecNum&gt;493&lt;/RecNum&gt;&lt;DisplayText&gt;[28]&lt;/DisplayText&gt;&lt;record&gt;&lt;rec-number&gt;493&lt;/rec-number&gt;&lt;foreign-keys&gt;&lt;key app="EN" db-id="paaztsr04trapte5f9cpv9ss0fav5erzzr9a" timestamp="1744720330" guid="644a1fe0-ecee-4219-afec-1c7b39aaf7b7"&gt;493&lt;/key&gt;&lt;/foreign-keys&gt;&lt;ref-type name="Journal Article"&gt;17&lt;/ref-type&gt;&lt;contributors&gt;&lt;authors&gt;&lt;author&gt;Hu, Xin&lt;/author&gt;&lt;author&gt;Cai, Wei&lt;/author&gt;&lt;author&gt;Zhang, Yingbo&lt;/author&gt;&lt;author&gt;Shi, Shuo&lt;/author&gt;&lt;author&gt;Ming, Yang&lt;/author&gt;&lt;author&gt;Yu, Rujun&lt;/author&gt;&lt;author&gt;Chen, Daming&lt;/author&gt;&lt;author&gt;Yang, Mengyan&lt;/author&gt;&lt;author&gt;Wang, Faming&lt;/author&gt;&lt;author&gt;Yang, Hongyu&lt;/author&gt;&lt;author&gt;Kan, Chi-Wai&lt;/author&gt;&lt;author&gt;Noor, Nuruzzaman&lt;/author&gt;&lt;author&gt;Fei, Bin&lt;/author&gt;&lt;/authors&gt;&lt;/contributors&gt;&lt;titles&gt;&lt;title&gt;Facile and Widely Applicable Route to Self-Adaptive Emissivity Modulation: Energy-Saving Demonstration with Transparent Wood&lt;/title&gt;&lt;secondary-title&gt;Nano Letters&lt;/secondary-title&gt;&lt;/titles&gt;&lt;periodical&gt;&lt;full-title&gt;Nano letters&lt;/full-title&gt;&lt;/periodical&gt;&lt;pages&gt;657-666&lt;/pages&gt;&lt;volume&gt;24&lt;/volume&gt;&lt;number&gt;2&lt;/number&gt;&lt;dates&gt;&lt;year&gt;2024&lt;/year&gt;&lt;pub-dates&gt;&lt;date&gt;2024/01/17&lt;/date&gt;&lt;/pub-dates&gt;&lt;/dates&gt;&lt;publisher&gt;American Chemical Society&lt;/publisher&gt;&lt;isbn&gt;1530-6984&lt;/isbn&gt;&lt;urls&gt;&lt;related-urls&gt;&lt;url&gt;https://doi.org/10.1021/acs.nanolett.3c03711&lt;/url&gt;&lt;/related-urls&gt;&lt;/urls&gt;&lt;electronic-resource-num&gt;10.1021/acs.nanolett.3c03711&lt;/electronic-resource-num&gt;&lt;/record&gt;&lt;/Cite&gt;&lt;/EndNote&gt;</w:instrText>
            </w:r>
            <w:r>
              <w:rPr>
                <w:rFonts w:ascii="Times New Roman" w:hAnsi="Times New Roman" w:cs="Times New Roman"/>
                <w:color w:val="0070C0"/>
                <w:sz w:val="20"/>
                <w:szCs w:val="20"/>
              </w:rPr>
              <w:fldChar w:fldCharType="separate"/>
            </w:r>
            <w:r>
              <w:rPr>
                <w:rFonts w:hint="eastAsia" w:ascii="Times New Roman" w:hAnsi="Times New Roman" w:cs="Times New Roman"/>
                <w:color w:val="0070C0"/>
                <w:sz w:val="20"/>
                <w:szCs w:val="20"/>
              </w:rPr>
              <w:t>[28]</w:t>
            </w:r>
            <w:r>
              <w:rPr>
                <w:rFonts w:ascii="Times New Roman" w:hAnsi="Times New Roman" w:cs="Times New Roman"/>
                <w:color w:val="0070C0"/>
                <w:sz w:val="20"/>
                <w:szCs w:val="20"/>
              </w:rPr>
              <w:fldChar w:fldCharType="end"/>
            </w:r>
          </w:p>
        </w:tc>
      </w:tr>
      <w:tr w14:paraId="42532F6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73" w:hRule="atLeast"/>
        </w:trPr>
        <w:tc>
          <w:tcPr>
            <w:tcW w:w="3635" w:type="dxa"/>
            <w:vMerge w:val="restart"/>
            <w:tcBorders>
              <w:top w:val="dashed" w:color="BFBFBF" w:sz="4" w:space="0"/>
              <w:tl2br w:val="nil"/>
              <w:tr2bl w:val="nil"/>
            </w:tcBorders>
            <w:shd w:val="clear" w:color="auto" w:fill="auto"/>
          </w:tcPr>
          <w:p w14:paraId="7ACF156A">
            <w:pPr>
              <w:pStyle w:val="3"/>
              <w:tabs>
                <w:tab w:val="left" w:pos="567"/>
              </w:tabs>
              <w:snapToGrid w:val="0"/>
              <w:spacing w:before="0" w:after="0" w:line="288" w:lineRule="auto"/>
              <w:rPr>
                <w:rFonts w:ascii="Times New Roman" w:hAnsi="Times New Roman" w:cs="Times New Roman"/>
                <w:sz w:val="20"/>
                <w:szCs w:val="20"/>
              </w:rPr>
            </w:pPr>
            <w:r>
              <w:rPr>
                <w:rFonts w:hint="eastAsia" w:ascii="Times New Roman" w:hAnsi="Times New Roman" w:cs="Times New Roman"/>
                <w:sz w:val="20"/>
                <w:szCs w:val="20"/>
              </w:rPr>
              <w:t>JD window</w:t>
            </w:r>
          </w:p>
        </w:tc>
        <w:tc>
          <w:tcPr>
            <w:tcW w:w="1302" w:type="dxa"/>
            <w:tcBorders>
              <w:top w:val="dashed" w:color="BFBFBF" w:sz="4" w:space="0"/>
              <w:bottom w:val="nil"/>
              <w:tl2br w:val="nil"/>
              <w:tr2bl w:val="nil"/>
            </w:tcBorders>
            <w:shd w:val="clear" w:color="auto" w:fill="auto"/>
            <w:noWrap/>
          </w:tcPr>
          <w:p w14:paraId="0A43DE8C">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No</w:t>
            </w:r>
          </w:p>
        </w:tc>
        <w:tc>
          <w:tcPr>
            <w:tcW w:w="1114" w:type="dxa"/>
            <w:tcBorders>
              <w:top w:val="dashed" w:color="BFBFBF" w:sz="4" w:space="0"/>
              <w:bottom w:val="nil"/>
              <w:tl2br w:val="nil"/>
              <w:tr2bl w:val="nil"/>
            </w:tcBorders>
            <w:shd w:val="clear" w:color="auto" w:fill="auto"/>
            <w:noWrap/>
          </w:tcPr>
          <w:p w14:paraId="0F355DF1">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0.</w:t>
            </w:r>
            <w:r>
              <w:rPr>
                <w:rFonts w:hint="eastAsia" w:ascii="Times New Roman" w:hAnsi="Times New Roman" w:cs="Times New Roman"/>
                <w:sz w:val="20"/>
                <w:szCs w:val="20"/>
              </w:rPr>
              <w:t>81</w:t>
            </w:r>
          </w:p>
        </w:tc>
        <w:tc>
          <w:tcPr>
            <w:tcW w:w="1150" w:type="dxa"/>
            <w:tcBorders>
              <w:top w:val="dashed" w:color="BFBFBF" w:sz="4" w:space="0"/>
              <w:bottom w:val="nil"/>
              <w:tl2br w:val="nil"/>
              <w:tr2bl w:val="nil"/>
            </w:tcBorders>
            <w:shd w:val="clear" w:color="auto" w:fill="auto"/>
            <w:noWrap/>
          </w:tcPr>
          <w:p w14:paraId="3F89AC3F">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0.</w:t>
            </w:r>
            <w:r>
              <w:rPr>
                <w:rFonts w:hint="eastAsia" w:ascii="Times New Roman" w:hAnsi="Times New Roman" w:cs="Times New Roman"/>
                <w:sz w:val="20"/>
                <w:szCs w:val="20"/>
              </w:rPr>
              <w:t>62</w:t>
            </w:r>
          </w:p>
        </w:tc>
        <w:tc>
          <w:tcPr>
            <w:tcW w:w="1040" w:type="dxa"/>
            <w:tcBorders>
              <w:top w:val="dashed" w:color="BFBFBF" w:sz="4" w:space="0"/>
              <w:bottom w:val="nil"/>
              <w:tl2br w:val="nil"/>
              <w:tr2bl w:val="nil"/>
            </w:tcBorders>
            <w:shd w:val="clear" w:color="auto" w:fill="auto"/>
            <w:noWrap/>
          </w:tcPr>
          <w:p w14:paraId="76F0D1B4">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w:t>
            </w:r>
            <w:r>
              <w:rPr>
                <w:rFonts w:hint="eastAsia" w:ascii="Times New Roman" w:hAnsi="Times New Roman" w:cs="Times New Roman"/>
                <w:b w:val="0"/>
                <w:bCs/>
                <w:sz w:val="20"/>
                <w:szCs w:val="20"/>
              </w:rPr>
              <w:t>71</w:t>
            </w:r>
          </w:p>
        </w:tc>
        <w:tc>
          <w:tcPr>
            <w:tcW w:w="920" w:type="dxa"/>
            <w:tcBorders>
              <w:top w:val="dashed" w:color="BFBFBF" w:sz="4" w:space="0"/>
              <w:bottom w:val="nil"/>
              <w:tl2br w:val="nil"/>
              <w:tr2bl w:val="nil"/>
            </w:tcBorders>
            <w:shd w:val="clear" w:color="auto" w:fill="auto"/>
            <w:noWrap/>
          </w:tcPr>
          <w:p w14:paraId="156CB2D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0.27</w:t>
            </w:r>
          </w:p>
        </w:tc>
        <w:tc>
          <w:tcPr>
            <w:tcW w:w="835" w:type="dxa"/>
            <w:tcBorders>
              <w:top w:val="dashed" w:color="BFBFBF" w:sz="4" w:space="0"/>
              <w:bottom w:val="nil"/>
              <w:tl2br w:val="nil"/>
              <w:tr2bl w:val="nil"/>
            </w:tcBorders>
            <w:shd w:val="clear" w:color="auto" w:fill="auto"/>
            <w:noWrap/>
          </w:tcPr>
          <w:p w14:paraId="7D61B17F">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0.4</w:t>
            </w:r>
            <w:r>
              <w:rPr>
                <w:rFonts w:hint="eastAsia" w:ascii="Times New Roman" w:hAnsi="Times New Roman" w:cs="Times New Roman"/>
                <w:sz w:val="20"/>
                <w:szCs w:val="20"/>
              </w:rPr>
              <w:t>4</w:t>
            </w:r>
          </w:p>
        </w:tc>
        <w:tc>
          <w:tcPr>
            <w:tcW w:w="947" w:type="dxa"/>
            <w:tcBorders>
              <w:top w:val="dashed" w:color="BFBFBF" w:sz="4" w:space="0"/>
              <w:bottom w:val="nil"/>
              <w:tl2br w:val="nil"/>
              <w:tr2bl w:val="nil"/>
            </w:tcBorders>
            <w:shd w:val="clear" w:color="auto" w:fill="auto"/>
            <w:noWrap/>
          </w:tcPr>
          <w:p w14:paraId="79690356">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0.24</w:t>
            </w:r>
          </w:p>
        </w:tc>
        <w:tc>
          <w:tcPr>
            <w:tcW w:w="1050" w:type="dxa"/>
            <w:tcBorders>
              <w:top w:val="dashed" w:color="BFBFBF" w:sz="4" w:space="0"/>
              <w:bottom w:val="nil"/>
              <w:tl2br w:val="nil"/>
              <w:tr2bl w:val="nil"/>
            </w:tcBorders>
            <w:shd w:val="clear" w:color="auto" w:fill="auto"/>
            <w:noWrap/>
          </w:tcPr>
          <w:p w14:paraId="7A248B47">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0.94</w:t>
            </w:r>
          </w:p>
        </w:tc>
        <w:tc>
          <w:tcPr>
            <w:tcW w:w="918" w:type="dxa"/>
            <w:tcBorders>
              <w:top w:val="dashed" w:color="BFBFBF" w:sz="4" w:space="0"/>
              <w:bottom w:val="nil"/>
              <w:tl2br w:val="nil"/>
              <w:tr2bl w:val="nil"/>
            </w:tcBorders>
            <w:shd w:val="clear" w:color="auto" w:fill="auto"/>
            <w:noWrap/>
          </w:tcPr>
          <w:p w14:paraId="3B7042AF">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0.7</w:t>
            </w:r>
          </w:p>
        </w:tc>
        <w:tc>
          <w:tcPr>
            <w:tcW w:w="2605" w:type="dxa"/>
            <w:vMerge w:val="restart"/>
            <w:tcBorders>
              <w:top w:val="dashed" w:color="BFBFBF" w:sz="4" w:space="0"/>
              <w:tl2br w:val="nil"/>
              <w:tr2bl w:val="nil"/>
            </w:tcBorders>
            <w:shd w:val="clear" w:color="auto" w:fill="auto"/>
            <w:noWrap/>
          </w:tcPr>
          <w:p w14:paraId="746E6B6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color w:val="0070C0"/>
                <w:sz w:val="20"/>
                <w:szCs w:val="20"/>
              </w:rPr>
              <w:t>This work</w:t>
            </w:r>
          </w:p>
        </w:tc>
      </w:tr>
      <w:tr w14:paraId="24191A1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02" w:hRule="atLeast"/>
        </w:trPr>
        <w:tc>
          <w:tcPr>
            <w:tcW w:w="3635" w:type="dxa"/>
            <w:vMerge w:val="continue"/>
            <w:tcBorders>
              <w:tl2br w:val="nil"/>
              <w:tr2bl w:val="nil"/>
            </w:tcBorders>
            <w:shd w:val="clear" w:color="auto" w:fill="auto"/>
          </w:tcPr>
          <w:p w14:paraId="6545E27C">
            <w:pPr>
              <w:pStyle w:val="3"/>
              <w:tabs>
                <w:tab w:val="left" w:pos="567"/>
              </w:tabs>
              <w:snapToGrid w:val="0"/>
              <w:spacing w:before="0" w:after="0" w:line="288" w:lineRule="auto"/>
              <w:rPr>
                <w:rFonts w:ascii="Times New Roman" w:hAnsi="Times New Roman" w:cs="Times New Roman"/>
                <w:sz w:val="20"/>
                <w:szCs w:val="20"/>
              </w:rPr>
            </w:pPr>
          </w:p>
        </w:tc>
        <w:tc>
          <w:tcPr>
            <w:tcW w:w="1302" w:type="dxa"/>
            <w:tcBorders>
              <w:top w:val="nil"/>
              <w:tl2br w:val="nil"/>
              <w:tr2bl w:val="nil"/>
            </w:tcBorders>
            <w:shd w:val="clear" w:color="auto" w:fill="auto"/>
            <w:noWrap/>
          </w:tcPr>
          <w:p w14:paraId="5F4C7CF3">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No</w:t>
            </w:r>
          </w:p>
        </w:tc>
        <w:tc>
          <w:tcPr>
            <w:tcW w:w="1114" w:type="dxa"/>
            <w:tcBorders>
              <w:top w:val="nil"/>
              <w:tl2br w:val="nil"/>
              <w:tr2bl w:val="nil"/>
            </w:tcBorders>
            <w:shd w:val="clear" w:color="auto" w:fill="auto"/>
            <w:noWrap/>
          </w:tcPr>
          <w:p w14:paraId="470159BA">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0.87</w:t>
            </w:r>
          </w:p>
        </w:tc>
        <w:tc>
          <w:tcPr>
            <w:tcW w:w="1150" w:type="dxa"/>
            <w:tcBorders>
              <w:top w:val="nil"/>
              <w:tl2br w:val="nil"/>
              <w:tr2bl w:val="nil"/>
            </w:tcBorders>
            <w:shd w:val="clear" w:color="auto" w:fill="auto"/>
            <w:noWrap/>
          </w:tcPr>
          <w:p w14:paraId="325355C4">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0.65</w:t>
            </w:r>
          </w:p>
        </w:tc>
        <w:tc>
          <w:tcPr>
            <w:tcW w:w="1040" w:type="dxa"/>
            <w:tcBorders>
              <w:top w:val="nil"/>
              <w:tl2br w:val="nil"/>
              <w:tr2bl w:val="nil"/>
            </w:tcBorders>
            <w:shd w:val="clear" w:color="auto" w:fill="auto"/>
            <w:noWrap/>
          </w:tcPr>
          <w:p w14:paraId="45FA4DB3">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0.7</w:t>
            </w:r>
            <w:r>
              <w:rPr>
                <w:rFonts w:hint="eastAsia" w:ascii="Times New Roman" w:hAnsi="Times New Roman" w:cs="Times New Roman"/>
                <w:b w:val="0"/>
                <w:bCs/>
                <w:sz w:val="20"/>
                <w:szCs w:val="20"/>
              </w:rPr>
              <w:t>8</w:t>
            </w:r>
          </w:p>
        </w:tc>
        <w:tc>
          <w:tcPr>
            <w:tcW w:w="920" w:type="dxa"/>
            <w:tcBorders>
              <w:top w:val="nil"/>
              <w:tl2br w:val="nil"/>
              <w:tr2bl w:val="nil"/>
            </w:tcBorders>
            <w:shd w:val="clear" w:color="auto" w:fill="auto"/>
            <w:noWrap/>
          </w:tcPr>
          <w:p w14:paraId="67CEF5BB">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0.30</w:t>
            </w:r>
          </w:p>
        </w:tc>
        <w:tc>
          <w:tcPr>
            <w:tcW w:w="835" w:type="dxa"/>
            <w:tcBorders>
              <w:top w:val="nil"/>
              <w:tl2br w:val="nil"/>
              <w:tr2bl w:val="nil"/>
            </w:tcBorders>
            <w:shd w:val="clear" w:color="auto" w:fill="auto"/>
            <w:noWrap/>
          </w:tcPr>
          <w:p w14:paraId="0CAC873F">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0.4</w:t>
            </w:r>
            <w:r>
              <w:rPr>
                <w:rFonts w:hint="eastAsia" w:ascii="Times New Roman" w:hAnsi="Times New Roman" w:cs="Times New Roman"/>
                <w:sz w:val="20"/>
                <w:szCs w:val="20"/>
              </w:rPr>
              <w:t>9</w:t>
            </w:r>
          </w:p>
        </w:tc>
        <w:tc>
          <w:tcPr>
            <w:tcW w:w="947" w:type="dxa"/>
            <w:tcBorders>
              <w:top w:val="nil"/>
              <w:tl2br w:val="nil"/>
              <w:tr2bl w:val="nil"/>
            </w:tcBorders>
            <w:shd w:val="clear" w:color="auto" w:fill="auto"/>
            <w:noWrap/>
          </w:tcPr>
          <w:p w14:paraId="01F76B78">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0.36</w:t>
            </w:r>
          </w:p>
        </w:tc>
        <w:tc>
          <w:tcPr>
            <w:tcW w:w="1050" w:type="dxa"/>
            <w:tcBorders>
              <w:top w:val="nil"/>
              <w:tl2br w:val="nil"/>
              <w:tr2bl w:val="nil"/>
            </w:tcBorders>
            <w:shd w:val="clear" w:color="auto" w:fill="auto"/>
            <w:noWrap/>
          </w:tcPr>
          <w:p w14:paraId="63B0E28D">
            <w:pPr>
              <w:pStyle w:val="3"/>
              <w:tabs>
                <w:tab w:val="left" w:pos="567"/>
              </w:tabs>
              <w:snapToGrid w:val="0"/>
              <w:spacing w:before="0" w:after="0" w:line="288" w:lineRule="auto"/>
              <w:rPr>
                <w:rFonts w:ascii="Times New Roman" w:hAnsi="Times New Roman" w:cs="Times New Roman"/>
                <w:b w:val="0"/>
                <w:bCs/>
                <w:sz w:val="20"/>
                <w:szCs w:val="20"/>
              </w:rPr>
            </w:pPr>
            <w:r>
              <w:rPr>
                <w:rFonts w:ascii="Times New Roman" w:hAnsi="Times New Roman" w:cs="Times New Roman"/>
                <w:b w:val="0"/>
                <w:bCs/>
                <w:sz w:val="20"/>
                <w:szCs w:val="20"/>
              </w:rPr>
              <w:t>0.94</w:t>
            </w:r>
          </w:p>
        </w:tc>
        <w:tc>
          <w:tcPr>
            <w:tcW w:w="918" w:type="dxa"/>
            <w:tcBorders>
              <w:top w:val="nil"/>
              <w:tl2br w:val="nil"/>
              <w:tr2bl w:val="nil"/>
            </w:tcBorders>
            <w:shd w:val="clear" w:color="auto" w:fill="auto"/>
            <w:noWrap/>
          </w:tcPr>
          <w:p w14:paraId="42C4FF5E">
            <w:pPr>
              <w:pStyle w:val="3"/>
              <w:tabs>
                <w:tab w:val="left" w:pos="567"/>
              </w:tabs>
              <w:snapToGrid w:val="0"/>
              <w:spacing w:before="0" w:after="0" w:line="288" w:lineRule="auto"/>
              <w:rPr>
                <w:rFonts w:ascii="Times New Roman" w:hAnsi="Times New Roman" w:cs="Times New Roman"/>
                <w:sz w:val="20"/>
                <w:szCs w:val="20"/>
              </w:rPr>
            </w:pPr>
            <w:r>
              <w:rPr>
                <w:rFonts w:ascii="Times New Roman" w:hAnsi="Times New Roman" w:cs="Times New Roman"/>
                <w:sz w:val="20"/>
                <w:szCs w:val="20"/>
              </w:rPr>
              <w:t>0.58</w:t>
            </w:r>
          </w:p>
        </w:tc>
        <w:tc>
          <w:tcPr>
            <w:tcW w:w="2605" w:type="dxa"/>
            <w:vMerge w:val="continue"/>
            <w:tcBorders>
              <w:tl2br w:val="nil"/>
              <w:tr2bl w:val="nil"/>
            </w:tcBorders>
            <w:shd w:val="clear" w:color="auto" w:fill="auto"/>
            <w:noWrap/>
          </w:tcPr>
          <w:p w14:paraId="490D452F">
            <w:pPr>
              <w:pStyle w:val="3"/>
              <w:tabs>
                <w:tab w:val="left" w:pos="567"/>
              </w:tabs>
              <w:snapToGrid w:val="0"/>
              <w:spacing w:before="0" w:after="0" w:line="288" w:lineRule="auto"/>
              <w:rPr>
                <w:rFonts w:ascii="Times New Roman" w:hAnsi="Times New Roman" w:cs="Times New Roman"/>
                <w:sz w:val="20"/>
                <w:szCs w:val="20"/>
              </w:rPr>
            </w:pPr>
          </w:p>
        </w:tc>
      </w:tr>
    </w:tbl>
    <w:p w14:paraId="4515D054">
      <w:pPr>
        <w:tabs>
          <w:tab w:val="left" w:pos="567"/>
        </w:tabs>
        <w:rPr>
          <w:sz w:val="20"/>
          <w:szCs w:val="20"/>
        </w:rPr>
      </w:pPr>
    </w:p>
    <w:p w14:paraId="38AA59A7">
      <w:pPr>
        <w:tabs>
          <w:tab w:val="left" w:pos="567"/>
        </w:tabs>
        <w:rPr>
          <w:sz w:val="20"/>
          <w:szCs w:val="20"/>
        </w:rPr>
      </w:pPr>
    </w:p>
    <w:p w14:paraId="24AA1C7F">
      <w:pPr>
        <w:tabs>
          <w:tab w:val="left" w:pos="567"/>
        </w:tabs>
        <w:rPr>
          <w:sz w:val="20"/>
          <w:szCs w:val="20"/>
        </w:rPr>
        <w:sectPr>
          <w:endnotePr>
            <w:numFmt w:val="decimal"/>
          </w:endnotePr>
          <w:pgSz w:w="16838" w:h="11906" w:orient="landscape"/>
          <w:pgMar w:top="720" w:right="720" w:bottom="720" w:left="720" w:header="851" w:footer="992" w:gutter="0"/>
          <w:cols w:space="0" w:num="1"/>
          <w:docGrid w:type="lines" w:linePitch="332" w:charSpace="0"/>
        </w:sectPr>
      </w:pPr>
    </w:p>
    <w:p w14:paraId="65C869CE">
      <w:pPr>
        <w:tabs>
          <w:tab w:val="left" w:pos="567"/>
        </w:tabs>
        <w:spacing w:after="332" w:afterLines="100" w:line="360" w:lineRule="auto"/>
        <w:rPr>
          <w:rFonts w:ascii="Times New Roman" w:hAnsi="Times New Roman" w:eastAsia="宋体" w:cs="Times New Roman"/>
          <w:sz w:val="24"/>
        </w:rPr>
      </w:pPr>
      <w:r>
        <w:rPr>
          <w:rFonts w:ascii="Times New Roman" w:hAnsi="Times New Roman" w:cs="Times New Roman"/>
          <w:b/>
          <w:bCs/>
          <w:iCs/>
          <w:sz w:val="24"/>
        </w:rPr>
        <w:t xml:space="preserve">Table </w:t>
      </w:r>
      <w:r>
        <w:rPr>
          <w:rFonts w:hint="eastAsia" w:ascii="Times New Roman" w:hAnsi="Times New Roman" w:cs="Times New Roman"/>
          <w:b/>
          <w:bCs/>
          <w:iCs/>
          <w:sz w:val="24"/>
        </w:rPr>
        <w:t>S8</w:t>
      </w:r>
      <w:r>
        <w:rPr>
          <w:rFonts w:ascii="Times New Roman" w:hAnsi="Times New Roman" w:cs="Times New Roman"/>
          <w:sz w:val="24"/>
        </w:rPr>
        <w:t xml:space="preserve"> </w:t>
      </w:r>
      <w:r>
        <w:rPr>
          <w:rFonts w:hint="eastAsia" w:ascii="Times New Roman" w:hAnsi="Times New Roman" w:cs="Times New Roman"/>
          <w:sz w:val="24"/>
        </w:rPr>
        <w:t>Average load reduction of the JD windows across different climatic zones</w:t>
      </w:r>
    </w:p>
    <w:tbl>
      <w:tblPr>
        <w:tblStyle w:val="6"/>
        <w:tblW w:w="9992" w:type="dxa"/>
        <w:jc w:val="center"/>
        <w:tblLayout w:type="fixed"/>
        <w:tblCellMar>
          <w:top w:w="0" w:type="dxa"/>
          <w:left w:w="0" w:type="dxa"/>
          <w:bottom w:w="0" w:type="dxa"/>
          <w:right w:w="0" w:type="dxa"/>
        </w:tblCellMar>
      </w:tblPr>
      <w:tblGrid>
        <w:gridCol w:w="1094"/>
        <w:gridCol w:w="2935"/>
        <w:gridCol w:w="2958"/>
        <w:gridCol w:w="3005"/>
      </w:tblGrid>
      <w:tr w14:paraId="11BC8950">
        <w:tblPrEx>
          <w:tblCellMar>
            <w:top w:w="0" w:type="dxa"/>
            <w:left w:w="0" w:type="dxa"/>
            <w:bottom w:w="0" w:type="dxa"/>
            <w:right w:w="0" w:type="dxa"/>
          </w:tblCellMar>
        </w:tblPrEx>
        <w:trPr>
          <w:trHeight w:val="332" w:hRule="atLeast"/>
          <w:jc w:val="center"/>
        </w:trPr>
        <w:tc>
          <w:tcPr>
            <w:tcW w:w="1094" w:type="dxa"/>
            <w:vMerge w:val="restart"/>
            <w:tcBorders>
              <w:top w:val="single" w:color="000000" w:sz="12" w:space="0"/>
              <w:left w:val="nil"/>
              <w:bottom w:val="nil"/>
              <w:right w:val="nil"/>
            </w:tcBorders>
            <w:shd w:val="clear" w:color="auto" w:fill="auto"/>
            <w:noWrap/>
            <w:vAlign w:val="center"/>
          </w:tcPr>
          <w:p w14:paraId="548F91C9">
            <w:pPr>
              <w:tabs>
                <w:tab w:val="left" w:pos="567"/>
              </w:tabs>
              <w:adjustRightInd w:val="0"/>
              <w:jc w:val="left"/>
              <w:rPr>
                <w:rFonts w:ascii="Times New Roman" w:hAnsi="Times New Roman" w:eastAsia="宋体" w:cs="Times New Roman"/>
                <w:b/>
                <w:sz w:val="20"/>
                <w:szCs w:val="20"/>
              </w:rPr>
            </w:pPr>
            <w:r>
              <w:rPr>
                <w:rFonts w:hint="eastAsia" w:ascii="Times New Roman" w:hAnsi="Times New Roman" w:eastAsia="宋体" w:cs="Times New Roman"/>
                <w:b/>
                <w:sz w:val="20"/>
                <w:szCs w:val="20"/>
              </w:rPr>
              <w:t xml:space="preserve">Thermal </w:t>
            </w:r>
          </w:p>
          <w:p w14:paraId="540C2066">
            <w:pPr>
              <w:tabs>
                <w:tab w:val="left" w:pos="567"/>
              </w:tabs>
              <w:adjustRightInd w:val="0"/>
              <w:jc w:val="left"/>
              <w:rPr>
                <w:rFonts w:ascii="Times New Roman" w:hAnsi="Times New Roman" w:eastAsia="宋体" w:cs="Times New Roman"/>
                <w:b/>
                <w:sz w:val="20"/>
                <w:szCs w:val="20"/>
              </w:rPr>
            </w:pPr>
            <w:r>
              <w:rPr>
                <w:rFonts w:hint="eastAsia" w:ascii="Times New Roman" w:hAnsi="Times New Roman" w:eastAsia="宋体" w:cs="Times New Roman"/>
                <w:b/>
                <w:sz w:val="20"/>
                <w:szCs w:val="20"/>
              </w:rPr>
              <w:t>zones</w:t>
            </w:r>
          </w:p>
        </w:tc>
        <w:tc>
          <w:tcPr>
            <w:tcW w:w="2935" w:type="dxa"/>
            <w:vMerge w:val="restart"/>
            <w:tcBorders>
              <w:top w:val="single" w:color="000000" w:sz="12" w:space="0"/>
              <w:left w:val="nil"/>
              <w:bottom w:val="nil"/>
              <w:right w:val="nil"/>
            </w:tcBorders>
            <w:shd w:val="clear" w:color="auto" w:fill="auto"/>
            <w:noWrap/>
            <w:vAlign w:val="center"/>
          </w:tcPr>
          <w:p w14:paraId="34EF4814">
            <w:pPr>
              <w:tabs>
                <w:tab w:val="left" w:pos="567"/>
              </w:tabs>
              <w:adjustRightInd w:val="0"/>
              <w:jc w:val="left"/>
              <w:rPr>
                <w:rFonts w:ascii="Times New Roman" w:hAnsi="Times New Roman" w:cs="Times New Roman"/>
                <w:b/>
                <w:sz w:val="20"/>
                <w:szCs w:val="20"/>
              </w:rPr>
            </w:pPr>
            <w:r>
              <w:rPr>
                <w:rFonts w:hint="eastAsia" w:ascii="Times New Roman" w:hAnsi="Times New Roman" w:cs="Times New Roman"/>
                <w:b/>
                <w:sz w:val="20"/>
                <w:szCs w:val="20"/>
              </w:rPr>
              <w:t>Space cooling load reduction</w:t>
            </w:r>
          </w:p>
          <w:p w14:paraId="0847A717">
            <w:pPr>
              <w:tabs>
                <w:tab w:val="left" w:pos="567"/>
              </w:tabs>
              <w:adjustRightInd w:val="0"/>
              <w:jc w:val="left"/>
              <w:rPr>
                <w:rFonts w:ascii="Times New Roman" w:hAnsi="Times New Roman" w:cs="Times New Roman"/>
                <w:b/>
                <w:sz w:val="20"/>
                <w:szCs w:val="20"/>
              </w:rPr>
            </w:pPr>
            <w:r>
              <w:rPr>
                <w:rFonts w:hint="eastAsia" w:ascii="Times New Roman" w:hAnsi="Times New Roman" w:cs="Times New Roman"/>
                <w:b/>
                <w:sz w:val="20"/>
                <w:szCs w:val="20"/>
              </w:rPr>
              <w:t>(GJ m</w:t>
            </w:r>
            <w:r>
              <w:rPr>
                <w:rFonts w:hint="eastAsia" w:ascii="Times New Roman" w:hAnsi="Times New Roman" w:cs="Times New Roman"/>
                <w:b/>
                <w:sz w:val="20"/>
                <w:szCs w:val="20"/>
                <w:vertAlign w:val="superscript"/>
              </w:rPr>
              <w:t>-2</w:t>
            </w:r>
            <w:r>
              <w:rPr>
                <w:rFonts w:hint="eastAsia" w:ascii="Times New Roman" w:hAnsi="Times New Roman" w:cs="Times New Roman"/>
                <w:b/>
                <w:sz w:val="20"/>
                <w:szCs w:val="20"/>
              </w:rPr>
              <w:t xml:space="preserve"> year</w:t>
            </w:r>
            <w:r>
              <w:rPr>
                <w:rFonts w:hint="eastAsia" w:ascii="Times New Roman" w:hAnsi="Times New Roman" w:cs="Times New Roman"/>
                <w:b/>
                <w:sz w:val="20"/>
                <w:szCs w:val="20"/>
                <w:vertAlign w:val="superscript"/>
              </w:rPr>
              <w:t>-1</w:t>
            </w:r>
            <w:r>
              <w:rPr>
                <w:rFonts w:hint="eastAsia" w:ascii="Times New Roman" w:hAnsi="Times New Roman" w:cs="Times New Roman"/>
                <w:b/>
                <w:sz w:val="20"/>
                <w:szCs w:val="20"/>
              </w:rPr>
              <w:t>)</w:t>
            </w:r>
          </w:p>
        </w:tc>
        <w:tc>
          <w:tcPr>
            <w:tcW w:w="2958" w:type="dxa"/>
            <w:vMerge w:val="restart"/>
            <w:tcBorders>
              <w:top w:val="single" w:color="000000" w:sz="12" w:space="0"/>
              <w:left w:val="nil"/>
              <w:right w:val="nil"/>
            </w:tcBorders>
            <w:shd w:val="clear" w:color="auto" w:fill="auto"/>
            <w:noWrap/>
            <w:vAlign w:val="center"/>
          </w:tcPr>
          <w:p w14:paraId="4F6F8193">
            <w:pPr>
              <w:tabs>
                <w:tab w:val="left" w:pos="567"/>
              </w:tabs>
              <w:adjustRightInd w:val="0"/>
              <w:jc w:val="left"/>
              <w:rPr>
                <w:rFonts w:ascii="Times New Roman" w:hAnsi="Times New Roman" w:cs="Times New Roman"/>
                <w:b/>
                <w:sz w:val="20"/>
                <w:szCs w:val="20"/>
              </w:rPr>
            </w:pPr>
            <w:r>
              <w:rPr>
                <w:rFonts w:hint="eastAsia" w:ascii="Times New Roman" w:hAnsi="Times New Roman" w:cs="Times New Roman"/>
                <w:b/>
                <w:sz w:val="20"/>
                <w:szCs w:val="20"/>
              </w:rPr>
              <w:t>Space heating load reduction</w:t>
            </w:r>
          </w:p>
          <w:p w14:paraId="65EF4569">
            <w:pPr>
              <w:tabs>
                <w:tab w:val="left" w:pos="567"/>
              </w:tabs>
              <w:adjustRightInd w:val="0"/>
              <w:jc w:val="left"/>
              <w:rPr>
                <w:rFonts w:ascii="Times New Roman" w:hAnsi="Times New Roman" w:cs="Times New Roman"/>
                <w:b/>
                <w:sz w:val="20"/>
                <w:szCs w:val="20"/>
              </w:rPr>
            </w:pPr>
            <w:r>
              <w:rPr>
                <w:rFonts w:hint="eastAsia" w:ascii="Times New Roman" w:hAnsi="Times New Roman" w:cs="Times New Roman"/>
                <w:b/>
                <w:sz w:val="20"/>
                <w:szCs w:val="20"/>
              </w:rPr>
              <w:t>(GJ m</w:t>
            </w:r>
            <w:r>
              <w:rPr>
                <w:rFonts w:hint="eastAsia" w:ascii="Times New Roman" w:hAnsi="Times New Roman" w:cs="Times New Roman"/>
                <w:b/>
                <w:sz w:val="20"/>
                <w:szCs w:val="20"/>
                <w:vertAlign w:val="superscript"/>
              </w:rPr>
              <w:t>-2</w:t>
            </w:r>
            <w:r>
              <w:rPr>
                <w:rFonts w:hint="eastAsia" w:ascii="Times New Roman" w:hAnsi="Times New Roman" w:cs="Times New Roman"/>
                <w:b/>
                <w:sz w:val="20"/>
                <w:szCs w:val="20"/>
              </w:rPr>
              <w:t xml:space="preserve"> year</w:t>
            </w:r>
            <w:r>
              <w:rPr>
                <w:rFonts w:hint="eastAsia" w:ascii="Times New Roman" w:hAnsi="Times New Roman" w:cs="Times New Roman"/>
                <w:b/>
                <w:sz w:val="20"/>
                <w:szCs w:val="20"/>
                <w:vertAlign w:val="superscript"/>
              </w:rPr>
              <w:t>-1</w:t>
            </w:r>
            <w:r>
              <w:rPr>
                <w:rFonts w:hint="eastAsia" w:ascii="Times New Roman" w:hAnsi="Times New Roman" w:cs="Times New Roman"/>
                <w:b/>
                <w:sz w:val="20"/>
                <w:szCs w:val="20"/>
              </w:rPr>
              <w:t>)</w:t>
            </w:r>
          </w:p>
        </w:tc>
        <w:tc>
          <w:tcPr>
            <w:tcW w:w="3005" w:type="dxa"/>
            <w:vMerge w:val="restart"/>
            <w:tcBorders>
              <w:top w:val="single" w:color="000000" w:sz="12" w:space="0"/>
              <w:left w:val="nil"/>
              <w:right w:val="nil"/>
            </w:tcBorders>
            <w:shd w:val="clear" w:color="auto" w:fill="auto"/>
            <w:noWrap/>
            <w:vAlign w:val="center"/>
          </w:tcPr>
          <w:p w14:paraId="325BC754">
            <w:pPr>
              <w:tabs>
                <w:tab w:val="left" w:pos="567"/>
              </w:tabs>
              <w:adjustRightInd w:val="0"/>
              <w:jc w:val="left"/>
              <w:rPr>
                <w:rFonts w:ascii="Times New Roman" w:hAnsi="Times New Roman" w:cs="Times New Roman"/>
                <w:b/>
                <w:sz w:val="20"/>
                <w:szCs w:val="20"/>
              </w:rPr>
            </w:pPr>
            <w:r>
              <w:rPr>
                <w:rFonts w:hint="eastAsia" w:ascii="Times New Roman" w:hAnsi="Times New Roman" w:cs="Times New Roman"/>
                <w:b/>
                <w:sz w:val="20"/>
                <w:szCs w:val="20"/>
              </w:rPr>
              <w:t>Total load reduction</w:t>
            </w:r>
          </w:p>
          <w:p w14:paraId="7E940DE2">
            <w:pPr>
              <w:tabs>
                <w:tab w:val="left" w:pos="567"/>
              </w:tabs>
              <w:adjustRightInd w:val="0"/>
              <w:jc w:val="left"/>
              <w:rPr>
                <w:rFonts w:ascii="Times New Roman" w:hAnsi="Times New Roman" w:cs="Times New Roman"/>
                <w:b/>
                <w:sz w:val="20"/>
                <w:szCs w:val="20"/>
              </w:rPr>
            </w:pPr>
            <w:r>
              <w:rPr>
                <w:rFonts w:hint="eastAsia" w:ascii="Times New Roman" w:hAnsi="Times New Roman" w:cs="Times New Roman"/>
                <w:b/>
                <w:sz w:val="20"/>
                <w:szCs w:val="20"/>
              </w:rPr>
              <w:t>(GJ m</w:t>
            </w:r>
            <w:r>
              <w:rPr>
                <w:rFonts w:hint="eastAsia" w:ascii="Times New Roman" w:hAnsi="Times New Roman" w:cs="Times New Roman"/>
                <w:b/>
                <w:sz w:val="20"/>
                <w:szCs w:val="20"/>
                <w:vertAlign w:val="superscript"/>
              </w:rPr>
              <w:t>-2</w:t>
            </w:r>
            <w:r>
              <w:rPr>
                <w:rFonts w:hint="eastAsia" w:ascii="Times New Roman" w:hAnsi="Times New Roman" w:cs="Times New Roman"/>
                <w:b/>
                <w:sz w:val="20"/>
                <w:szCs w:val="20"/>
              </w:rPr>
              <w:t xml:space="preserve"> year</w:t>
            </w:r>
            <w:r>
              <w:rPr>
                <w:rFonts w:hint="eastAsia" w:ascii="Times New Roman" w:hAnsi="Times New Roman" w:cs="Times New Roman"/>
                <w:b/>
                <w:sz w:val="20"/>
                <w:szCs w:val="20"/>
                <w:vertAlign w:val="superscript"/>
              </w:rPr>
              <w:t>-1</w:t>
            </w:r>
            <w:r>
              <w:rPr>
                <w:rFonts w:hint="eastAsia" w:ascii="Times New Roman" w:hAnsi="Times New Roman" w:cs="Times New Roman"/>
                <w:b/>
                <w:sz w:val="20"/>
                <w:szCs w:val="20"/>
              </w:rPr>
              <w:t>)</w:t>
            </w:r>
          </w:p>
        </w:tc>
      </w:tr>
      <w:tr w14:paraId="7F94AA30">
        <w:tblPrEx>
          <w:tblCellMar>
            <w:top w:w="0" w:type="dxa"/>
            <w:left w:w="0" w:type="dxa"/>
            <w:bottom w:w="0" w:type="dxa"/>
            <w:right w:w="0" w:type="dxa"/>
          </w:tblCellMar>
        </w:tblPrEx>
        <w:trPr>
          <w:trHeight w:val="498" w:hRule="atLeast"/>
          <w:jc w:val="center"/>
        </w:trPr>
        <w:tc>
          <w:tcPr>
            <w:tcW w:w="1094" w:type="dxa"/>
            <w:vMerge w:val="continue"/>
            <w:tcBorders>
              <w:top w:val="nil"/>
              <w:left w:val="nil"/>
              <w:bottom w:val="single" w:color="auto" w:sz="4" w:space="0"/>
              <w:right w:val="nil"/>
            </w:tcBorders>
            <w:shd w:val="clear" w:color="auto" w:fill="auto"/>
            <w:noWrap/>
            <w:vAlign w:val="center"/>
          </w:tcPr>
          <w:p w14:paraId="7157D51D">
            <w:pPr>
              <w:tabs>
                <w:tab w:val="left" w:pos="567"/>
              </w:tabs>
              <w:adjustRightInd w:val="0"/>
              <w:spacing w:line="360" w:lineRule="auto"/>
              <w:jc w:val="left"/>
              <w:rPr>
                <w:rFonts w:ascii="Times New Roman" w:hAnsi="Times New Roman" w:cs="Times New Roman"/>
                <w:b/>
                <w:sz w:val="20"/>
                <w:szCs w:val="20"/>
              </w:rPr>
            </w:pPr>
          </w:p>
        </w:tc>
        <w:tc>
          <w:tcPr>
            <w:tcW w:w="2935" w:type="dxa"/>
            <w:vMerge w:val="continue"/>
            <w:tcBorders>
              <w:top w:val="nil"/>
              <w:left w:val="nil"/>
              <w:bottom w:val="single" w:color="auto" w:sz="4" w:space="0"/>
              <w:right w:val="nil"/>
            </w:tcBorders>
            <w:shd w:val="clear" w:color="auto" w:fill="auto"/>
            <w:noWrap/>
            <w:vAlign w:val="center"/>
          </w:tcPr>
          <w:p w14:paraId="5BEFEB56">
            <w:pPr>
              <w:tabs>
                <w:tab w:val="left" w:pos="567"/>
              </w:tabs>
              <w:adjustRightInd w:val="0"/>
              <w:spacing w:line="360" w:lineRule="auto"/>
              <w:jc w:val="left"/>
              <w:rPr>
                <w:rFonts w:ascii="Times New Roman" w:hAnsi="Times New Roman" w:cs="Times New Roman"/>
                <w:b/>
                <w:sz w:val="20"/>
                <w:szCs w:val="20"/>
              </w:rPr>
            </w:pPr>
          </w:p>
        </w:tc>
        <w:tc>
          <w:tcPr>
            <w:tcW w:w="2958" w:type="dxa"/>
            <w:vMerge w:val="continue"/>
            <w:tcBorders>
              <w:left w:val="nil"/>
              <w:bottom w:val="single" w:color="auto" w:sz="4" w:space="0"/>
              <w:right w:val="nil"/>
            </w:tcBorders>
            <w:shd w:val="clear" w:color="auto" w:fill="auto"/>
            <w:noWrap/>
            <w:vAlign w:val="center"/>
          </w:tcPr>
          <w:p w14:paraId="68E502FC">
            <w:pPr>
              <w:tabs>
                <w:tab w:val="left" w:pos="567"/>
              </w:tabs>
              <w:adjustRightInd w:val="0"/>
              <w:spacing w:line="360" w:lineRule="auto"/>
              <w:jc w:val="left"/>
              <w:rPr>
                <w:rFonts w:ascii="Times New Roman" w:hAnsi="Times New Roman" w:eastAsia="宋体" w:cs="Times New Roman"/>
                <w:b/>
                <w:bCs/>
                <w:sz w:val="20"/>
                <w:szCs w:val="20"/>
              </w:rPr>
            </w:pPr>
          </w:p>
        </w:tc>
        <w:tc>
          <w:tcPr>
            <w:tcW w:w="3005" w:type="dxa"/>
            <w:vMerge w:val="continue"/>
            <w:tcBorders>
              <w:left w:val="nil"/>
              <w:bottom w:val="single" w:color="auto" w:sz="4" w:space="0"/>
              <w:right w:val="nil"/>
            </w:tcBorders>
            <w:shd w:val="clear" w:color="auto" w:fill="auto"/>
            <w:noWrap/>
            <w:vAlign w:val="center"/>
          </w:tcPr>
          <w:p w14:paraId="7A3541BF">
            <w:pPr>
              <w:tabs>
                <w:tab w:val="left" w:pos="567"/>
              </w:tabs>
              <w:adjustRightInd w:val="0"/>
              <w:spacing w:line="360" w:lineRule="auto"/>
              <w:jc w:val="left"/>
              <w:rPr>
                <w:rFonts w:ascii="Times New Roman" w:hAnsi="Times New Roman" w:cs="Times New Roman"/>
                <w:sz w:val="20"/>
                <w:szCs w:val="20"/>
              </w:rPr>
            </w:pPr>
          </w:p>
        </w:tc>
      </w:tr>
      <w:tr w14:paraId="4FF5EAC5">
        <w:tblPrEx>
          <w:tblCellMar>
            <w:top w:w="0" w:type="dxa"/>
            <w:left w:w="0" w:type="dxa"/>
            <w:bottom w:w="0" w:type="dxa"/>
            <w:right w:w="0" w:type="dxa"/>
          </w:tblCellMar>
        </w:tblPrEx>
        <w:trPr>
          <w:trHeight w:val="321" w:hRule="atLeast"/>
          <w:jc w:val="center"/>
        </w:trPr>
        <w:tc>
          <w:tcPr>
            <w:tcW w:w="1094" w:type="dxa"/>
            <w:tcBorders>
              <w:top w:val="single" w:color="auto" w:sz="4" w:space="0"/>
              <w:left w:val="nil"/>
              <w:bottom w:val="nil"/>
              <w:right w:val="nil"/>
            </w:tcBorders>
            <w:shd w:val="clear" w:color="auto" w:fill="auto"/>
            <w:noWrap/>
            <w:vAlign w:val="center"/>
          </w:tcPr>
          <w:p w14:paraId="6ABA6A77">
            <w:pPr>
              <w:tabs>
                <w:tab w:val="left" w:pos="567"/>
              </w:tabs>
              <w:adjustRightInd w:val="0"/>
              <w:spacing w:line="360" w:lineRule="auto"/>
              <w:jc w:val="left"/>
              <w:rPr>
                <w:rFonts w:ascii="Times New Roman" w:hAnsi="Times New Roman" w:eastAsia="宋体" w:cs="Times New Roman"/>
                <w:sz w:val="20"/>
                <w:szCs w:val="20"/>
              </w:rPr>
            </w:pPr>
            <w:r>
              <w:rPr>
                <w:rFonts w:hint="eastAsia" w:ascii="Times New Roman" w:hAnsi="Times New Roman" w:eastAsia="宋体" w:cs="Times New Roman"/>
                <w:sz w:val="20"/>
                <w:szCs w:val="20"/>
              </w:rPr>
              <w:t>0</w:t>
            </w:r>
          </w:p>
        </w:tc>
        <w:tc>
          <w:tcPr>
            <w:tcW w:w="2935" w:type="dxa"/>
            <w:tcBorders>
              <w:top w:val="single" w:color="auto" w:sz="4" w:space="0"/>
              <w:left w:val="nil"/>
              <w:bottom w:val="nil"/>
              <w:right w:val="nil"/>
            </w:tcBorders>
            <w:shd w:val="clear" w:color="auto" w:fill="auto"/>
            <w:noWrap/>
            <w:vAlign w:val="center"/>
          </w:tcPr>
          <w:p w14:paraId="51B98EE2">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0.69 </w:t>
            </w:r>
          </w:p>
        </w:tc>
        <w:tc>
          <w:tcPr>
            <w:tcW w:w="2958" w:type="dxa"/>
            <w:tcBorders>
              <w:top w:val="single" w:color="auto" w:sz="4" w:space="0"/>
              <w:left w:val="nil"/>
              <w:bottom w:val="nil"/>
              <w:right w:val="nil"/>
            </w:tcBorders>
            <w:shd w:val="clear" w:color="auto" w:fill="auto"/>
            <w:noWrap/>
            <w:vAlign w:val="center"/>
          </w:tcPr>
          <w:p w14:paraId="4B5B3140">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0.00 </w:t>
            </w:r>
          </w:p>
        </w:tc>
        <w:tc>
          <w:tcPr>
            <w:tcW w:w="3005" w:type="dxa"/>
            <w:tcBorders>
              <w:top w:val="single" w:color="auto" w:sz="4" w:space="0"/>
              <w:left w:val="nil"/>
              <w:bottom w:val="nil"/>
              <w:right w:val="nil"/>
            </w:tcBorders>
            <w:shd w:val="clear" w:color="auto" w:fill="auto"/>
            <w:noWrap/>
            <w:vAlign w:val="center"/>
          </w:tcPr>
          <w:p w14:paraId="36CE689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0.69 </w:t>
            </w:r>
          </w:p>
        </w:tc>
      </w:tr>
      <w:tr w14:paraId="49526660">
        <w:tblPrEx>
          <w:tblCellMar>
            <w:top w:w="0" w:type="dxa"/>
            <w:left w:w="0" w:type="dxa"/>
            <w:bottom w:w="0" w:type="dxa"/>
            <w:right w:w="0" w:type="dxa"/>
          </w:tblCellMar>
        </w:tblPrEx>
        <w:trPr>
          <w:trHeight w:val="315" w:hRule="atLeast"/>
          <w:jc w:val="center"/>
        </w:trPr>
        <w:tc>
          <w:tcPr>
            <w:tcW w:w="1094" w:type="dxa"/>
            <w:tcBorders>
              <w:top w:val="nil"/>
              <w:left w:val="nil"/>
              <w:bottom w:val="nil"/>
              <w:right w:val="nil"/>
            </w:tcBorders>
            <w:shd w:val="clear" w:color="auto" w:fill="auto"/>
            <w:vAlign w:val="center"/>
          </w:tcPr>
          <w:p w14:paraId="13FFEB4E">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1</w:t>
            </w:r>
          </w:p>
        </w:tc>
        <w:tc>
          <w:tcPr>
            <w:tcW w:w="2935" w:type="dxa"/>
            <w:tcBorders>
              <w:top w:val="nil"/>
              <w:left w:val="nil"/>
              <w:bottom w:val="nil"/>
              <w:right w:val="nil"/>
            </w:tcBorders>
            <w:shd w:val="clear" w:color="auto" w:fill="auto"/>
            <w:vAlign w:val="center"/>
          </w:tcPr>
          <w:p w14:paraId="68F5B36F">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0.52 </w:t>
            </w:r>
          </w:p>
        </w:tc>
        <w:tc>
          <w:tcPr>
            <w:tcW w:w="2958" w:type="dxa"/>
            <w:tcBorders>
              <w:top w:val="nil"/>
              <w:left w:val="nil"/>
              <w:bottom w:val="nil"/>
              <w:right w:val="nil"/>
            </w:tcBorders>
            <w:shd w:val="clear" w:color="auto" w:fill="auto"/>
            <w:noWrap/>
            <w:vAlign w:val="center"/>
          </w:tcPr>
          <w:p w14:paraId="496C3EEA">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0.00 </w:t>
            </w:r>
          </w:p>
        </w:tc>
        <w:tc>
          <w:tcPr>
            <w:tcW w:w="3005" w:type="dxa"/>
            <w:tcBorders>
              <w:top w:val="nil"/>
              <w:left w:val="nil"/>
              <w:bottom w:val="nil"/>
              <w:right w:val="nil"/>
            </w:tcBorders>
            <w:shd w:val="clear" w:color="auto" w:fill="auto"/>
            <w:noWrap/>
            <w:vAlign w:val="center"/>
          </w:tcPr>
          <w:p w14:paraId="71A2D6EA">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0.52 </w:t>
            </w:r>
          </w:p>
        </w:tc>
      </w:tr>
      <w:tr w14:paraId="6AD13CB4">
        <w:tblPrEx>
          <w:tblCellMar>
            <w:top w:w="0" w:type="dxa"/>
            <w:left w:w="0" w:type="dxa"/>
            <w:bottom w:w="0" w:type="dxa"/>
            <w:right w:w="0" w:type="dxa"/>
          </w:tblCellMar>
        </w:tblPrEx>
        <w:trPr>
          <w:trHeight w:val="315" w:hRule="atLeast"/>
          <w:jc w:val="center"/>
        </w:trPr>
        <w:tc>
          <w:tcPr>
            <w:tcW w:w="1094" w:type="dxa"/>
            <w:tcBorders>
              <w:top w:val="nil"/>
              <w:left w:val="nil"/>
              <w:bottom w:val="nil"/>
              <w:right w:val="nil"/>
            </w:tcBorders>
            <w:shd w:val="clear" w:color="auto" w:fill="auto"/>
            <w:vAlign w:val="center"/>
          </w:tcPr>
          <w:p w14:paraId="7827708C">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2</w:t>
            </w:r>
          </w:p>
        </w:tc>
        <w:tc>
          <w:tcPr>
            <w:tcW w:w="2935" w:type="dxa"/>
            <w:tcBorders>
              <w:top w:val="nil"/>
              <w:left w:val="nil"/>
              <w:bottom w:val="nil"/>
              <w:right w:val="nil"/>
            </w:tcBorders>
            <w:shd w:val="clear" w:color="auto" w:fill="auto"/>
            <w:vAlign w:val="center"/>
          </w:tcPr>
          <w:p w14:paraId="73389AF8">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0.33 </w:t>
            </w:r>
          </w:p>
        </w:tc>
        <w:tc>
          <w:tcPr>
            <w:tcW w:w="2958" w:type="dxa"/>
            <w:tcBorders>
              <w:top w:val="nil"/>
              <w:left w:val="nil"/>
              <w:bottom w:val="nil"/>
              <w:right w:val="nil"/>
            </w:tcBorders>
            <w:shd w:val="clear" w:color="auto" w:fill="auto"/>
            <w:noWrap/>
            <w:vAlign w:val="center"/>
          </w:tcPr>
          <w:p w14:paraId="4EFCF3AF">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0.00 </w:t>
            </w:r>
          </w:p>
        </w:tc>
        <w:tc>
          <w:tcPr>
            <w:tcW w:w="3005" w:type="dxa"/>
            <w:tcBorders>
              <w:top w:val="nil"/>
              <w:left w:val="nil"/>
              <w:bottom w:val="nil"/>
              <w:right w:val="nil"/>
            </w:tcBorders>
            <w:shd w:val="clear" w:color="auto" w:fill="auto"/>
            <w:noWrap/>
            <w:vAlign w:val="center"/>
          </w:tcPr>
          <w:p w14:paraId="1C480FAB">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0.33 </w:t>
            </w:r>
          </w:p>
        </w:tc>
      </w:tr>
      <w:tr w14:paraId="69B8B7A0">
        <w:tblPrEx>
          <w:tblCellMar>
            <w:top w:w="0" w:type="dxa"/>
            <w:left w:w="0" w:type="dxa"/>
            <w:bottom w:w="0" w:type="dxa"/>
            <w:right w:w="0" w:type="dxa"/>
          </w:tblCellMar>
        </w:tblPrEx>
        <w:trPr>
          <w:trHeight w:val="315" w:hRule="atLeast"/>
          <w:jc w:val="center"/>
        </w:trPr>
        <w:tc>
          <w:tcPr>
            <w:tcW w:w="1094" w:type="dxa"/>
            <w:tcBorders>
              <w:top w:val="nil"/>
              <w:left w:val="nil"/>
              <w:bottom w:val="nil"/>
              <w:right w:val="nil"/>
            </w:tcBorders>
            <w:shd w:val="clear" w:color="auto" w:fill="auto"/>
            <w:vAlign w:val="center"/>
          </w:tcPr>
          <w:p w14:paraId="7F227B86">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3</w:t>
            </w:r>
          </w:p>
        </w:tc>
        <w:tc>
          <w:tcPr>
            <w:tcW w:w="2935" w:type="dxa"/>
            <w:tcBorders>
              <w:top w:val="nil"/>
              <w:left w:val="nil"/>
              <w:bottom w:val="nil"/>
              <w:right w:val="nil"/>
            </w:tcBorders>
            <w:shd w:val="clear" w:color="auto" w:fill="auto"/>
            <w:vAlign w:val="center"/>
          </w:tcPr>
          <w:p w14:paraId="5FD60BC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0.12 </w:t>
            </w:r>
          </w:p>
        </w:tc>
        <w:tc>
          <w:tcPr>
            <w:tcW w:w="2958" w:type="dxa"/>
            <w:tcBorders>
              <w:top w:val="nil"/>
              <w:left w:val="nil"/>
              <w:bottom w:val="nil"/>
              <w:right w:val="nil"/>
            </w:tcBorders>
            <w:shd w:val="clear" w:color="auto" w:fill="auto"/>
            <w:noWrap/>
            <w:vAlign w:val="center"/>
          </w:tcPr>
          <w:p w14:paraId="64A1A08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0.01 </w:t>
            </w:r>
          </w:p>
        </w:tc>
        <w:tc>
          <w:tcPr>
            <w:tcW w:w="3005" w:type="dxa"/>
            <w:tcBorders>
              <w:top w:val="nil"/>
              <w:left w:val="nil"/>
              <w:bottom w:val="nil"/>
              <w:right w:val="nil"/>
            </w:tcBorders>
            <w:shd w:val="clear" w:color="auto" w:fill="auto"/>
            <w:noWrap/>
            <w:vAlign w:val="center"/>
          </w:tcPr>
          <w:p w14:paraId="2CFD0ECE">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0.13 </w:t>
            </w:r>
          </w:p>
        </w:tc>
      </w:tr>
      <w:tr w14:paraId="2D24BFFC">
        <w:tblPrEx>
          <w:tblCellMar>
            <w:top w:w="0" w:type="dxa"/>
            <w:left w:w="0" w:type="dxa"/>
            <w:bottom w:w="0" w:type="dxa"/>
            <w:right w:w="0" w:type="dxa"/>
          </w:tblCellMar>
        </w:tblPrEx>
        <w:trPr>
          <w:trHeight w:val="315" w:hRule="atLeast"/>
          <w:jc w:val="center"/>
        </w:trPr>
        <w:tc>
          <w:tcPr>
            <w:tcW w:w="1094" w:type="dxa"/>
            <w:tcBorders>
              <w:top w:val="nil"/>
              <w:left w:val="nil"/>
              <w:bottom w:val="nil"/>
              <w:right w:val="nil"/>
            </w:tcBorders>
            <w:shd w:val="clear" w:color="auto" w:fill="auto"/>
            <w:vAlign w:val="center"/>
          </w:tcPr>
          <w:p w14:paraId="303D4959">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4</w:t>
            </w:r>
          </w:p>
        </w:tc>
        <w:tc>
          <w:tcPr>
            <w:tcW w:w="2935" w:type="dxa"/>
            <w:tcBorders>
              <w:top w:val="nil"/>
              <w:left w:val="nil"/>
              <w:bottom w:val="nil"/>
              <w:right w:val="nil"/>
            </w:tcBorders>
            <w:shd w:val="clear" w:color="auto" w:fill="auto"/>
            <w:vAlign w:val="center"/>
          </w:tcPr>
          <w:p w14:paraId="7C0E0E90">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0.15 </w:t>
            </w:r>
          </w:p>
        </w:tc>
        <w:tc>
          <w:tcPr>
            <w:tcW w:w="2958" w:type="dxa"/>
            <w:tcBorders>
              <w:top w:val="nil"/>
              <w:left w:val="nil"/>
              <w:bottom w:val="nil"/>
              <w:right w:val="nil"/>
            </w:tcBorders>
            <w:shd w:val="clear" w:color="auto" w:fill="auto"/>
            <w:noWrap/>
            <w:vAlign w:val="center"/>
          </w:tcPr>
          <w:p w14:paraId="4D1186E1">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0.02 </w:t>
            </w:r>
          </w:p>
        </w:tc>
        <w:tc>
          <w:tcPr>
            <w:tcW w:w="3005" w:type="dxa"/>
            <w:tcBorders>
              <w:top w:val="nil"/>
              <w:left w:val="nil"/>
              <w:bottom w:val="nil"/>
              <w:right w:val="nil"/>
            </w:tcBorders>
            <w:shd w:val="clear" w:color="auto" w:fill="auto"/>
            <w:noWrap/>
            <w:vAlign w:val="center"/>
          </w:tcPr>
          <w:p w14:paraId="1715443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0.16 </w:t>
            </w:r>
          </w:p>
        </w:tc>
      </w:tr>
      <w:tr w14:paraId="2EBEF773">
        <w:tblPrEx>
          <w:tblCellMar>
            <w:top w:w="0" w:type="dxa"/>
            <w:left w:w="0" w:type="dxa"/>
            <w:bottom w:w="0" w:type="dxa"/>
            <w:right w:w="0" w:type="dxa"/>
          </w:tblCellMar>
        </w:tblPrEx>
        <w:trPr>
          <w:trHeight w:val="321" w:hRule="atLeast"/>
          <w:jc w:val="center"/>
        </w:trPr>
        <w:tc>
          <w:tcPr>
            <w:tcW w:w="1094" w:type="dxa"/>
            <w:tcBorders>
              <w:top w:val="nil"/>
              <w:left w:val="nil"/>
              <w:bottom w:val="nil"/>
              <w:right w:val="nil"/>
            </w:tcBorders>
            <w:shd w:val="clear" w:color="auto" w:fill="auto"/>
            <w:vAlign w:val="center"/>
          </w:tcPr>
          <w:p w14:paraId="55B34844">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5</w:t>
            </w:r>
          </w:p>
        </w:tc>
        <w:tc>
          <w:tcPr>
            <w:tcW w:w="2935" w:type="dxa"/>
            <w:tcBorders>
              <w:top w:val="nil"/>
              <w:left w:val="nil"/>
              <w:bottom w:val="nil"/>
              <w:right w:val="nil"/>
            </w:tcBorders>
            <w:shd w:val="clear" w:color="auto" w:fill="auto"/>
            <w:vAlign w:val="center"/>
          </w:tcPr>
          <w:p w14:paraId="019E2C6A">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0.14 </w:t>
            </w:r>
          </w:p>
        </w:tc>
        <w:tc>
          <w:tcPr>
            <w:tcW w:w="2958" w:type="dxa"/>
            <w:tcBorders>
              <w:top w:val="nil"/>
              <w:left w:val="nil"/>
              <w:bottom w:val="nil"/>
              <w:right w:val="nil"/>
            </w:tcBorders>
            <w:shd w:val="clear" w:color="auto" w:fill="auto"/>
            <w:noWrap/>
            <w:vAlign w:val="center"/>
          </w:tcPr>
          <w:p w14:paraId="711FA14B">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0.02 </w:t>
            </w:r>
          </w:p>
        </w:tc>
        <w:tc>
          <w:tcPr>
            <w:tcW w:w="3005" w:type="dxa"/>
            <w:tcBorders>
              <w:top w:val="nil"/>
              <w:left w:val="nil"/>
              <w:bottom w:val="nil"/>
              <w:right w:val="nil"/>
            </w:tcBorders>
            <w:shd w:val="clear" w:color="auto" w:fill="auto"/>
            <w:noWrap/>
            <w:vAlign w:val="center"/>
          </w:tcPr>
          <w:p w14:paraId="696DCAEA">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0.16 </w:t>
            </w:r>
          </w:p>
        </w:tc>
      </w:tr>
      <w:tr w14:paraId="6D55A698">
        <w:tblPrEx>
          <w:tblCellMar>
            <w:top w:w="0" w:type="dxa"/>
            <w:left w:w="0" w:type="dxa"/>
            <w:bottom w:w="0" w:type="dxa"/>
            <w:right w:w="0" w:type="dxa"/>
          </w:tblCellMar>
        </w:tblPrEx>
        <w:trPr>
          <w:trHeight w:val="315" w:hRule="atLeast"/>
          <w:jc w:val="center"/>
        </w:trPr>
        <w:tc>
          <w:tcPr>
            <w:tcW w:w="1094" w:type="dxa"/>
            <w:tcBorders>
              <w:top w:val="nil"/>
              <w:left w:val="nil"/>
              <w:bottom w:val="nil"/>
              <w:right w:val="nil"/>
            </w:tcBorders>
            <w:shd w:val="clear" w:color="auto" w:fill="auto"/>
            <w:vAlign w:val="center"/>
          </w:tcPr>
          <w:p w14:paraId="2344F6C1">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6</w:t>
            </w:r>
          </w:p>
        </w:tc>
        <w:tc>
          <w:tcPr>
            <w:tcW w:w="2935" w:type="dxa"/>
            <w:tcBorders>
              <w:top w:val="nil"/>
              <w:left w:val="nil"/>
              <w:bottom w:val="nil"/>
              <w:right w:val="nil"/>
            </w:tcBorders>
            <w:shd w:val="clear" w:color="auto" w:fill="auto"/>
            <w:vAlign w:val="center"/>
          </w:tcPr>
          <w:p w14:paraId="61C34577">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0.09 </w:t>
            </w:r>
          </w:p>
        </w:tc>
        <w:tc>
          <w:tcPr>
            <w:tcW w:w="2958" w:type="dxa"/>
            <w:tcBorders>
              <w:top w:val="nil"/>
              <w:left w:val="nil"/>
              <w:bottom w:val="nil"/>
              <w:right w:val="nil"/>
            </w:tcBorders>
            <w:shd w:val="clear" w:color="auto" w:fill="auto"/>
            <w:noWrap/>
            <w:vAlign w:val="center"/>
          </w:tcPr>
          <w:p w14:paraId="07BA1D48">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0.01 </w:t>
            </w:r>
          </w:p>
        </w:tc>
        <w:tc>
          <w:tcPr>
            <w:tcW w:w="3005" w:type="dxa"/>
            <w:tcBorders>
              <w:top w:val="nil"/>
              <w:left w:val="nil"/>
              <w:bottom w:val="nil"/>
              <w:right w:val="nil"/>
            </w:tcBorders>
            <w:shd w:val="clear" w:color="auto" w:fill="auto"/>
            <w:noWrap/>
            <w:vAlign w:val="center"/>
          </w:tcPr>
          <w:p w14:paraId="7AF44223">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0.10 </w:t>
            </w:r>
          </w:p>
        </w:tc>
      </w:tr>
      <w:tr w14:paraId="10F72451">
        <w:tblPrEx>
          <w:tblCellMar>
            <w:top w:w="0" w:type="dxa"/>
            <w:left w:w="0" w:type="dxa"/>
            <w:bottom w:w="0" w:type="dxa"/>
            <w:right w:w="0" w:type="dxa"/>
          </w:tblCellMar>
        </w:tblPrEx>
        <w:trPr>
          <w:trHeight w:val="315" w:hRule="atLeast"/>
          <w:jc w:val="center"/>
        </w:trPr>
        <w:tc>
          <w:tcPr>
            <w:tcW w:w="1094" w:type="dxa"/>
            <w:tcBorders>
              <w:top w:val="nil"/>
              <w:left w:val="nil"/>
              <w:bottom w:val="nil"/>
              <w:right w:val="nil"/>
            </w:tcBorders>
            <w:shd w:val="clear" w:color="auto" w:fill="auto"/>
            <w:vAlign w:val="center"/>
          </w:tcPr>
          <w:p w14:paraId="496CC744">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7</w:t>
            </w:r>
          </w:p>
        </w:tc>
        <w:tc>
          <w:tcPr>
            <w:tcW w:w="2935" w:type="dxa"/>
            <w:tcBorders>
              <w:top w:val="nil"/>
              <w:left w:val="nil"/>
              <w:bottom w:val="nil"/>
              <w:right w:val="nil"/>
            </w:tcBorders>
            <w:shd w:val="clear" w:color="auto" w:fill="auto"/>
            <w:vAlign w:val="center"/>
          </w:tcPr>
          <w:p w14:paraId="1D5CD59F">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0.03 </w:t>
            </w:r>
          </w:p>
        </w:tc>
        <w:tc>
          <w:tcPr>
            <w:tcW w:w="2958" w:type="dxa"/>
            <w:tcBorders>
              <w:top w:val="nil"/>
              <w:left w:val="nil"/>
              <w:bottom w:val="nil"/>
              <w:right w:val="nil"/>
            </w:tcBorders>
            <w:shd w:val="clear" w:color="auto" w:fill="auto"/>
            <w:noWrap/>
            <w:vAlign w:val="center"/>
          </w:tcPr>
          <w:p w14:paraId="70182035">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-0.02 </w:t>
            </w:r>
          </w:p>
        </w:tc>
        <w:tc>
          <w:tcPr>
            <w:tcW w:w="3005" w:type="dxa"/>
            <w:tcBorders>
              <w:top w:val="nil"/>
              <w:left w:val="nil"/>
              <w:bottom w:val="nil"/>
              <w:right w:val="nil"/>
            </w:tcBorders>
            <w:shd w:val="clear" w:color="auto" w:fill="auto"/>
            <w:noWrap/>
            <w:vAlign w:val="center"/>
          </w:tcPr>
          <w:p w14:paraId="5AE0418C">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0.01 </w:t>
            </w:r>
          </w:p>
        </w:tc>
      </w:tr>
      <w:tr w14:paraId="2C6FE1F5">
        <w:tblPrEx>
          <w:tblCellMar>
            <w:top w:w="0" w:type="dxa"/>
            <w:left w:w="0" w:type="dxa"/>
            <w:bottom w:w="0" w:type="dxa"/>
            <w:right w:w="0" w:type="dxa"/>
          </w:tblCellMar>
        </w:tblPrEx>
        <w:trPr>
          <w:trHeight w:val="333" w:hRule="atLeast"/>
          <w:jc w:val="center"/>
        </w:trPr>
        <w:tc>
          <w:tcPr>
            <w:tcW w:w="1094" w:type="dxa"/>
            <w:tcBorders>
              <w:top w:val="nil"/>
              <w:left w:val="nil"/>
              <w:bottom w:val="single" w:color="auto" w:sz="12" w:space="0"/>
              <w:right w:val="nil"/>
            </w:tcBorders>
            <w:shd w:val="clear" w:color="auto" w:fill="auto"/>
            <w:vAlign w:val="center"/>
          </w:tcPr>
          <w:p w14:paraId="60F92B86">
            <w:pPr>
              <w:tabs>
                <w:tab w:val="left" w:pos="567"/>
              </w:tabs>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8</w:t>
            </w:r>
          </w:p>
        </w:tc>
        <w:tc>
          <w:tcPr>
            <w:tcW w:w="2935" w:type="dxa"/>
            <w:tcBorders>
              <w:top w:val="nil"/>
              <w:left w:val="nil"/>
              <w:bottom w:val="single" w:color="auto" w:sz="12" w:space="0"/>
              <w:right w:val="nil"/>
            </w:tcBorders>
            <w:shd w:val="clear" w:color="auto" w:fill="auto"/>
            <w:vAlign w:val="center"/>
          </w:tcPr>
          <w:p w14:paraId="3389C5AB">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0.01 </w:t>
            </w:r>
          </w:p>
        </w:tc>
        <w:tc>
          <w:tcPr>
            <w:tcW w:w="2958" w:type="dxa"/>
            <w:tcBorders>
              <w:top w:val="nil"/>
              <w:left w:val="nil"/>
              <w:bottom w:val="single" w:color="auto" w:sz="12" w:space="0"/>
              <w:right w:val="nil"/>
            </w:tcBorders>
            <w:shd w:val="clear" w:color="auto" w:fill="auto"/>
            <w:noWrap/>
            <w:vAlign w:val="center"/>
          </w:tcPr>
          <w:p w14:paraId="0D112F34">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-0.13 </w:t>
            </w:r>
          </w:p>
        </w:tc>
        <w:tc>
          <w:tcPr>
            <w:tcW w:w="3005" w:type="dxa"/>
            <w:tcBorders>
              <w:top w:val="nil"/>
              <w:left w:val="nil"/>
              <w:bottom w:val="single" w:color="auto" w:sz="12" w:space="0"/>
              <w:right w:val="nil"/>
            </w:tcBorders>
            <w:shd w:val="clear" w:color="auto" w:fill="auto"/>
            <w:noWrap/>
            <w:vAlign w:val="center"/>
          </w:tcPr>
          <w:p w14:paraId="77D63436">
            <w:pPr>
              <w:tabs>
                <w:tab w:val="left" w:pos="567"/>
              </w:tabs>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-0.12 </w:t>
            </w:r>
          </w:p>
        </w:tc>
      </w:tr>
    </w:tbl>
    <w:p w14:paraId="2F66CE7B">
      <w:pPr>
        <w:widowControl/>
        <w:tabs>
          <w:tab w:val="left" w:pos="567"/>
        </w:tabs>
        <w:snapToGrid w:val="0"/>
        <w:spacing w:after="332" w:afterLines="100"/>
        <w:rPr>
          <w:rFonts w:ascii="Times New Roman" w:hAnsi="Times New Roman" w:cs="Times New Roman"/>
          <w:b/>
          <w:bCs/>
          <w:sz w:val="20"/>
          <w:szCs w:val="20"/>
        </w:rPr>
      </w:pPr>
    </w:p>
    <w:p w14:paraId="7D24F984">
      <w:pPr>
        <w:widowControl/>
        <w:tabs>
          <w:tab w:val="left" w:pos="567"/>
        </w:tabs>
        <w:snapToGrid w:val="0"/>
        <w:spacing w:after="332" w:afterLines="100"/>
        <w:rPr>
          <w:rFonts w:ascii="Times New Roman" w:hAnsi="Times New Roman" w:cs="Times New Roman"/>
          <w:b/>
          <w:bCs/>
          <w:sz w:val="20"/>
          <w:szCs w:val="20"/>
        </w:rPr>
        <w:sectPr>
          <w:endnotePr>
            <w:numFmt w:val="decimal"/>
          </w:endnotePr>
          <w:pgSz w:w="11906" w:h="16838"/>
          <w:pgMar w:top="1440" w:right="955" w:bottom="1440" w:left="843" w:header="851" w:footer="992" w:gutter="0"/>
          <w:cols w:space="0" w:num="1"/>
          <w:docGrid w:type="lines" w:linePitch="332" w:charSpace="0"/>
        </w:sectPr>
      </w:pPr>
    </w:p>
    <w:p w14:paraId="716082C9">
      <w:pPr>
        <w:tabs>
          <w:tab w:val="left" w:pos="567"/>
        </w:tabs>
        <w:spacing w:after="332" w:afterLines="100" w:line="360" w:lineRule="auto"/>
        <w:rPr>
          <w:rFonts w:ascii="Times New Roman" w:hAnsi="Times New Roman" w:eastAsia="宋体" w:cs="Times New Roman"/>
          <w:sz w:val="24"/>
        </w:rPr>
      </w:pPr>
      <w:r>
        <w:rPr>
          <w:rFonts w:ascii="Times New Roman" w:hAnsi="Times New Roman" w:cs="Times New Roman"/>
          <w:b/>
          <w:bCs/>
          <w:iCs/>
          <w:sz w:val="24"/>
        </w:rPr>
        <w:t xml:space="preserve">Table </w:t>
      </w:r>
      <w:r>
        <w:rPr>
          <w:rFonts w:hint="eastAsia" w:ascii="Times New Roman" w:hAnsi="Times New Roman" w:cs="Times New Roman"/>
          <w:b/>
          <w:bCs/>
          <w:iCs/>
          <w:sz w:val="24"/>
        </w:rPr>
        <w:t>S9</w:t>
      </w:r>
      <w:r>
        <w:rPr>
          <w:rFonts w:ascii="Times New Roman" w:hAnsi="Times New Roman" w:cs="Times New Roman"/>
          <w:sz w:val="24"/>
        </w:rPr>
        <w:t xml:space="preserve"> </w:t>
      </w:r>
      <w:r>
        <w:rPr>
          <w:rFonts w:hint="eastAsia" w:ascii="Times New Roman" w:hAnsi="Times New Roman" w:cs="Times New Roman"/>
          <w:sz w:val="24"/>
        </w:rPr>
        <w:t>Average load reduction of the JD windows across different climatic zones</w:t>
      </w:r>
    </w:p>
    <w:tbl>
      <w:tblPr>
        <w:tblStyle w:val="6"/>
        <w:tblW w:w="15194" w:type="dxa"/>
        <w:jc w:val="center"/>
        <w:tblLayout w:type="fixed"/>
        <w:tblCellMar>
          <w:top w:w="0" w:type="dxa"/>
          <w:left w:w="0" w:type="dxa"/>
          <w:bottom w:w="0" w:type="dxa"/>
          <w:right w:w="0" w:type="dxa"/>
        </w:tblCellMar>
      </w:tblPr>
      <w:tblGrid>
        <w:gridCol w:w="1850"/>
        <w:gridCol w:w="1634"/>
        <w:gridCol w:w="1277"/>
        <w:gridCol w:w="1221"/>
        <w:gridCol w:w="1783"/>
        <w:gridCol w:w="1743"/>
        <w:gridCol w:w="1805"/>
        <w:gridCol w:w="1914"/>
        <w:gridCol w:w="1967"/>
      </w:tblGrid>
      <w:tr w14:paraId="0CED250E">
        <w:tblPrEx>
          <w:tblCellMar>
            <w:top w:w="0" w:type="dxa"/>
            <w:left w:w="0" w:type="dxa"/>
            <w:bottom w:w="0" w:type="dxa"/>
            <w:right w:w="0" w:type="dxa"/>
          </w:tblCellMar>
        </w:tblPrEx>
        <w:trPr>
          <w:trHeight w:val="941" w:hRule="atLeast"/>
          <w:jc w:val="center"/>
        </w:trPr>
        <w:tc>
          <w:tcPr>
            <w:tcW w:w="1850" w:type="dxa"/>
            <w:tcBorders>
              <w:top w:val="single" w:color="000000" w:sz="12" w:space="0"/>
              <w:left w:val="nil"/>
              <w:bottom w:val="single" w:color="auto" w:sz="4" w:space="0"/>
              <w:right w:val="nil"/>
            </w:tcBorders>
            <w:shd w:val="clear" w:color="auto" w:fill="auto"/>
            <w:noWrap/>
            <w:vAlign w:val="center"/>
          </w:tcPr>
          <w:p w14:paraId="7B264B99">
            <w:pPr>
              <w:adjustRightInd w:val="0"/>
              <w:jc w:val="left"/>
              <w:rPr>
                <w:rFonts w:ascii="Times New Roman" w:hAnsi="Times New Roman" w:cs="Times New Roman"/>
                <w:b/>
                <w:bCs/>
                <w:sz w:val="20"/>
                <w:szCs w:val="20"/>
              </w:rPr>
            </w:pPr>
            <w:r>
              <w:rPr>
                <w:rFonts w:ascii="Times New Roman" w:hAnsi="Times New Roman" w:cs="Times New Roman"/>
                <w:b/>
                <w:bCs/>
                <w:sz w:val="20"/>
                <w:szCs w:val="20"/>
              </w:rPr>
              <w:t>Cities</w:t>
            </w:r>
          </w:p>
        </w:tc>
        <w:tc>
          <w:tcPr>
            <w:tcW w:w="1634" w:type="dxa"/>
            <w:tcBorders>
              <w:top w:val="single" w:color="000000" w:sz="12" w:space="0"/>
              <w:left w:val="nil"/>
              <w:bottom w:val="single" w:color="auto" w:sz="4" w:space="0"/>
              <w:right w:val="nil"/>
            </w:tcBorders>
            <w:shd w:val="clear" w:color="auto" w:fill="auto"/>
            <w:noWrap/>
            <w:vAlign w:val="center"/>
          </w:tcPr>
          <w:p w14:paraId="379A4472">
            <w:pPr>
              <w:adjustRightInd w:val="0"/>
              <w:jc w:val="left"/>
              <w:rPr>
                <w:rFonts w:ascii="Times New Roman" w:hAnsi="Times New Roman" w:cs="Times New Roman"/>
                <w:b/>
                <w:bCs/>
                <w:sz w:val="20"/>
                <w:szCs w:val="20"/>
              </w:rPr>
            </w:pPr>
            <w:r>
              <w:rPr>
                <w:rFonts w:ascii="Times New Roman" w:hAnsi="Times New Roman" w:cs="Times New Roman"/>
                <w:b/>
                <w:bCs/>
                <w:sz w:val="20"/>
                <w:szCs w:val="20"/>
              </w:rPr>
              <w:t>Longitude</w:t>
            </w:r>
          </w:p>
        </w:tc>
        <w:tc>
          <w:tcPr>
            <w:tcW w:w="1277" w:type="dxa"/>
            <w:tcBorders>
              <w:top w:val="single" w:color="000000" w:sz="12" w:space="0"/>
              <w:left w:val="nil"/>
              <w:bottom w:val="nil"/>
              <w:right w:val="nil"/>
            </w:tcBorders>
            <w:shd w:val="clear" w:color="auto" w:fill="auto"/>
            <w:noWrap/>
            <w:vAlign w:val="center"/>
          </w:tcPr>
          <w:p w14:paraId="0C6DF0E4">
            <w:pPr>
              <w:adjustRightInd w:val="0"/>
              <w:jc w:val="left"/>
              <w:rPr>
                <w:rFonts w:ascii="Times New Roman" w:hAnsi="Times New Roman" w:cs="Times New Roman"/>
                <w:b/>
                <w:bCs/>
                <w:sz w:val="20"/>
                <w:szCs w:val="20"/>
              </w:rPr>
            </w:pPr>
            <w:r>
              <w:rPr>
                <w:rFonts w:ascii="Times New Roman" w:hAnsi="Times New Roman" w:cs="Times New Roman"/>
                <w:b/>
                <w:bCs/>
                <w:sz w:val="20"/>
                <w:szCs w:val="20"/>
              </w:rPr>
              <w:t>Latitude</w:t>
            </w:r>
          </w:p>
        </w:tc>
        <w:tc>
          <w:tcPr>
            <w:tcW w:w="1221" w:type="dxa"/>
            <w:tcBorders>
              <w:top w:val="single" w:color="000000" w:sz="12" w:space="0"/>
              <w:left w:val="nil"/>
              <w:right w:val="nil"/>
            </w:tcBorders>
            <w:shd w:val="clear" w:color="auto" w:fill="auto"/>
            <w:noWrap/>
            <w:vAlign w:val="center"/>
          </w:tcPr>
          <w:p w14:paraId="68B2C53B">
            <w:pPr>
              <w:adjustRightInd w:val="0"/>
              <w:jc w:val="left"/>
              <w:rPr>
                <w:rFonts w:ascii="Times New Roman" w:hAnsi="Times New Roman" w:cs="Times New Roman"/>
                <w:b/>
                <w:bCs/>
                <w:sz w:val="20"/>
                <w:szCs w:val="20"/>
              </w:rPr>
            </w:pPr>
            <w:r>
              <w:rPr>
                <w:rFonts w:ascii="Times New Roman" w:hAnsi="Times New Roman" w:cs="Times New Roman"/>
                <w:b/>
                <w:bCs/>
                <w:sz w:val="20"/>
                <w:szCs w:val="20"/>
              </w:rPr>
              <w:t>Thermal zones</w:t>
            </w:r>
          </w:p>
        </w:tc>
        <w:tc>
          <w:tcPr>
            <w:tcW w:w="1783" w:type="dxa"/>
            <w:tcBorders>
              <w:top w:val="single" w:color="000000" w:sz="12" w:space="0"/>
              <w:left w:val="nil"/>
              <w:right w:val="nil"/>
            </w:tcBorders>
            <w:shd w:val="clear" w:color="auto" w:fill="auto"/>
            <w:noWrap/>
            <w:vAlign w:val="center"/>
          </w:tcPr>
          <w:p w14:paraId="41F0067C">
            <w:pPr>
              <w:adjustRightInd w:val="0"/>
              <w:jc w:val="left"/>
              <w:rPr>
                <w:rFonts w:ascii="Times New Roman" w:hAnsi="Times New Roman" w:cs="Times New Roman"/>
                <w:b/>
                <w:bCs/>
                <w:sz w:val="20"/>
                <w:szCs w:val="20"/>
              </w:rPr>
            </w:pPr>
            <w:r>
              <w:rPr>
                <w:rFonts w:hint="eastAsia" w:ascii="Times New Roman" w:hAnsi="Times New Roman" w:cs="Times New Roman"/>
                <w:b/>
                <w:bCs/>
                <w:sz w:val="20"/>
                <w:szCs w:val="20"/>
              </w:rPr>
              <w:t>C</w:t>
            </w:r>
            <w:r>
              <w:rPr>
                <w:rFonts w:ascii="Times New Roman" w:hAnsi="Times New Roman" w:cs="Times New Roman"/>
                <w:b/>
                <w:bCs/>
                <w:sz w:val="20"/>
                <w:szCs w:val="20"/>
              </w:rPr>
              <w:t>ooling load reduction</w:t>
            </w:r>
            <w:r>
              <w:rPr>
                <w:rFonts w:hint="eastAsia" w:ascii="Times New Roman" w:hAnsi="Times New Roman" w:cs="Times New Roman"/>
                <w:b/>
                <w:bCs/>
                <w:sz w:val="20"/>
                <w:szCs w:val="20"/>
              </w:rPr>
              <w:t xml:space="preserve"> </w:t>
            </w:r>
          </w:p>
          <w:p w14:paraId="15DBF214">
            <w:pPr>
              <w:adjustRightInd w:val="0"/>
              <w:jc w:val="left"/>
              <w:rPr>
                <w:rFonts w:ascii="Times New Roman" w:hAnsi="Times New Roman" w:cs="Times New Roman"/>
                <w:b/>
                <w:bCs/>
                <w:sz w:val="20"/>
                <w:szCs w:val="20"/>
              </w:rPr>
            </w:pPr>
            <w:r>
              <w:rPr>
                <w:rFonts w:hint="eastAsia" w:ascii="Times New Roman" w:hAnsi="Times New Roman" w:cs="Times New Roman"/>
                <w:b/>
                <w:sz w:val="20"/>
                <w:szCs w:val="20"/>
              </w:rPr>
              <w:t>(GJ</w:t>
            </w:r>
            <w:r>
              <w:rPr>
                <w:rFonts w:ascii="Times New Roman" w:hAnsi="Times New Roman" w:cs="Times New Roman"/>
                <w:b/>
                <w:sz w:val="20"/>
                <w:szCs w:val="20"/>
              </w:rPr>
              <w:t>·</w:t>
            </w:r>
            <w:r>
              <w:rPr>
                <w:rFonts w:hint="eastAsia" w:ascii="Times New Roman" w:hAnsi="Times New Roman" w:cs="Times New Roman"/>
                <w:b/>
                <w:sz w:val="20"/>
                <w:szCs w:val="20"/>
              </w:rPr>
              <w:t>m</w:t>
            </w:r>
            <w:r>
              <w:rPr>
                <w:rFonts w:hint="eastAsia" w:ascii="Times New Roman" w:hAnsi="Times New Roman" w:cs="Times New Roman"/>
                <w:b/>
                <w:sz w:val="20"/>
                <w:szCs w:val="20"/>
                <w:vertAlign w:val="superscript"/>
              </w:rPr>
              <w:t>-2</w:t>
            </w:r>
            <w:r>
              <w:rPr>
                <w:rFonts w:ascii="Times New Roman" w:hAnsi="Times New Roman" w:cs="Times New Roman"/>
                <w:b/>
                <w:sz w:val="20"/>
                <w:szCs w:val="20"/>
              </w:rPr>
              <w:t>·</w:t>
            </w:r>
            <w:r>
              <w:rPr>
                <w:rFonts w:hint="eastAsia" w:ascii="Times New Roman" w:hAnsi="Times New Roman" w:cs="Times New Roman"/>
                <w:b/>
                <w:sz w:val="20"/>
                <w:szCs w:val="20"/>
              </w:rPr>
              <w:t>yr</w:t>
            </w:r>
            <w:r>
              <w:rPr>
                <w:rFonts w:hint="eastAsia" w:ascii="Times New Roman" w:hAnsi="Times New Roman" w:cs="Times New Roman"/>
                <w:b/>
                <w:sz w:val="20"/>
                <w:szCs w:val="20"/>
                <w:vertAlign w:val="superscript"/>
              </w:rPr>
              <w:t>-1</w:t>
            </w:r>
            <w:r>
              <w:rPr>
                <w:rFonts w:hint="eastAsia" w:ascii="Times New Roman" w:hAnsi="Times New Roman" w:cs="Times New Roman"/>
                <w:b/>
                <w:sz w:val="20"/>
                <w:szCs w:val="20"/>
              </w:rPr>
              <w:t>)</w:t>
            </w:r>
          </w:p>
        </w:tc>
        <w:tc>
          <w:tcPr>
            <w:tcW w:w="1743" w:type="dxa"/>
            <w:tcBorders>
              <w:top w:val="single" w:color="000000" w:sz="12" w:space="0"/>
              <w:left w:val="nil"/>
              <w:right w:val="nil"/>
            </w:tcBorders>
            <w:shd w:val="clear" w:color="auto" w:fill="auto"/>
            <w:noWrap/>
            <w:vAlign w:val="center"/>
          </w:tcPr>
          <w:p w14:paraId="3DFCE9F9">
            <w:pPr>
              <w:adjustRightInd w:val="0"/>
              <w:jc w:val="left"/>
              <w:rPr>
                <w:rFonts w:ascii="Times New Roman" w:hAnsi="Times New Roman" w:cs="Times New Roman"/>
                <w:b/>
                <w:bCs/>
                <w:sz w:val="20"/>
                <w:szCs w:val="20"/>
              </w:rPr>
            </w:pPr>
            <w:r>
              <w:rPr>
                <w:rFonts w:hint="eastAsia" w:ascii="Times New Roman" w:hAnsi="Times New Roman" w:cs="Times New Roman"/>
                <w:b/>
                <w:bCs/>
                <w:sz w:val="20"/>
                <w:szCs w:val="20"/>
              </w:rPr>
              <w:t>H</w:t>
            </w:r>
            <w:r>
              <w:rPr>
                <w:rFonts w:ascii="Times New Roman" w:hAnsi="Times New Roman" w:cs="Times New Roman"/>
                <w:b/>
                <w:bCs/>
                <w:sz w:val="20"/>
                <w:szCs w:val="20"/>
              </w:rPr>
              <w:t>eating load reduction</w:t>
            </w:r>
            <w:r>
              <w:rPr>
                <w:rFonts w:hint="eastAsia" w:ascii="Times New Roman" w:hAnsi="Times New Roman" w:cs="Times New Roman"/>
                <w:b/>
                <w:bCs/>
                <w:sz w:val="20"/>
                <w:szCs w:val="20"/>
              </w:rPr>
              <w:t xml:space="preserve"> </w:t>
            </w:r>
          </w:p>
          <w:p w14:paraId="51D09B86">
            <w:pPr>
              <w:adjustRightInd w:val="0"/>
              <w:jc w:val="left"/>
              <w:rPr>
                <w:rFonts w:ascii="Times New Roman" w:hAnsi="Times New Roman" w:cs="Times New Roman"/>
                <w:b/>
                <w:bCs/>
                <w:sz w:val="20"/>
                <w:szCs w:val="20"/>
              </w:rPr>
            </w:pPr>
            <w:r>
              <w:rPr>
                <w:rFonts w:hint="eastAsia" w:ascii="Times New Roman" w:hAnsi="Times New Roman" w:cs="Times New Roman"/>
                <w:b/>
                <w:sz w:val="20"/>
                <w:szCs w:val="20"/>
              </w:rPr>
              <w:t>(GJ</w:t>
            </w:r>
            <w:r>
              <w:rPr>
                <w:rFonts w:ascii="Times New Roman" w:hAnsi="Times New Roman" w:cs="Times New Roman"/>
                <w:b/>
                <w:sz w:val="20"/>
                <w:szCs w:val="20"/>
              </w:rPr>
              <w:t>·</w:t>
            </w:r>
            <w:r>
              <w:rPr>
                <w:rFonts w:hint="eastAsia" w:ascii="Times New Roman" w:hAnsi="Times New Roman" w:cs="Times New Roman"/>
                <w:b/>
                <w:sz w:val="20"/>
                <w:szCs w:val="20"/>
              </w:rPr>
              <w:t>m</w:t>
            </w:r>
            <w:r>
              <w:rPr>
                <w:rFonts w:hint="eastAsia" w:ascii="Times New Roman" w:hAnsi="Times New Roman" w:cs="Times New Roman"/>
                <w:b/>
                <w:sz w:val="20"/>
                <w:szCs w:val="20"/>
                <w:vertAlign w:val="superscript"/>
              </w:rPr>
              <w:t>-2</w:t>
            </w:r>
            <w:r>
              <w:rPr>
                <w:rFonts w:ascii="Times New Roman" w:hAnsi="Times New Roman" w:cs="Times New Roman"/>
                <w:b/>
                <w:sz w:val="20"/>
                <w:szCs w:val="20"/>
              </w:rPr>
              <w:t>·</w:t>
            </w:r>
            <w:r>
              <w:rPr>
                <w:rFonts w:hint="eastAsia" w:ascii="Times New Roman" w:hAnsi="Times New Roman" w:cs="Times New Roman"/>
                <w:b/>
                <w:sz w:val="20"/>
                <w:szCs w:val="20"/>
              </w:rPr>
              <w:t>yr</w:t>
            </w:r>
            <w:r>
              <w:rPr>
                <w:rFonts w:hint="eastAsia" w:ascii="Times New Roman" w:hAnsi="Times New Roman" w:cs="Times New Roman"/>
                <w:b/>
                <w:sz w:val="20"/>
                <w:szCs w:val="20"/>
                <w:vertAlign w:val="superscript"/>
              </w:rPr>
              <w:t>-1</w:t>
            </w:r>
            <w:r>
              <w:rPr>
                <w:rFonts w:hint="eastAsia" w:ascii="Times New Roman" w:hAnsi="Times New Roman" w:cs="Times New Roman"/>
                <w:b/>
                <w:sz w:val="20"/>
                <w:szCs w:val="20"/>
              </w:rPr>
              <w:t>)</w:t>
            </w:r>
          </w:p>
        </w:tc>
        <w:tc>
          <w:tcPr>
            <w:tcW w:w="1805" w:type="dxa"/>
            <w:tcBorders>
              <w:top w:val="single" w:color="000000" w:sz="12" w:space="0"/>
              <w:left w:val="nil"/>
              <w:right w:val="nil"/>
            </w:tcBorders>
            <w:shd w:val="clear" w:color="auto" w:fill="auto"/>
            <w:noWrap/>
            <w:vAlign w:val="center"/>
          </w:tcPr>
          <w:p w14:paraId="5DA381CF">
            <w:pPr>
              <w:adjustRightInd w:val="0"/>
              <w:jc w:val="left"/>
              <w:rPr>
                <w:rFonts w:ascii="Times New Roman" w:hAnsi="Times New Roman" w:cs="Times New Roman"/>
                <w:b/>
                <w:bCs/>
                <w:sz w:val="20"/>
                <w:szCs w:val="20"/>
              </w:rPr>
            </w:pPr>
            <w:r>
              <w:rPr>
                <w:rFonts w:ascii="Times New Roman" w:hAnsi="Times New Roman" w:cs="Times New Roman"/>
                <w:b/>
                <w:bCs/>
                <w:sz w:val="20"/>
                <w:szCs w:val="20"/>
              </w:rPr>
              <w:t>Total load reduction</w:t>
            </w:r>
            <w:r>
              <w:rPr>
                <w:rFonts w:hint="eastAsia" w:ascii="Times New Roman" w:hAnsi="Times New Roman" w:cs="Times New Roman"/>
                <w:b/>
                <w:bCs/>
                <w:sz w:val="20"/>
                <w:szCs w:val="20"/>
              </w:rPr>
              <w:t xml:space="preserve"> </w:t>
            </w:r>
          </w:p>
          <w:p w14:paraId="309B2027">
            <w:pPr>
              <w:adjustRightInd w:val="0"/>
              <w:jc w:val="left"/>
              <w:rPr>
                <w:rFonts w:ascii="Times New Roman" w:hAnsi="Times New Roman" w:cs="Times New Roman"/>
                <w:b/>
                <w:bCs/>
                <w:sz w:val="20"/>
                <w:szCs w:val="20"/>
              </w:rPr>
            </w:pPr>
            <w:r>
              <w:rPr>
                <w:rFonts w:hint="eastAsia" w:ascii="Times New Roman" w:hAnsi="Times New Roman" w:cs="Times New Roman"/>
                <w:b/>
                <w:sz w:val="20"/>
                <w:szCs w:val="20"/>
              </w:rPr>
              <w:t>(GJ</w:t>
            </w:r>
            <w:r>
              <w:rPr>
                <w:rFonts w:ascii="Times New Roman" w:hAnsi="Times New Roman" w:cs="Times New Roman"/>
                <w:b/>
                <w:sz w:val="20"/>
                <w:szCs w:val="20"/>
              </w:rPr>
              <w:t>·</w:t>
            </w:r>
            <w:r>
              <w:rPr>
                <w:rFonts w:hint="eastAsia" w:ascii="Times New Roman" w:hAnsi="Times New Roman" w:cs="Times New Roman"/>
                <w:b/>
                <w:sz w:val="20"/>
                <w:szCs w:val="20"/>
              </w:rPr>
              <w:t>m</w:t>
            </w:r>
            <w:r>
              <w:rPr>
                <w:rFonts w:hint="eastAsia" w:ascii="Times New Roman" w:hAnsi="Times New Roman" w:cs="Times New Roman"/>
                <w:b/>
                <w:sz w:val="20"/>
                <w:szCs w:val="20"/>
                <w:vertAlign w:val="superscript"/>
              </w:rPr>
              <w:t>-2</w:t>
            </w:r>
            <w:r>
              <w:rPr>
                <w:rFonts w:ascii="Times New Roman" w:hAnsi="Times New Roman" w:cs="Times New Roman"/>
                <w:b/>
                <w:sz w:val="20"/>
                <w:szCs w:val="20"/>
              </w:rPr>
              <w:t>·</w:t>
            </w:r>
            <w:r>
              <w:rPr>
                <w:rFonts w:hint="eastAsia" w:ascii="Times New Roman" w:hAnsi="Times New Roman" w:cs="Times New Roman"/>
                <w:b/>
                <w:sz w:val="20"/>
                <w:szCs w:val="20"/>
              </w:rPr>
              <w:t>yr</w:t>
            </w:r>
            <w:r>
              <w:rPr>
                <w:rFonts w:hint="eastAsia" w:ascii="Times New Roman" w:hAnsi="Times New Roman" w:cs="Times New Roman"/>
                <w:b/>
                <w:sz w:val="20"/>
                <w:szCs w:val="20"/>
                <w:vertAlign w:val="superscript"/>
              </w:rPr>
              <w:t>-1</w:t>
            </w:r>
            <w:r>
              <w:rPr>
                <w:rFonts w:hint="eastAsia" w:ascii="Times New Roman" w:hAnsi="Times New Roman" w:cs="Times New Roman"/>
                <w:b/>
                <w:sz w:val="20"/>
                <w:szCs w:val="20"/>
              </w:rPr>
              <w:t>)</w:t>
            </w:r>
          </w:p>
        </w:tc>
        <w:tc>
          <w:tcPr>
            <w:tcW w:w="1914" w:type="dxa"/>
            <w:tcBorders>
              <w:top w:val="single" w:color="000000" w:sz="12" w:space="0"/>
              <w:left w:val="nil"/>
              <w:right w:val="nil"/>
            </w:tcBorders>
            <w:shd w:val="clear" w:color="auto" w:fill="auto"/>
            <w:noWrap/>
            <w:vAlign w:val="center"/>
          </w:tcPr>
          <w:p w14:paraId="3C3878BB">
            <w:pPr>
              <w:adjustRightInd w:val="0"/>
              <w:jc w:val="left"/>
              <w:rPr>
                <w:rFonts w:ascii="Times New Roman" w:hAnsi="Times New Roman" w:cs="Times New Roman"/>
                <w:b/>
                <w:sz w:val="20"/>
                <w:szCs w:val="20"/>
              </w:rPr>
            </w:pPr>
            <w:r>
              <w:rPr>
                <w:rFonts w:hint="eastAsia" w:ascii="Times New Roman" w:hAnsi="Times New Roman" w:cs="Times New Roman"/>
                <w:b/>
                <w:sz w:val="20"/>
                <w:szCs w:val="20"/>
              </w:rPr>
              <w:t xml:space="preserve">Solar heat gain of the JD window </w:t>
            </w:r>
          </w:p>
          <w:p w14:paraId="7C053EF4">
            <w:pPr>
              <w:adjustRightInd w:val="0"/>
              <w:jc w:val="left"/>
              <w:rPr>
                <w:rFonts w:ascii="Times New Roman" w:hAnsi="Times New Roman" w:cs="Times New Roman"/>
                <w:b/>
                <w:sz w:val="20"/>
                <w:szCs w:val="20"/>
              </w:rPr>
            </w:pPr>
            <w:r>
              <w:rPr>
                <w:rFonts w:hint="eastAsia" w:ascii="Times New Roman" w:hAnsi="Times New Roman" w:cs="Times New Roman"/>
                <w:b/>
                <w:sz w:val="20"/>
                <w:szCs w:val="20"/>
              </w:rPr>
              <w:t>(GJ</w:t>
            </w:r>
            <w:r>
              <w:rPr>
                <w:rFonts w:ascii="Times New Roman" w:hAnsi="Times New Roman" w:cs="Times New Roman"/>
                <w:b/>
                <w:sz w:val="20"/>
                <w:szCs w:val="20"/>
              </w:rPr>
              <w:t>·</w:t>
            </w:r>
            <w:r>
              <w:rPr>
                <w:rFonts w:hint="eastAsia" w:ascii="Times New Roman" w:hAnsi="Times New Roman" w:cs="Times New Roman"/>
                <w:b/>
                <w:sz w:val="20"/>
                <w:szCs w:val="20"/>
              </w:rPr>
              <w:t>m</w:t>
            </w:r>
            <w:r>
              <w:rPr>
                <w:rFonts w:hint="eastAsia" w:ascii="Times New Roman" w:hAnsi="Times New Roman" w:cs="Times New Roman"/>
                <w:b/>
                <w:sz w:val="20"/>
                <w:szCs w:val="20"/>
                <w:vertAlign w:val="superscript"/>
              </w:rPr>
              <w:t>-2</w:t>
            </w:r>
            <w:r>
              <w:rPr>
                <w:rFonts w:ascii="Times New Roman" w:hAnsi="Times New Roman" w:cs="Times New Roman"/>
                <w:b/>
                <w:sz w:val="20"/>
                <w:szCs w:val="20"/>
              </w:rPr>
              <w:t>·</w:t>
            </w:r>
            <w:r>
              <w:rPr>
                <w:rFonts w:hint="eastAsia" w:ascii="Times New Roman" w:hAnsi="Times New Roman" w:cs="Times New Roman"/>
                <w:b/>
                <w:sz w:val="20"/>
                <w:szCs w:val="20"/>
              </w:rPr>
              <w:t>yr</w:t>
            </w:r>
            <w:r>
              <w:rPr>
                <w:rFonts w:hint="eastAsia" w:ascii="Times New Roman" w:hAnsi="Times New Roman" w:cs="Times New Roman"/>
                <w:b/>
                <w:sz w:val="20"/>
                <w:szCs w:val="20"/>
                <w:vertAlign w:val="superscript"/>
              </w:rPr>
              <w:t>-1</w:t>
            </w:r>
            <w:r>
              <w:rPr>
                <w:rFonts w:hint="eastAsia" w:ascii="Times New Roman" w:hAnsi="Times New Roman" w:cs="Times New Roman"/>
                <w:b/>
                <w:sz w:val="20"/>
                <w:szCs w:val="20"/>
              </w:rPr>
              <w:t>)</w:t>
            </w:r>
          </w:p>
        </w:tc>
        <w:tc>
          <w:tcPr>
            <w:tcW w:w="1967" w:type="dxa"/>
            <w:tcBorders>
              <w:top w:val="single" w:color="000000" w:sz="12" w:space="0"/>
              <w:left w:val="nil"/>
              <w:right w:val="nil"/>
            </w:tcBorders>
            <w:shd w:val="clear" w:color="auto" w:fill="auto"/>
            <w:noWrap/>
            <w:vAlign w:val="center"/>
          </w:tcPr>
          <w:p w14:paraId="6D64C946">
            <w:pPr>
              <w:adjustRightInd w:val="0"/>
              <w:jc w:val="left"/>
              <w:rPr>
                <w:rFonts w:ascii="Times New Roman" w:hAnsi="Times New Roman" w:cs="Times New Roman"/>
                <w:b/>
                <w:sz w:val="20"/>
                <w:szCs w:val="20"/>
              </w:rPr>
            </w:pPr>
            <w:r>
              <w:rPr>
                <w:rFonts w:hint="eastAsia" w:ascii="Times New Roman" w:hAnsi="Times New Roman" w:cs="Times New Roman"/>
                <w:b/>
                <w:sz w:val="20"/>
                <w:szCs w:val="20"/>
              </w:rPr>
              <w:t xml:space="preserve">Solar heat gain of the low-e window </w:t>
            </w:r>
          </w:p>
          <w:p w14:paraId="2AD908BC">
            <w:pPr>
              <w:adjustRightInd w:val="0"/>
              <w:jc w:val="left"/>
              <w:rPr>
                <w:rFonts w:ascii="Times New Roman" w:hAnsi="Times New Roman" w:cs="Times New Roman"/>
                <w:b/>
                <w:sz w:val="20"/>
                <w:szCs w:val="20"/>
              </w:rPr>
            </w:pPr>
            <w:r>
              <w:rPr>
                <w:rFonts w:hint="eastAsia" w:ascii="Times New Roman" w:hAnsi="Times New Roman" w:cs="Times New Roman"/>
                <w:b/>
                <w:sz w:val="20"/>
                <w:szCs w:val="20"/>
              </w:rPr>
              <w:t>(GJ</w:t>
            </w:r>
            <w:r>
              <w:rPr>
                <w:rFonts w:ascii="Times New Roman" w:hAnsi="Times New Roman" w:cs="Times New Roman"/>
                <w:b/>
                <w:sz w:val="20"/>
                <w:szCs w:val="20"/>
              </w:rPr>
              <w:t>·</w:t>
            </w:r>
            <w:r>
              <w:rPr>
                <w:rFonts w:hint="eastAsia" w:ascii="Times New Roman" w:hAnsi="Times New Roman" w:cs="Times New Roman"/>
                <w:b/>
                <w:sz w:val="20"/>
                <w:szCs w:val="20"/>
              </w:rPr>
              <w:t>m</w:t>
            </w:r>
            <w:r>
              <w:rPr>
                <w:rFonts w:hint="eastAsia" w:ascii="Times New Roman" w:hAnsi="Times New Roman" w:cs="Times New Roman"/>
                <w:b/>
                <w:sz w:val="20"/>
                <w:szCs w:val="20"/>
                <w:vertAlign w:val="superscript"/>
              </w:rPr>
              <w:t>-2</w:t>
            </w:r>
            <w:r>
              <w:rPr>
                <w:rFonts w:ascii="Times New Roman" w:hAnsi="Times New Roman" w:cs="Times New Roman"/>
                <w:b/>
                <w:sz w:val="20"/>
                <w:szCs w:val="20"/>
              </w:rPr>
              <w:t>·</w:t>
            </w:r>
            <w:r>
              <w:rPr>
                <w:rFonts w:hint="eastAsia" w:ascii="Times New Roman" w:hAnsi="Times New Roman" w:cs="Times New Roman"/>
                <w:b/>
                <w:sz w:val="20"/>
                <w:szCs w:val="20"/>
              </w:rPr>
              <w:t>yr</w:t>
            </w:r>
            <w:r>
              <w:rPr>
                <w:rFonts w:hint="eastAsia" w:ascii="Times New Roman" w:hAnsi="Times New Roman" w:cs="Times New Roman"/>
                <w:b/>
                <w:sz w:val="20"/>
                <w:szCs w:val="20"/>
                <w:vertAlign w:val="superscript"/>
              </w:rPr>
              <w:t>-1</w:t>
            </w:r>
            <w:r>
              <w:rPr>
                <w:rFonts w:hint="eastAsia" w:ascii="Times New Roman" w:hAnsi="Times New Roman" w:cs="Times New Roman"/>
                <w:b/>
                <w:sz w:val="20"/>
                <w:szCs w:val="20"/>
              </w:rPr>
              <w:t>)</w:t>
            </w:r>
          </w:p>
        </w:tc>
      </w:tr>
      <w:tr w14:paraId="032880E2">
        <w:tblPrEx>
          <w:tblCellMar>
            <w:top w:w="0" w:type="dxa"/>
            <w:left w:w="0" w:type="dxa"/>
            <w:bottom w:w="0" w:type="dxa"/>
            <w:right w:w="0" w:type="dxa"/>
          </w:tblCellMar>
        </w:tblPrEx>
        <w:trPr>
          <w:trHeight w:val="466" w:hRule="atLeast"/>
          <w:jc w:val="center"/>
        </w:trPr>
        <w:tc>
          <w:tcPr>
            <w:tcW w:w="1850" w:type="dxa"/>
            <w:tcBorders>
              <w:top w:val="single" w:color="auto" w:sz="4" w:space="0"/>
              <w:left w:val="nil"/>
              <w:bottom w:val="nil"/>
              <w:right w:val="nil"/>
            </w:tcBorders>
            <w:shd w:val="clear" w:color="auto" w:fill="auto"/>
            <w:noWrap/>
            <w:vAlign w:val="center"/>
          </w:tcPr>
          <w:p w14:paraId="6DC96F07">
            <w:pPr>
              <w:adjustRightInd w:val="0"/>
              <w:spacing w:line="360" w:lineRule="auto"/>
              <w:jc w:val="left"/>
              <w:rPr>
                <w:rFonts w:ascii="Times New Roman" w:hAnsi="Times New Roman" w:eastAsia="宋体" w:cs="Times New Roman"/>
                <w:sz w:val="20"/>
                <w:szCs w:val="20"/>
              </w:rPr>
            </w:pPr>
            <w:r>
              <w:rPr>
                <w:rFonts w:ascii="Times New Roman" w:hAnsi="Times New Roman" w:cs="Times New Roman"/>
                <w:sz w:val="20"/>
                <w:szCs w:val="20"/>
              </w:rPr>
              <w:t>Singapore</w:t>
            </w:r>
          </w:p>
        </w:tc>
        <w:tc>
          <w:tcPr>
            <w:tcW w:w="1634" w:type="dxa"/>
            <w:tcBorders>
              <w:top w:val="single" w:color="auto" w:sz="4" w:space="0"/>
              <w:left w:val="nil"/>
              <w:bottom w:val="nil"/>
              <w:right w:val="nil"/>
            </w:tcBorders>
            <w:shd w:val="clear" w:color="auto" w:fill="auto"/>
            <w:noWrap/>
            <w:vAlign w:val="center"/>
          </w:tcPr>
          <w:p w14:paraId="7F2F63D0">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103.82 </w:t>
            </w:r>
          </w:p>
        </w:tc>
        <w:tc>
          <w:tcPr>
            <w:tcW w:w="1277" w:type="dxa"/>
            <w:tcBorders>
              <w:top w:val="single" w:color="auto" w:sz="4" w:space="0"/>
              <w:left w:val="nil"/>
              <w:bottom w:val="nil"/>
              <w:right w:val="nil"/>
            </w:tcBorders>
            <w:shd w:val="clear" w:color="auto" w:fill="auto"/>
            <w:noWrap/>
            <w:vAlign w:val="center"/>
          </w:tcPr>
          <w:p w14:paraId="38EE640A">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1.35 </w:t>
            </w:r>
          </w:p>
        </w:tc>
        <w:tc>
          <w:tcPr>
            <w:tcW w:w="1221" w:type="dxa"/>
            <w:tcBorders>
              <w:top w:val="single" w:color="auto" w:sz="4" w:space="0"/>
              <w:left w:val="nil"/>
              <w:bottom w:val="nil"/>
              <w:right w:val="nil"/>
            </w:tcBorders>
            <w:shd w:val="clear" w:color="auto" w:fill="auto"/>
            <w:noWrap/>
            <w:vAlign w:val="center"/>
          </w:tcPr>
          <w:p w14:paraId="40BCE24D">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w:t>
            </w:r>
          </w:p>
        </w:tc>
        <w:tc>
          <w:tcPr>
            <w:tcW w:w="1783" w:type="dxa"/>
            <w:tcBorders>
              <w:top w:val="single" w:color="auto" w:sz="4" w:space="0"/>
              <w:left w:val="nil"/>
              <w:bottom w:val="nil"/>
              <w:right w:val="nil"/>
            </w:tcBorders>
            <w:shd w:val="clear" w:color="auto" w:fill="auto"/>
            <w:noWrap/>
            <w:vAlign w:val="center"/>
          </w:tcPr>
          <w:p w14:paraId="741D45D6">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0.56 </w:t>
            </w:r>
          </w:p>
        </w:tc>
        <w:tc>
          <w:tcPr>
            <w:tcW w:w="1743" w:type="dxa"/>
            <w:tcBorders>
              <w:top w:val="single" w:color="auto" w:sz="4" w:space="0"/>
              <w:left w:val="nil"/>
              <w:bottom w:val="nil"/>
              <w:right w:val="nil"/>
            </w:tcBorders>
            <w:shd w:val="clear" w:color="auto" w:fill="auto"/>
            <w:noWrap/>
            <w:vAlign w:val="center"/>
          </w:tcPr>
          <w:p w14:paraId="6ED9D7A7">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805" w:type="dxa"/>
            <w:tcBorders>
              <w:top w:val="single" w:color="auto" w:sz="4" w:space="0"/>
              <w:left w:val="nil"/>
              <w:bottom w:val="nil"/>
              <w:right w:val="nil"/>
            </w:tcBorders>
            <w:shd w:val="clear" w:color="auto" w:fill="auto"/>
            <w:noWrap/>
            <w:vAlign w:val="center"/>
          </w:tcPr>
          <w:p w14:paraId="6F8137B5">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0.56 </w:t>
            </w:r>
          </w:p>
        </w:tc>
        <w:tc>
          <w:tcPr>
            <w:tcW w:w="1914" w:type="dxa"/>
            <w:tcBorders>
              <w:top w:val="single" w:color="auto" w:sz="4" w:space="0"/>
              <w:left w:val="nil"/>
              <w:bottom w:val="nil"/>
              <w:right w:val="nil"/>
            </w:tcBorders>
            <w:shd w:val="clear" w:color="auto" w:fill="auto"/>
            <w:noWrap/>
            <w:vAlign w:val="center"/>
          </w:tcPr>
          <w:p w14:paraId="23152928">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1.44 </w:t>
            </w:r>
          </w:p>
        </w:tc>
        <w:tc>
          <w:tcPr>
            <w:tcW w:w="1967" w:type="dxa"/>
            <w:tcBorders>
              <w:top w:val="single" w:color="auto" w:sz="4" w:space="0"/>
              <w:left w:val="nil"/>
              <w:bottom w:val="nil"/>
              <w:right w:val="nil"/>
            </w:tcBorders>
            <w:shd w:val="clear" w:color="auto" w:fill="auto"/>
            <w:noWrap/>
            <w:vAlign w:val="center"/>
          </w:tcPr>
          <w:p w14:paraId="104F6FFD">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2.25 </w:t>
            </w:r>
          </w:p>
        </w:tc>
      </w:tr>
      <w:tr w14:paraId="462BDE57">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5E9F4F46">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Managua</w:t>
            </w:r>
          </w:p>
        </w:tc>
        <w:tc>
          <w:tcPr>
            <w:tcW w:w="1634" w:type="dxa"/>
            <w:tcBorders>
              <w:top w:val="nil"/>
              <w:left w:val="nil"/>
              <w:bottom w:val="nil"/>
              <w:right w:val="nil"/>
            </w:tcBorders>
            <w:shd w:val="clear" w:color="auto" w:fill="auto"/>
            <w:vAlign w:val="center"/>
          </w:tcPr>
          <w:p w14:paraId="3BC1FF38">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-86.25 </w:t>
            </w:r>
          </w:p>
        </w:tc>
        <w:tc>
          <w:tcPr>
            <w:tcW w:w="1277" w:type="dxa"/>
            <w:tcBorders>
              <w:top w:val="nil"/>
              <w:left w:val="nil"/>
              <w:bottom w:val="nil"/>
              <w:right w:val="nil"/>
            </w:tcBorders>
            <w:shd w:val="clear" w:color="auto" w:fill="auto"/>
            <w:vAlign w:val="center"/>
          </w:tcPr>
          <w:p w14:paraId="23E95352">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12.14 </w:t>
            </w:r>
          </w:p>
        </w:tc>
        <w:tc>
          <w:tcPr>
            <w:tcW w:w="1221" w:type="dxa"/>
            <w:tcBorders>
              <w:top w:val="nil"/>
              <w:left w:val="nil"/>
              <w:bottom w:val="nil"/>
              <w:right w:val="nil"/>
            </w:tcBorders>
            <w:shd w:val="clear" w:color="auto" w:fill="auto"/>
            <w:noWrap/>
            <w:vAlign w:val="center"/>
          </w:tcPr>
          <w:p w14:paraId="6EE48DC2">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w:t>
            </w:r>
          </w:p>
        </w:tc>
        <w:tc>
          <w:tcPr>
            <w:tcW w:w="1783" w:type="dxa"/>
            <w:tcBorders>
              <w:top w:val="nil"/>
              <w:left w:val="nil"/>
              <w:bottom w:val="nil"/>
              <w:right w:val="nil"/>
            </w:tcBorders>
            <w:shd w:val="clear" w:color="auto" w:fill="auto"/>
            <w:noWrap/>
            <w:vAlign w:val="center"/>
          </w:tcPr>
          <w:p w14:paraId="660FC99D">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0.55 </w:t>
            </w:r>
          </w:p>
        </w:tc>
        <w:tc>
          <w:tcPr>
            <w:tcW w:w="1743" w:type="dxa"/>
            <w:tcBorders>
              <w:top w:val="nil"/>
              <w:left w:val="nil"/>
              <w:bottom w:val="nil"/>
              <w:right w:val="nil"/>
            </w:tcBorders>
            <w:shd w:val="clear" w:color="auto" w:fill="auto"/>
            <w:noWrap/>
            <w:vAlign w:val="center"/>
          </w:tcPr>
          <w:p w14:paraId="3D96AD5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805" w:type="dxa"/>
            <w:tcBorders>
              <w:top w:val="nil"/>
              <w:left w:val="nil"/>
              <w:bottom w:val="nil"/>
              <w:right w:val="nil"/>
            </w:tcBorders>
            <w:shd w:val="clear" w:color="auto" w:fill="auto"/>
            <w:noWrap/>
            <w:vAlign w:val="center"/>
          </w:tcPr>
          <w:p w14:paraId="5EB80C1A">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0.55 </w:t>
            </w:r>
          </w:p>
        </w:tc>
        <w:tc>
          <w:tcPr>
            <w:tcW w:w="1914" w:type="dxa"/>
            <w:tcBorders>
              <w:top w:val="nil"/>
              <w:left w:val="nil"/>
              <w:bottom w:val="nil"/>
              <w:right w:val="nil"/>
            </w:tcBorders>
            <w:shd w:val="clear" w:color="auto" w:fill="auto"/>
            <w:noWrap/>
            <w:vAlign w:val="center"/>
          </w:tcPr>
          <w:p w14:paraId="781361A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1.42 </w:t>
            </w:r>
          </w:p>
        </w:tc>
        <w:tc>
          <w:tcPr>
            <w:tcW w:w="1967" w:type="dxa"/>
            <w:tcBorders>
              <w:top w:val="nil"/>
              <w:left w:val="nil"/>
              <w:bottom w:val="nil"/>
              <w:right w:val="nil"/>
            </w:tcBorders>
            <w:shd w:val="clear" w:color="auto" w:fill="auto"/>
            <w:noWrap/>
            <w:vAlign w:val="center"/>
          </w:tcPr>
          <w:p w14:paraId="6E1A4DF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2.31 </w:t>
            </w:r>
          </w:p>
        </w:tc>
      </w:tr>
      <w:tr w14:paraId="7F86F54B">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25A3EB17">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Dar es Salaam</w:t>
            </w:r>
          </w:p>
        </w:tc>
        <w:tc>
          <w:tcPr>
            <w:tcW w:w="1634" w:type="dxa"/>
            <w:tcBorders>
              <w:top w:val="nil"/>
              <w:left w:val="nil"/>
              <w:bottom w:val="nil"/>
              <w:right w:val="nil"/>
            </w:tcBorders>
            <w:shd w:val="clear" w:color="auto" w:fill="auto"/>
            <w:vAlign w:val="center"/>
          </w:tcPr>
          <w:p w14:paraId="5C2A50F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39.21 </w:t>
            </w:r>
          </w:p>
        </w:tc>
        <w:tc>
          <w:tcPr>
            <w:tcW w:w="1277" w:type="dxa"/>
            <w:tcBorders>
              <w:top w:val="nil"/>
              <w:left w:val="nil"/>
              <w:bottom w:val="nil"/>
              <w:right w:val="nil"/>
            </w:tcBorders>
            <w:shd w:val="clear" w:color="auto" w:fill="auto"/>
            <w:vAlign w:val="center"/>
          </w:tcPr>
          <w:p w14:paraId="5AEDE748">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-6.79 </w:t>
            </w:r>
          </w:p>
        </w:tc>
        <w:tc>
          <w:tcPr>
            <w:tcW w:w="1221" w:type="dxa"/>
            <w:tcBorders>
              <w:top w:val="nil"/>
              <w:left w:val="nil"/>
              <w:bottom w:val="nil"/>
              <w:right w:val="nil"/>
            </w:tcBorders>
            <w:shd w:val="clear" w:color="auto" w:fill="auto"/>
            <w:noWrap/>
            <w:vAlign w:val="center"/>
          </w:tcPr>
          <w:p w14:paraId="7B08BCDF">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w:t>
            </w:r>
          </w:p>
        </w:tc>
        <w:tc>
          <w:tcPr>
            <w:tcW w:w="1783" w:type="dxa"/>
            <w:tcBorders>
              <w:top w:val="nil"/>
              <w:left w:val="nil"/>
              <w:bottom w:val="nil"/>
              <w:right w:val="nil"/>
            </w:tcBorders>
            <w:shd w:val="clear" w:color="auto" w:fill="auto"/>
            <w:noWrap/>
            <w:vAlign w:val="center"/>
          </w:tcPr>
          <w:p w14:paraId="6EB8205C">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0.59 </w:t>
            </w:r>
          </w:p>
        </w:tc>
        <w:tc>
          <w:tcPr>
            <w:tcW w:w="1743" w:type="dxa"/>
            <w:tcBorders>
              <w:top w:val="nil"/>
              <w:left w:val="nil"/>
              <w:bottom w:val="nil"/>
              <w:right w:val="nil"/>
            </w:tcBorders>
            <w:shd w:val="clear" w:color="auto" w:fill="auto"/>
            <w:noWrap/>
            <w:vAlign w:val="center"/>
          </w:tcPr>
          <w:p w14:paraId="20EEA66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805" w:type="dxa"/>
            <w:tcBorders>
              <w:top w:val="nil"/>
              <w:left w:val="nil"/>
              <w:bottom w:val="nil"/>
              <w:right w:val="nil"/>
            </w:tcBorders>
            <w:shd w:val="clear" w:color="auto" w:fill="auto"/>
            <w:noWrap/>
            <w:vAlign w:val="center"/>
          </w:tcPr>
          <w:p w14:paraId="4251303C">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0.59 </w:t>
            </w:r>
          </w:p>
        </w:tc>
        <w:tc>
          <w:tcPr>
            <w:tcW w:w="1914" w:type="dxa"/>
            <w:tcBorders>
              <w:top w:val="nil"/>
              <w:left w:val="nil"/>
              <w:bottom w:val="nil"/>
              <w:right w:val="nil"/>
            </w:tcBorders>
            <w:shd w:val="clear" w:color="auto" w:fill="auto"/>
            <w:noWrap/>
            <w:vAlign w:val="center"/>
          </w:tcPr>
          <w:p w14:paraId="078B59C8">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1.36 </w:t>
            </w:r>
          </w:p>
        </w:tc>
        <w:tc>
          <w:tcPr>
            <w:tcW w:w="1967" w:type="dxa"/>
            <w:tcBorders>
              <w:top w:val="nil"/>
              <w:left w:val="nil"/>
              <w:bottom w:val="nil"/>
              <w:right w:val="nil"/>
            </w:tcBorders>
            <w:shd w:val="clear" w:color="auto" w:fill="auto"/>
            <w:noWrap/>
            <w:vAlign w:val="center"/>
          </w:tcPr>
          <w:p w14:paraId="4C78C298">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2.19 </w:t>
            </w:r>
          </w:p>
        </w:tc>
      </w:tr>
      <w:tr w14:paraId="6C4BBE9C">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3E42665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Riyadh</w:t>
            </w:r>
          </w:p>
        </w:tc>
        <w:tc>
          <w:tcPr>
            <w:tcW w:w="1634" w:type="dxa"/>
            <w:tcBorders>
              <w:top w:val="nil"/>
              <w:left w:val="nil"/>
              <w:bottom w:val="nil"/>
              <w:right w:val="nil"/>
            </w:tcBorders>
            <w:shd w:val="clear" w:color="auto" w:fill="auto"/>
            <w:vAlign w:val="center"/>
          </w:tcPr>
          <w:p w14:paraId="567D6809">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46.68 </w:t>
            </w:r>
          </w:p>
        </w:tc>
        <w:tc>
          <w:tcPr>
            <w:tcW w:w="1277" w:type="dxa"/>
            <w:tcBorders>
              <w:top w:val="nil"/>
              <w:left w:val="nil"/>
              <w:bottom w:val="nil"/>
              <w:right w:val="nil"/>
            </w:tcBorders>
            <w:shd w:val="clear" w:color="auto" w:fill="auto"/>
            <w:vAlign w:val="center"/>
          </w:tcPr>
          <w:p w14:paraId="3D0F6018">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24.71 </w:t>
            </w:r>
          </w:p>
        </w:tc>
        <w:tc>
          <w:tcPr>
            <w:tcW w:w="1221" w:type="dxa"/>
            <w:tcBorders>
              <w:top w:val="nil"/>
              <w:left w:val="nil"/>
              <w:bottom w:val="nil"/>
              <w:right w:val="nil"/>
            </w:tcBorders>
            <w:shd w:val="clear" w:color="auto" w:fill="auto"/>
            <w:noWrap/>
            <w:vAlign w:val="center"/>
          </w:tcPr>
          <w:p w14:paraId="3C86DCBA">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1</w:t>
            </w:r>
          </w:p>
        </w:tc>
        <w:tc>
          <w:tcPr>
            <w:tcW w:w="1783" w:type="dxa"/>
            <w:tcBorders>
              <w:top w:val="nil"/>
              <w:left w:val="nil"/>
              <w:bottom w:val="nil"/>
              <w:right w:val="nil"/>
            </w:tcBorders>
            <w:shd w:val="clear" w:color="auto" w:fill="auto"/>
            <w:noWrap/>
            <w:vAlign w:val="center"/>
          </w:tcPr>
          <w:p w14:paraId="71023275">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0.58 </w:t>
            </w:r>
          </w:p>
        </w:tc>
        <w:tc>
          <w:tcPr>
            <w:tcW w:w="1743" w:type="dxa"/>
            <w:tcBorders>
              <w:top w:val="nil"/>
              <w:left w:val="nil"/>
              <w:bottom w:val="nil"/>
              <w:right w:val="nil"/>
            </w:tcBorders>
            <w:shd w:val="clear" w:color="auto" w:fill="auto"/>
            <w:noWrap/>
            <w:vAlign w:val="center"/>
          </w:tcPr>
          <w:p w14:paraId="0789F5FF">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805" w:type="dxa"/>
            <w:tcBorders>
              <w:top w:val="nil"/>
              <w:left w:val="nil"/>
              <w:bottom w:val="nil"/>
              <w:right w:val="nil"/>
            </w:tcBorders>
            <w:shd w:val="clear" w:color="auto" w:fill="auto"/>
            <w:noWrap/>
            <w:vAlign w:val="center"/>
          </w:tcPr>
          <w:p w14:paraId="6D78F8E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0.58 </w:t>
            </w:r>
          </w:p>
        </w:tc>
        <w:tc>
          <w:tcPr>
            <w:tcW w:w="1914" w:type="dxa"/>
            <w:tcBorders>
              <w:top w:val="nil"/>
              <w:left w:val="nil"/>
              <w:bottom w:val="nil"/>
              <w:right w:val="nil"/>
            </w:tcBorders>
            <w:shd w:val="clear" w:color="auto" w:fill="auto"/>
            <w:noWrap/>
            <w:vAlign w:val="center"/>
          </w:tcPr>
          <w:p w14:paraId="581ABA59">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1.66 </w:t>
            </w:r>
          </w:p>
        </w:tc>
        <w:tc>
          <w:tcPr>
            <w:tcW w:w="1967" w:type="dxa"/>
            <w:tcBorders>
              <w:top w:val="nil"/>
              <w:left w:val="nil"/>
              <w:bottom w:val="nil"/>
              <w:right w:val="nil"/>
            </w:tcBorders>
            <w:shd w:val="clear" w:color="auto" w:fill="auto"/>
            <w:noWrap/>
            <w:vAlign w:val="center"/>
          </w:tcPr>
          <w:p w14:paraId="21A1A38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2.73 </w:t>
            </w:r>
          </w:p>
        </w:tc>
      </w:tr>
      <w:tr w14:paraId="31443070">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7461EFAF">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Melbourne</w:t>
            </w:r>
          </w:p>
        </w:tc>
        <w:tc>
          <w:tcPr>
            <w:tcW w:w="1634" w:type="dxa"/>
            <w:tcBorders>
              <w:top w:val="nil"/>
              <w:left w:val="nil"/>
              <w:bottom w:val="nil"/>
              <w:right w:val="nil"/>
            </w:tcBorders>
            <w:shd w:val="clear" w:color="auto" w:fill="auto"/>
            <w:vAlign w:val="center"/>
          </w:tcPr>
          <w:p w14:paraId="62D63C6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144.96 </w:t>
            </w:r>
          </w:p>
        </w:tc>
        <w:tc>
          <w:tcPr>
            <w:tcW w:w="1277" w:type="dxa"/>
            <w:tcBorders>
              <w:top w:val="nil"/>
              <w:left w:val="nil"/>
              <w:bottom w:val="nil"/>
              <w:right w:val="nil"/>
            </w:tcBorders>
            <w:shd w:val="clear" w:color="auto" w:fill="auto"/>
            <w:vAlign w:val="center"/>
          </w:tcPr>
          <w:p w14:paraId="0C0A53D8">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-37.81 </w:t>
            </w:r>
          </w:p>
        </w:tc>
        <w:tc>
          <w:tcPr>
            <w:tcW w:w="1221" w:type="dxa"/>
            <w:tcBorders>
              <w:top w:val="nil"/>
              <w:left w:val="nil"/>
              <w:bottom w:val="nil"/>
              <w:right w:val="nil"/>
            </w:tcBorders>
            <w:shd w:val="clear" w:color="auto" w:fill="auto"/>
            <w:noWrap/>
            <w:vAlign w:val="center"/>
          </w:tcPr>
          <w:p w14:paraId="415470E6">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w:t>
            </w:r>
          </w:p>
        </w:tc>
        <w:tc>
          <w:tcPr>
            <w:tcW w:w="1783" w:type="dxa"/>
            <w:tcBorders>
              <w:top w:val="nil"/>
              <w:left w:val="nil"/>
              <w:bottom w:val="nil"/>
              <w:right w:val="nil"/>
            </w:tcBorders>
            <w:shd w:val="clear" w:color="auto" w:fill="auto"/>
            <w:noWrap/>
            <w:vAlign w:val="center"/>
          </w:tcPr>
          <w:p w14:paraId="37B36976">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0.07 </w:t>
            </w:r>
          </w:p>
        </w:tc>
        <w:tc>
          <w:tcPr>
            <w:tcW w:w="1743" w:type="dxa"/>
            <w:tcBorders>
              <w:top w:val="nil"/>
              <w:left w:val="nil"/>
              <w:bottom w:val="nil"/>
              <w:right w:val="nil"/>
            </w:tcBorders>
            <w:shd w:val="clear" w:color="auto" w:fill="auto"/>
            <w:noWrap/>
            <w:vAlign w:val="center"/>
          </w:tcPr>
          <w:p w14:paraId="0ABE3F47">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0.01 </w:t>
            </w:r>
          </w:p>
        </w:tc>
        <w:tc>
          <w:tcPr>
            <w:tcW w:w="1805" w:type="dxa"/>
            <w:tcBorders>
              <w:top w:val="nil"/>
              <w:left w:val="nil"/>
              <w:bottom w:val="nil"/>
              <w:right w:val="nil"/>
            </w:tcBorders>
            <w:shd w:val="clear" w:color="auto" w:fill="auto"/>
            <w:noWrap/>
            <w:vAlign w:val="center"/>
          </w:tcPr>
          <w:p w14:paraId="30697EF6">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0.07 </w:t>
            </w:r>
          </w:p>
        </w:tc>
        <w:tc>
          <w:tcPr>
            <w:tcW w:w="1914" w:type="dxa"/>
            <w:tcBorders>
              <w:top w:val="nil"/>
              <w:left w:val="nil"/>
              <w:bottom w:val="nil"/>
              <w:right w:val="nil"/>
            </w:tcBorders>
            <w:shd w:val="clear" w:color="auto" w:fill="auto"/>
            <w:noWrap/>
            <w:vAlign w:val="center"/>
          </w:tcPr>
          <w:p w14:paraId="2D9C8A4D">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1.91 </w:t>
            </w:r>
          </w:p>
        </w:tc>
        <w:tc>
          <w:tcPr>
            <w:tcW w:w="1967" w:type="dxa"/>
            <w:tcBorders>
              <w:top w:val="nil"/>
              <w:left w:val="nil"/>
              <w:bottom w:val="nil"/>
              <w:right w:val="nil"/>
            </w:tcBorders>
            <w:shd w:val="clear" w:color="auto" w:fill="auto"/>
            <w:noWrap/>
            <w:vAlign w:val="center"/>
          </w:tcPr>
          <w:p w14:paraId="21B140C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2.29 </w:t>
            </w:r>
          </w:p>
        </w:tc>
      </w:tr>
      <w:tr w14:paraId="786429AA">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1D3F768E">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Lahore</w:t>
            </w:r>
          </w:p>
        </w:tc>
        <w:tc>
          <w:tcPr>
            <w:tcW w:w="1634" w:type="dxa"/>
            <w:tcBorders>
              <w:top w:val="nil"/>
              <w:left w:val="nil"/>
              <w:bottom w:val="nil"/>
              <w:right w:val="nil"/>
            </w:tcBorders>
            <w:shd w:val="clear" w:color="auto" w:fill="auto"/>
            <w:vAlign w:val="center"/>
          </w:tcPr>
          <w:p w14:paraId="0EFC8EFA">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74.34 </w:t>
            </w:r>
          </w:p>
        </w:tc>
        <w:tc>
          <w:tcPr>
            <w:tcW w:w="1277" w:type="dxa"/>
            <w:tcBorders>
              <w:top w:val="nil"/>
              <w:left w:val="nil"/>
              <w:bottom w:val="nil"/>
              <w:right w:val="nil"/>
            </w:tcBorders>
            <w:shd w:val="clear" w:color="auto" w:fill="auto"/>
            <w:vAlign w:val="center"/>
          </w:tcPr>
          <w:p w14:paraId="2A1C4C53">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31.55 </w:t>
            </w:r>
          </w:p>
        </w:tc>
        <w:tc>
          <w:tcPr>
            <w:tcW w:w="1221" w:type="dxa"/>
            <w:tcBorders>
              <w:top w:val="nil"/>
              <w:left w:val="nil"/>
              <w:bottom w:val="nil"/>
              <w:right w:val="nil"/>
            </w:tcBorders>
            <w:shd w:val="clear" w:color="auto" w:fill="auto"/>
            <w:noWrap/>
            <w:vAlign w:val="center"/>
          </w:tcPr>
          <w:p w14:paraId="087744A4">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2</w:t>
            </w:r>
          </w:p>
        </w:tc>
        <w:tc>
          <w:tcPr>
            <w:tcW w:w="1783" w:type="dxa"/>
            <w:tcBorders>
              <w:top w:val="nil"/>
              <w:left w:val="nil"/>
              <w:bottom w:val="nil"/>
              <w:right w:val="nil"/>
            </w:tcBorders>
            <w:shd w:val="clear" w:color="auto" w:fill="auto"/>
            <w:noWrap/>
            <w:vAlign w:val="center"/>
          </w:tcPr>
          <w:p w14:paraId="2042EEEA">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0.49 </w:t>
            </w:r>
          </w:p>
        </w:tc>
        <w:tc>
          <w:tcPr>
            <w:tcW w:w="1743" w:type="dxa"/>
            <w:tcBorders>
              <w:top w:val="nil"/>
              <w:left w:val="nil"/>
              <w:bottom w:val="nil"/>
              <w:right w:val="nil"/>
            </w:tcBorders>
            <w:shd w:val="clear" w:color="auto" w:fill="auto"/>
            <w:noWrap/>
            <w:vAlign w:val="center"/>
          </w:tcPr>
          <w:p w14:paraId="7344C2B0">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805" w:type="dxa"/>
            <w:tcBorders>
              <w:top w:val="nil"/>
              <w:left w:val="nil"/>
              <w:bottom w:val="nil"/>
              <w:right w:val="nil"/>
            </w:tcBorders>
            <w:shd w:val="clear" w:color="auto" w:fill="auto"/>
            <w:noWrap/>
            <w:vAlign w:val="center"/>
          </w:tcPr>
          <w:p w14:paraId="77C377E6">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0.50 </w:t>
            </w:r>
          </w:p>
        </w:tc>
        <w:tc>
          <w:tcPr>
            <w:tcW w:w="1914" w:type="dxa"/>
            <w:tcBorders>
              <w:top w:val="nil"/>
              <w:left w:val="nil"/>
              <w:bottom w:val="nil"/>
              <w:right w:val="nil"/>
            </w:tcBorders>
            <w:shd w:val="clear" w:color="auto" w:fill="auto"/>
            <w:noWrap/>
            <w:vAlign w:val="center"/>
          </w:tcPr>
          <w:p w14:paraId="02FED6DB">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1.95 </w:t>
            </w:r>
          </w:p>
        </w:tc>
        <w:tc>
          <w:tcPr>
            <w:tcW w:w="1967" w:type="dxa"/>
            <w:tcBorders>
              <w:top w:val="nil"/>
              <w:left w:val="nil"/>
              <w:bottom w:val="nil"/>
              <w:right w:val="nil"/>
            </w:tcBorders>
            <w:shd w:val="clear" w:color="auto" w:fill="auto"/>
            <w:noWrap/>
            <w:vAlign w:val="center"/>
          </w:tcPr>
          <w:p w14:paraId="26F8D36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2.64 </w:t>
            </w:r>
          </w:p>
        </w:tc>
      </w:tr>
      <w:tr w14:paraId="6B84376E">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787A3ED3">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Los Angeles</w:t>
            </w:r>
          </w:p>
        </w:tc>
        <w:tc>
          <w:tcPr>
            <w:tcW w:w="1634" w:type="dxa"/>
            <w:tcBorders>
              <w:top w:val="nil"/>
              <w:left w:val="nil"/>
              <w:bottom w:val="nil"/>
              <w:right w:val="nil"/>
            </w:tcBorders>
            <w:shd w:val="clear" w:color="auto" w:fill="auto"/>
            <w:vAlign w:val="center"/>
          </w:tcPr>
          <w:p w14:paraId="2B115365">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-118.24 </w:t>
            </w:r>
          </w:p>
        </w:tc>
        <w:tc>
          <w:tcPr>
            <w:tcW w:w="1277" w:type="dxa"/>
            <w:tcBorders>
              <w:top w:val="nil"/>
              <w:left w:val="nil"/>
              <w:bottom w:val="nil"/>
              <w:right w:val="nil"/>
            </w:tcBorders>
            <w:shd w:val="clear" w:color="auto" w:fill="auto"/>
            <w:vAlign w:val="center"/>
          </w:tcPr>
          <w:p w14:paraId="546BF00A">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34.05 </w:t>
            </w:r>
          </w:p>
        </w:tc>
        <w:tc>
          <w:tcPr>
            <w:tcW w:w="1221" w:type="dxa"/>
            <w:tcBorders>
              <w:top w:val="nil"/>
              <w:left w:val="nil"/>
              <w:bottom w:val="nil"/>
              <w:right w:val="nil"/>
            </w:tcBorders>
            <w:shd w:val="clear" w:color="auto" w:fill="auto"/>
            <w:noWrap/>
            <w:vAlign w:val="center"/>
          </w:tcPr>
          <w:p w14:paraId="671CA8A8">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w:t>
            </w:r>
          </w:p>
        </w:tc>
        <w:tc>
          <w:tcPr>
            <w:tcW w:w="1783" w:type="dxa"/>
            <w:tcBorders>
              <w:top w:val="nil"/>
              <w:left w:val="nil"/>
              <w:bottom w:val="nil"/>
              <w:right w:val="nil"/>
            </w:tcBorders>
            <w:shd w:val="clear" w:color="auto" w:fill="auto"/>
            <w:noWrap/>
            <w:vAlign w:val="center"/>
          </w:tcPr>
          <w:p w14:paraId="58A7D260">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0.25 </w:t>
            </w:r>
          </w:p>
        </w:tc>
        <w:tc>
          <w:tcPr>
            <w:tcW w:w="1743" w:type="dxa"/>
            <w:tcBorders>
              <w:top w:val="nil"/>
              <w:left w:val="nil"/>
              <w:bottom w:val="nil"/>
              <w:right w:val="nil"/>
            </w:tcBorders>
            <w:shd w:val="clear" w:color="auto" w:fill="auto"/>
            <w:noWrap/>
            <w:vAlign w:val="center"/>
          </w:tcPr>
          <w:p w14:paraId="6991ABBA">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805" w:type="dxa"/>
            <w:tcBorders>
              <w:top w:val="nil"/>
              <w:left w:val="nil"/>
              <w:bottom w:val="nil"/>
              <w:right w:val="nil"/>
            </w:tcBorders>
            <w:shd w:val="clear" w:color="auto" w:fill="auto"/>
            <w:noWrap/>
            <w:vAlign w:val="center"/>
          </w:tcPr>
          <w:p w14:paraId="41929105">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0.25 </w:t>
            </w:r>
          </w:p>
        </w:tc>
        <w:tc>
          <w:tcPr>
            <w:tcW w:w="1914" w:type="dxa"/>
            <w:tcBorders>
              <w:top w:val="nil"/>
              <w:left w:val="nil"/>
              <w:bottom w:val="nil"/>
              <w:right w:val="nil"/>
            </w:tcBorders>
            <w:shd w:val="clear" w:color="auto" w:fill="auto"/>
            <w:noWrap/>
            <w:vAlign w:val="center"/>
          </w:tcPr>
          <w:p w14:paraId="4F341A2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1.76 </w:t>
            </w:r>
          </w:p>
        </w:tc>
        <w:tc>
          <w:tcPr>
            <w:tcW w:w="1967" w:type="dxa"/>
            <w:tcBorders>
              <w:top w:val="nil"/>
              <w:left w:val="nil"/>
              <w:bottom w:val="nil"/>
              <w:right w:val="nil"/>
            </w:tcBorders>
            <w:shd w:val="clear" w:color="auto" w:fill="auto"/>
            <w:noWrap/>
            <w:vAlign w:val="center"/>
          </w:tcPr>
          <w:p w14:paraId="49DA48EA">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2.34 </w:t>
            </w:r>
          </w:p>
        </w:tc>
      </w:tr>
      <w:tr w14:paraId="62E493AA">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1DDC5B32">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Cape Town</w:t>
            </w:r>
          </w:p>
        </w:tc>
        <w:tc>
          <w:tcPr>
            <w:tcW w:w="1634" w:type="dxa"/>
            <w:tcBorders>
              <w:top w:val="nil"/>
              <w:left w:val="nil"/>
              <w:bottom w:val="nil"/>
              <w:right w:val="nil"/>
            </w:tcBorders>
            <w:shd w:val="clear" w:color="auto" w:fill="auto"/>
            <w:vAlign w:val="center"/>
          </w:tcPr>
          <w:p w14:paraId="76693839">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19.42 </w:t>
            </w:r>
          </w:p>
        </w:tc>
        <w:tc>
          <w:tcPr>
            <w:tcW w:w="1277" w:type="dxa"/>
            <w:tcBorders>
              <w:top w:val="nil"/>
              <w:left w:val="nil"/>
              <w:bottom w:val="nil"/>
              <w:right w:val="nil"/>
            </w:tcBorders>
            <w:shd w:val="clear" w:color="auto" w:fill="auto"/>
            <w:vAlign w:val="center"/>
          </w:tcPr>
          <w:p w14:paraId="43AD9E5D">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-33.92 </w:t>
            </w:r>
          </w:p>
        </w:tc>
        <w:tc>
          <w:tcPr>
            <w:tcW w:w="1221" w:type="dxa"/>
            <w:tcBorders>
              <w:top w:val="nil"/>
              <w:left w:val="nil"/>
              <w:bottom w:val="nil"/>
              <w:right w:val="nil"/>
            </w:tcBorders>
            <w:shd w:val="clear" w:color="auto" w:fill="auto"/>
            <w:noWrap/>
            <w:vAlign w:val="center"/>
          </w:tcPr>
          <w:p w14:paraId="07B6A68D">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w:t>
            </w:r>
          </w:p>
        </w:tc>
        <w:tc>
          <w:tcPr>
            <w:tcW w:w="1783" w:type="dxa"/>
            <w:tcBorders>
              <w:top w:val="nil"/>
              <w:left w:val="nil"/>
              <w:bottom w:val="nil"/>
              <w:right w:val="nil"/>
            </w:tcBorders>
            <w:shd w:val="clear" w:color="auto" w:fill="auto"/>
            <w:noWrap/>
            <w:vAlign w:val="center"/>
          </w:tcPr>
          <w:p w14:paraId="33A80A5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0.16 </w:t>
            </w:r>
          </w:p>
        </w:tc>
        <w:tc>
          <w:tcPr>
            <w:tcW w:w="1743" w:type="dxa"/>
            <w:tcBorders>
              <w:top w:val="nil"/>
              <w:left w:val="nil"/>
              <w:bottom w:val="nil"/>
              <w:right w:val="nil"/>
            </w:tcBorders>
            <w:shd w:val="clear" w:color="auto" w:fill="auto"/>
            <w:noWrap/>
            <w:vAlign w:val="center"/>
          </w:tcPr>
          <w:p w14:paraId="01CBAE46">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0.01 </w:t>
            </w:r>
          </w:p>
        </w:tc>
        <w:tc>
          <w:tcPr>
            <w:tcW w:w="1805" w:type="dxa"/>
            <w:tcBorders>
              <w:top w:val="nil"/>
              <w:left w:val="nil"/>
              <w:bottom w:val="nil"/>
              <w:right w:val="nil"/>
            </w:tcBorders>
            <w:shd w:val="clear" w:color="auto" w:fill="auto"/>
            <w:noWrap/>
            <w:vAlign w:val="center"/>
          </w:tcPr>
          <w:p w14:paraId="20F9B99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0.17 </w:t>
            </w:r>
          </w:p>
        </w:tc>
        <w:tc>
          <w:tcPr>
            <w:tcW w:w="1914" w:type="dxa"/>
            <w:tcBorders>
              <w:top w:val="nil"/>
              <w:left w:val="nil"/>
              <w:bottom w:val="nil"/>
              <w:right w:val="nil"/>
            </w:tcBorders>
            <w:shd w:val="clear" w:color="auto" w:fill="auto"/>
            <w:noWrap/>
            <w:vAlign w:val="center"/>
          </w:tcPr>
          <w:p w14:paraId="00FE81C2">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1.87 </w:t>
            </w:r>
          </w:p>
        </w:tc>
        <w:tc>
          <w:tcPr>
            <w:tcW w:w="1967" w:type="dxa"/>
            <w:tcBorders>
              <w:top w:val="nil"/>
              <w:left w:val="nil"/>
              <w:bottom w:val="nil"/>
              <w:right w:val="nil"/>
            </w:tcBorders>
            <w:shd w:val="clear" w:color="auto" w:fill="auto"/>
            <w:noWrap/>
            <w:vAlign w:val="center"/>
          </w:tcPr>
          <w:p w14:paraId="58A512F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2.48 </w:t>
            </w:r>
          </w:p>
        </w:tc>
      </w:tr>
      <w:tr w14:paraId="32C3A94F">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510D921D">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Athens</w:t>
            </w:r>
          </w:p>
        </w:tc>
        <w:tc>
          <w:tcPr>
            <w:tcW w:w="1634" w:type="dxa"/>
            <w:tcBorders>
              <w:top w:val="nil"/>
              <w:left w:val="nil"/>
              <w:bottom w:val="nil"/>
              <w:right w:val="nil"/>
            </w:tcBorders>
            <w:shd w:val="clear" w:color="auto" w:fill="auto"/>
            <w:vAlign w:val="center"/>
          </w:tcPr>
          <w:p w14:paraId="3E819594">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23.73 </w:t>
            </w:r>
          </w:p>
        </w:tc>
        <w:tc>
          <w:tcPr>
            <w:tcW w:w="1277" w:type="dxa"/>
            <w:tcBorders>
              <w:top w:val="nil"/>
              <w:left w:val="nil"/>
              <w:bottom w:val="nil"/>
              <w:right w:val="nil"/>
            </w:tcBorders>
            <w:shd w:val="clear" w:color="auto" w:fill="auto"/>
            <w:vAlign w:val="center"/>
          </w:tcPr>
          <w:p w14:paraId="4AE40A86">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37.98 </w:t>
            </w:r>
          </w:p>
        </w:tc>
        <w:tc>
          <w:tcPr>
            <w:tcW w:w="1221" w:type="dxa"/>
            <w:tcBorders>
              <w:top w:val="nil"/>
              <w:left w:val="nil"/>
              <w:bottom w:val="nil"/>
              <w:right w:val="nil"/>
            </w:tcBorders>
            <w:shd w:val="clear" w:color="auto" w:fill="auto"/>
            <w:noWrap/>
            <w:vAlign w:val="center"/>
          </w:tcPr>
          <w:p w14:paraId="0562727A">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4</w:t>
            </w:r>
          </w:p>
        </w:tc>
        <w:tc>
          <w:tcPr>
            <w:tcW w:w="1783" w:type="dxa"/>
            <w:tcBorders>
              <w:top w:val="nil"/>
              <w:left w:val="nil"/>
              <w:bottom w:val="nil"/>
              <w:right w:val="nil"/>
            </w:tcBorders>
            <w:shd w:val="clear" w:color="auto" w:fill="auto"/>
            <w:noWrap/>
            <w:vAlign w:val="center"/>
          </w:tcPr>
          <w:p w14:paraId="04FE0A27">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0.20 </w:t>
            </w:r>
          </w:p>
        </w:tc>
        <w:tc>
          <w:tcPr>
            <w:tcW w:w="1743" w:type="dxa"/>
            <w:tcBorders>
              <w:top w:val="nil"/>
              <w:left w:val="nil"/>
              <w:bottom w:val="nil"/>
              <w:right w:val="nil"/>
            </w:tcBorders>
            <w:shd w:val="clear" w:color="auto" w:fill="auto"/>
            <w:noWrap/>
            <w:vAlign w:val="center"/>
          </w:tcPr>
          <w:p w14:paraId="55DE778B">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0.01 </w:t>
            </w:r>
          </w:p>
        </w:tc>
        <w:tc>
          <w:tcPr>
            <w:tcW w:w="1805" w:type="dxa"/>
            <w:tcBorders>
              <w:top w:val="nil"/>
              <w:left w:val="nil"/>
              <w:bottom w:val="nil"/>
              <w:right w:val="nil"/>
            </w:tcBorders>
            <w:shd w:val="clear" w:color="auto" w:fill="auto"/>
            <w:noWrap/>
            <w:vAlign w:val="center"/>
          </w:tcPr>
          <w:p w14:paraId="39ACE5FB">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0.21 </w:t>
            </w:r>
          </w:p>
        </w:tc>
        <w:tc>
          <w:tcPr>
            <w:tcW w:w="1914" w:type="dxa"/>
            <w:tcBorders>
              <w:top w:val="nil"/>
              <w:left w:val="nil"/>
              <w:bottom w:val="nil"/>
              <w:right w:val="nil"/>
            </w:tcBorders>
            <w:shd w:val="clear" w:color="auto" w:fill="auto"/>
            <w:noWrap/>
            <w:vAlign w:val="center"/>
          </w:tcPr>
          <w:p w14:paraId="6D03F8EB">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1.94 </w:t>
            </w:r>
          </w:p>
        </w:tc>
        <w:tc>
          <w:tcPr>
            <w:tcW w:w="1967" w:type="dxa"/>
            <w:tcBorders>
              <w:top w:val="nil"/>
              <w:left w:val="nil"/>
              <w:bottom w:val="nil"/>
              <w:right w:val="nil"/>
            </w:tcBorders>
            <w:shd w:val="clear" w:color="auto" w:fill="auto"/>
            <w:noWrap/>
            <w:vAlign w:val="center"/>
          </w:tcPr>
          <w:p w14:paraId="3FEB2DE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2.44 </w:t>
            </w:r>
          </w:p>
        </w:tc>
      </w:tr>
      <w:tr w14:paraId="6C584898">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020C32E4">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Buenos Aires</w:t>
            </w:r>
          </w:p>
        </w:tc>
        <w:tc>
          <w:tcPr>
            <w:tcW w:w="1634" w:type="dxa"/>
            <w:tcBorders>
              <w:top w:val="nil"/>
              <w:left w:val="nil"/>
              <w:bottom w:val="nil"/>
              <w:right w:val="nil"/>
            </w:tcBorders>
            <w:shd w:val="clear" w:color="auto" w:fill="auto"/>
            <w:vAlign w:val="center"/>
          </w:tcPr>
          <w:p w14:paraId="68CA2CE3">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-59.38 </w:t>
            </w:r>
          </w:p>
        </w:tc>
        <w:tc>
          <w:tcPr>
            <w:tcW w:w="1277" w:type="dxa"/>
            <w:tcBorders>
              <w:top w:val="nil"/>
              <w:left w:val="nil"/>
              <w:bottom w:val="nil"/>
              <w:right w:val="nil"/>
            </w:tcBorders>
            <w:shd w:val="clear" w:color="auto" w:fill="auto"/>
            <w:vAlign w:val="center"/>
          </w:tcPr>
          <w:p w14:paraId="4C149998">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-34.60 </w:t>
            </w:r>
          </w:p>
        </w:tc>
        <w:tc>
          <w:tcPr>
            <w:tcW w:w="1221" w:type="dxa"/>
            <w:tcBorders>
              <w:top w:val="nil"/>
              <w:left w:val="nil"/>
              <w:bottom w:val="nil"/>
              <w:right w:val="nil"/>
            </w:tcBorders>
            <w:shd w:val="clear" w:color="auto" w:fill="auto"/>
            <w:noWrap/>
            <w:vAlign w:val="center"/>
          </w:tcPr>
          <w:p w14:paraId="6E28A74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w:t>
            </w:r>
          </w:p>
        </w:tc>
        <w:tc>
          <w:tcPr>
            <w:tcW w:w="1783" w:type="dxa"/>
            <w:tcBorders>
              <w:top w:val="nil"/>
              <w:left w:val="nil"/>
              <w:bottom w:val="nil"/>
              <w:right w:val="nil"/>
            </w:tcBorders>
            <w:shd w:val="clear" w:color="auto" w:fill="auto"/>
            <w:noWrap/>
            <w:vAlign w:val="center"/>
          </w:tcPr>
          <w:p w14:paraId="757D4CF2">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0.17 </w:t>
            </w:r>
          </w:p>
        </w:tc>
        <w:tc>
          <w:tcPr>
            <w:tcW w:w="1743" w:type="dxa"/>
            <w:tcBorders>
              <w:top w:val="nil"/>
              <w:left w:val="nil"/>
              <w:bottom w:val="nil"/>
              <w:right w:val="nil"/>
            </w:tcBorders>
            <w:shd w:val="clear" w:color="auto" w:fill="auto"/>
            <w:noWrap/>
            <w:vAlign w:val="center"/>
          </w:tcPr>
          <w:p w14:paraId="66DCBC3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0.01 </w:t>
            </w:r>
          </w:p>
        </w:tc>
        <w:tc>
          <w:tcPr>
            <w:tcW w:w="1805" w:type="dxa"/>
            <w:tcBorders>
              <w:top w:val="nil"/>
              <w:left w:val="nil"/>
              <w:bottom w:val="nil"/>
              <w:right w:val="nil"/>
            </w:tcBorders>
            <w:shd w:val="clear" w:color="auto" w:fill="auto"/>
            <w:noWrap/>
            <w:vAlign w:val="center"/>
          </w:tcPr>
          <w:p w14:paraId="5D4FA7EB">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0.17 </w:t>
            </w:r>
          </w:p>
        </w:tc>
        <w:tc>
          <w:tcPr>
            <w:tcW w:w="1914" w:type="dxa"/>
            <w:tcBorders>
              <w:top w:val="nil"/>
              <w:left w:val="nil"/>
              <w:bottom w:val="nil"/>
              <w:right w:val="nil"/>
            </w:tcBorders>
            <w:shd w:val="clear" w:color="auto" w:fill="auto"/>
            <w:noWrap/>
            <w:vAlign w:val="center"/>
          </w:tcPr>
          <w:p w14:paraId="185AD10A">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1.68 </w:t>
            </w:r>
          </w:p>
        </w:tc>
        <w:tc>
          <w:tcPr>
            <w:tcW w:w="1967" w:type="dxa"/>
            <w:tcBorders>
              <w:top w:val="nil"/>
              <w:left w:val="nil"/>
              <w:bottom w:val="nil"/>
              <w:right w:val="nil"/>
            </w:tcBorders>
            <w:shd w:val="clear" w:color="auto" w:fill="auto"/>
            <w:noWrap/>
            <w:vAlign w:val="center"/>
          </w:tcPr>
          <w:p w14:paraId="30B59E81">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2.29 </w:t>
            </w:r>
          </w:p>
        </w:tc>
      </w:tr>
      <w:tr w14:paraId="6E0F0067">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009D5D2D">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Beijing</w:t>
            </w:r>
          </w:p>
        </w:tc>
        <w:tc>
          <w:tcPr>
            <w:tcW w:w="1634" w:type="dxa"/>
            <w:tcBorders>
              <w:top w:val="nil"/>
              <w:left w:val="nil"/>
              <w:bottom w:val="nil"/>
              <w:right w:val="nil"/>
            </w:tcBorders>
            <w:shd w:val="clear" w:color="auto" w:fill="auto"/>
            <w:vAlign w:val="center"/>
          </w:tcPr>
          <w:p w14:paraId="3FAB367B">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116.41 </w:t>
            </w:r>
          </w:p>
        </w:tc>
        <w:tc>
          <w:tcPr>
            <w:tcW w:w="1277" w:type="dxa"/>
            <w:tcBorders>
              <w:top w:val="nil"/>
              <w:left w:val="nil"/>
              <w:bottom w:val="nil"/>
              <w:right w:val="nil"/>
            </w:tcBorders>
            <w:shd w:val="clear" w:color="auto" w:fill="auto"/>
            <w:vAlign w:val="center"/>
          </w:tcPr>
          <w:p w14:paraId="1F3100B4">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39.90 </w:t>
            </w:r>
          </w:p>
        </w:tc>
        <w:tc>
          <w:tcPr>
            <w:tcW w:w="1221" w:type="dxa"/>
            <w:tcBorders>
              <w:top w:val="nil"/>
              <w:left w:val="nil"/>
              <w:bottom w:val="nil"/>
              <w:right w:val="nil"/>
            </w:tcBorders>
            <w:shd w:val="clear" w:color="auto" w:fill="auto"/>
            <w:noWrap/>
            <w:vAlign w:val="center"/>
          </w:tcPr>
          <w:p w14:paraId="669017AF">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4</w:t>
            </w:r>
          </w:p>
        </w:tc>
        <w:tc>
          <w:tcPr>
            <w:tcW w:w="1783" w:type="dxa"/>
            <w:tcBorders>
              <w:top w:val="nil"/>
              <w:left w:val="nil"/>
              <w:bottom w:val="nil"/>
              <w:right w:val="nil"/>
            </w:tcBorders>
            <w:shd w:val="clear" w:color="auto" w:fill="auto"/>
            <w:noWrap/>
            <w:vAlign w:val="center"/>
          </w:tcPr>
          <w:p w14:paraId="0FF0E609">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0.18 </w:t>
            </w:r>
          </w:p>
        </w:tc>
        <w:tc>
          <w:tcPr>
            <w:tcW w:w="1743" w:type="dxa"/>
            <w:tcBorders>
              <w:top w:val="nil"/>
              <w:left w:val="nil"/>
              <w:bottom w:val="nil"/>
              <w:right w:val="nil"/>
            </w:tcBorders>
            <w:shd w:val="clear" w:color="auto" w:fill="auto"/>
            <w:noWrap/>
            <w:vAlign w:val="center"/>
          </w:tcPr>
          <w:p w14:paraId="6E1F0B6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0.07 </w:t>
            </w:r>
          </w:p>
        </w:tc>
        <w:tc>
          <w:tcPr>
            <w:tcW w:w="1805" w:type="dxa"/>
            <w:tcBorders>
              <w:top w:val="nil"/>
              <w:left w:val="nil"/>
              <w:bottom w:val="nil"/>
              <w:right w:val="nil"/>
            </w:tcBorders>
            <w:shd w:val="clear" w:color="auto" w:fill="auto"/>
            <w:noWrap/>
            <w:vAlign w:val="center"/>
          </w:tcPr>
          <w:p w14:paraId="1121DC1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0.25 </w:t>
            </w:r>
          </w:p>
        </w:tc>
        <w:tc>
          <w:tcPr>
            <w:tcW w:w="1914" w:type="dxa"/>
            <w:tcBorders>
              <w:top w:val="nil"/>
              <w:left w:val="nil"/>
              <w:bottom w:val="nil"/>
              <w:right w:val="nil"/>
            </w:tcBorders>
            <w:shd w:val="clear" w:color="auto" w:fill="auto"/>
            <w:noWrap/>
            <w:vAlign w:val="center"/>
          </w:tcPr>
          <w:p w14:paraId="65DDE8D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2.13 </w:t>
            </w:r>
          </w:p>
        </w:tc>
        <w:tc>
          <w:tcPr>
            <w:tcW w:w="1967" w:type="dxa"/>
            <w:tcBorders>
              <w:top w:val="nil"/>
              <w:left w:val="nil"/>
              <w:bottom w:val="nil"/>
              <w:right w:val="nil"/>
            </w:tcBorders>
            <w:shd w:val="clear" w:color="auto" w:fill="auto"/>
            <w:noWrap/>
            <w:vAlign w:val="center"/>
          </w:tcPr>
          <w:p w14:paraId="3CBC8F6C">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2.54 </w:t>
            </w:r>
          </w:p>
        </w:tc>
      </w:tr>
      <w:tr w14:paraId="54D2EF27">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24E39EB3">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New York</w:t>
            </w:r>
          </w:p>
        </w:tc>
        <w:tc>
          <w:tcPr>
            <w:tcW w:w="1634" w:type="dxa"/>
            <w:tcBorders>
              <w:top w:val="nil"/>
              <w:left w:val="nil"/>
              <w:bottom w:val="nil"/>
              <w:right w:val="nil"/>
            </w:tcBorders>
            <w:shd w:val="clear" w:color="auto" w:fill="auto"/>
            <w:vAlign w:val="center"/>
          </w:tcPr>
          <w:p w14:paraId="1F05075F">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-73.01 </w:t>
            </w:r>
          </w:p>
        </w:tc>
        <w:tc>
          <w:tcPr>
            <w:tcW w:w="1277" w:type="dxa"/>
            <w:tcBorders>
              <w:top w:val="nil"/>
              <w:left w:val="nil"/>
              <w:bottom w:val="nil"/>
              <w:right w:val="nil"/>
            </w:tcBorders>
            <w:shd w:val="clear" w:color="auto" w:fill="auto"/>
            <w:vAlign w:val="center"/>
          </w:tcPr>
          <w:p w14:paraId="21D710D5">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40.71 </w:t>
            </w:r>
          </w:p>
        </w:tc>
        <w:tc>
          <w:tcPr>
            <w:tcW w:w="1221" w:type="dxa"/>
            <w:tcBorders>
              <w:top w:val="nil"/>
              <w:left w:val="nil"/>
              <w:bottom w:val="nil"/>
              <w:right w:val="nil"/>
            </w:tcBorders>
            <w:shd w:val="clear" w:color="auto" w:fill="auto"/>
            <w:noWrap/>
            <w:vAlign w:val="center"/>
          </w:tcPr>
          <w:p w14:paraId="7E29AE55">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4</w:t>
            </w:r>
          </w:p>
        </w:tc>
        <w:tc>
          <w:tcPr>
            <w:tcW w:w="1783" w:type="dxa"/>
            <w:tcBorders>
              <w:top w:val="nil"/>
              <w:left w:val="nil"/>
              <w:bottom w:val="nil"/>
              <w:right w:val="nil"/>
            </w:tcBorders>
            <w:shd w:val="clear" w:color="auto" w:fill="auto"/>
            <w:noWrap/>
            <w:vAlign w:val="center"/>
          </w:tcPr>
          <w:p w14:paraId="4E8BB806">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0.10 </w:t>
            </w:r>
          </w:p>
        </w:tc>
        <w:tc>
          <w:tcPr>
            <w:tcW w:w="1743" w:type="dxa"/>
            <w:tcBorders>
              <w:top w:val="nil"/>
              <w:left w:val="nil"/>
              <w:bottom w:val="nil"/>
              <w:right w:val="nil"/>
            </w:tcBorders>
            <w:shd w:val="clear" w:color="auto" w:fill="auto"/>
            <w:noWrap/>
            <w:vAlign w:val="center"/>
          </w:tcPr>
          <w:p w14:paraId="092ADD0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0.02 </w:t>
            </w:r>
          </w:p>
        </w:tc>
        <w:tc>
          <w:tcPr>
            <w:tcW w:w="1805" w:type="dxa"/>
            <w:tcBorders>
              <w:top w:val="nil"/>
              <w:left w:val="nil"/>
              <w:bottom w:val="nil"/>
              <w:right w:val="nil"/>
            </w:tcBorders>
            <w:shd w:val="clear" w:color="auto" w:fill="auto"/>
            <w:noWrap/>
            <w:vAlign w:val="center"/>
          </w:tcPr>
          <w:p w14:paraId="7B84A8A5">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0.12 </w:t>
            </w:r>
          </w:p>
        </w:tc>
        <w:tc>
          <w:tcPr>
            <w:tcW w:w="1914" w:type="dxa"/>
            <w:tcBorders>
              <w:top w:val="nil"/>
              <w:left w:val="nil"/>
              <w:bottom w:val="nil"/>
              <w:right w:val="nil"/>
            </w:tcBorders>
            <w:shd w:val="clear" w:color="auto" w:fill="auto"/>
            <w:noWrap/>
            <w:vAlign w:val="center"/>
          </w:tcPr>
          <w:p w14:paraId="5CDEE4AC">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1.98 </w:t>
            </w:r>
          </w:p>
        </w:tc>
        <w:tc>
          <w:tcPr>
            <w:tcW w:w="1967" w:type="dxa"/>
            <w:tcBorders>
              <w:top w:val="nil"/>
              <w:left w:val="nil"/>
              <w:bottom w:val="nil"/>
              <w:right w:val="nil"/>
            </w:tcBorders>
            <w:shd w:val="clear" w:color="auto" w:fill="auto"/>
            <w:noWrap/>
            <w:vAlign w:val="center"/>
          </w:tcPr>
          <w:p w14:paraId="60EFC14F">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2.29 </w:t>
            </w:r>
          </w:p>
        </w:tc>
      </w:tr>
      <w:tr w14:paraId="5B4E9F36">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75660E74">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Seoul</w:t>
            </w:r>
          </w:p>
        </w:tc>
        <w:tc>
          <w:tcPr>
            <w:tcW w:w="1634" w:type="dxa"/>
            <w:tcBorders>
              <w:top w:val="nil"/>
              <w:left w:val="nil"/>
              <w:bottom w:val="nil"/>
              <w:right w:val="nil"/>
            </w:tcBorders>
            <w:shd w:val="clear" w:color="auto" w:fill="auto"/>
            <w:vAlign w:val="center"/>
          </w:tcPr>
          <w:p w14:paraId="4087FD88">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126.98 </w:t>
            </w:r>
          </w:p>
        </w:tc>
        <w:tc>
          <w:tcPr>
            <w:tcW w:w="1277" w:type="dxa"/>
            <w:tcBorders>
              <w:top w:val="nil"/>
              <w:left w:val="nil"/>
              <w:bottom w:val="nil"/>
              <w:right w:val="nil"/>
            </w:tcBorders>
            <w:shd w:val="clear" w:color="auto" w:fill="auto"/>
            <w:vAlign w:val="center"/>
          </w:tcPr>
          <w:p w14:paraId="298CFD5E">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37.57 </w:t>
            </w:r>
          </w:p>
        </w:tc>
        <w:tc>
          <w:tcPr>
            <w:tcW w:w="1221" w:type="dxa"/>
            <w:tcBorders>
              <w:top w:val="nil"/>
              <w:left w:val="nil"/>
              <w:bottom w:val="nil"/>
              <w:right w:val="nil"/>
            </w:tcBorders>
            <w:shd w:val="clear" w:color="auto" w:fill="auto"/>
            <w:noWrap/>
            <w:vAlign w:val="center"/>
          </w:tcPr>
          <w:p w14:paraId="2E95BF12">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4</w:t>
            </w:r>
          </w:p>
        </w:tc>
        <w:tc>
          <w:tcPr>
            <w:tcW w:w="1783" w:type="dxa"/>
            <w:tcBorders>
              <w:top w:val="nil"/>
              <w:left w:val="nil"/>
              <w:bottom w:val="nil"/>
              <w:right w:val="nil"/>
            </w:tcBorders>
            <w:shd w:val="clear" w:color="auto" w:fill="auto"/>
            <w:noWrap/>
            <w:vAlign w:val="center"/>
          </w:tcPr>
          <w:p w14:paraId="66E4C44F">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0.13 </w:t>
            </w:r>
          </w:p>
        </w:tc>
        <w:tc>
          <w:tcPr>
            <w:tcW w:w="1743" w:type="dxa"/>
            <w:tcBorders>
              <w:top w:val="nil"/>
              <w:left w:val="nil"/>
              <w:bottom w:val="nil"/>
              <w:right w:val="nil"/>
            </w:tcBorders>
            <w:shd w:val="clear" w:color="auto" w:fill="auto"/>
            <w:noWrap/>
            <w:vAlign w:val="center"/>
          </w:tcPr>
          <w:p w14:paraId="167A3F8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0.05 </w:t>
            </w:r>
          </w:p>
        </w:tc>
        <w:tc>
          <w:tcPr>
            <w:tcW w:w="1805" w:type="dxa"/>
            <w:tcBorders>
              <w:top w:val="nil"/>
              <w:left w:val="nil"/>
              <w:bottom w:val="nil"/>
              <w:right w:val="nil"/>
            </w:tcBorders>
            <w:shd w:val="clear" w:color="auto" w:fill="auto"/>
            <w:noWrap/>
            <w:vAlign w:val="center"/>
          </w:tcPr>
          <w:p w14:paraId="45B5759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0.18 </w:t>
            </w:r>
          </w:p>
        </w:tc>
        <w:tc>
          <w:tcPr>
            <w:tcW w:w="1914" w:type="dxa"/>
            <w:tcBorders>
              <w:top w:val="nil"/>
              <w:left w:val="nil"/>
              <w:bottom w:val="nil"/>
              <w:right w:val="nil"/>
            </w:tcBorders>
            <w:shd w:val="clear" w:color="auto" w:fill="auto"/>
            <w:noWrap/>
            <w:vAlign w:val="center"/>
          </w:tcPr>
          <w:p w14:paraId="323AE4F1">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2.03 </w:t>
            </w:r>
          </w:p>
        </w:tc>
        <w:tc>
          <w:tcPr>
            <w:tcW w:w="1967" w:type="dxa"/>
            <w:tcBorders>
              <w:top w:val="nil"/>
              <w:left w:val="nil"/>
              <w:bottom w:val="nil"/>
              <w:right w:val="nil"/>
            </w:tcBorders>
            <w:shd w:val="clear" w:color="auto" w:fill="auto"/>
            <w:noWrap/>
            <w:vAlign w:val="center"/>
          </w:tcPr>
          <w:p w14:paraId="6BE892B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2.40 </w:t>
            </w:r>
          </w:p>
        </w:tc>
      </w:tr>
      <w:tr w14:paraId="4DAAC9E2">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18F90100">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Paris</w:t>
            </w:r>
          </w:p>
        </w:tc>
        <w:tc>
          <w:tcPr>
            <w:tcW w:w="1634" w:type="dxa"/>
            <w:tcBorders>
              <w:top w:val="nil"/>
              <w:left w:val="nil"/>
              <w:bottom w:val="nil"/>
              <w:right w:val="nil"/>
            </w:tcBorders>
            <w:shd w:val="clear" w:color="auto" w:fill="auto"/>
            <w:vAlign w:val="center"/>
          </w:tcPr>
          <w:p w14:paraId="788E1603">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2.35 </w:t>
            </w:r>
          </w:p>
        </w:tc>
        <w:tc>
          <w:tcPr>
            <w:tcW w:w="1277" w:type="dxa"/>
            <w:tcBorders>
              <w:top w:val="nil"/>
              <w:left w:val="nil"/>
              <w:bottom w:val="nil"/>
              <w:right w:val="nil"/>
            </w:tcBorders>
            <w:shd w:val="clear" w:color="auto" w:fill="auto"/>
            <w:vAlign w:val="center"/>
          </w:tcPr>
          <w:p w14:paraId="0FFDDD13">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48.86 </w:t>
            </w:r>
          </w:p>
        </w:tc>
        <w:tc>
          <w:tcPr>
            <w:tcW w:w="1221" w:type="dxa"/>
            <w:tcBorders>
              <w:top w:val="nil"/>
              <w:left w:val="nil"/>
              <w:bottom w:val="nil"/>
              <w:right w:val="nil"/>
            </w:tcBorders>
            <w:shd w:val="clear" w:color="auto" w:fill="auto"/>
            <w:noWrap/>
            <w:vAlign w:val="center"/>
          </w:tcPr>
          <w:p w14:paraId="76D21F9F">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4</w:t>
            </w:r>
          </w:p>
        </w:tc>
        <w:tc>
          <w:tcPr>
            <w:tcW w:w="1783" w:type="dxa"/>
            <w:tcBorders>
              <w:top w:val="nil"/>
              <w:left w:val="nil"/>
              <w:bottom w:val="nil"/>
              <w:right w:val="nil"/>
            </w:tcBorders>
            <w:shd w:val="clear" w:color="auto" w:fill="auto"/>
            <w:noWrap/>
            <w:vAlign w:val="center"/>
          </w:tcPr>
          <w:p w14:paraId="241C08FA">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0.03 </w:t>
            </w:r>
          </w:p>
        </w:tc>
        <w:tc>
          <w:tcPr>
            <w:tcW w:w="1743" w:type="dxa"/>
            <w:tcBorders>
              <w:top w:val="nil"/>
              <w:left w:val="nil"/>
              <w:bottom w:val="nil"/>
              <w:right w:val="nil"/>
            </w:tcBorders>
            <w:shd w:val="clear" w:color="auto" w:fill="auto"/>
            <w:noWrap/>
            <w:vAlign w:val="center"/>
          </w:tcPr>
          <w:p w14:paraId="4C80EF79">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0.01 </w:t>
            </w:r>
          </w:p>
        </w:tc>
        <w:tc>
          <w:tcPr>
            <w:tcW w:w="1805" w:type="dxa"/>
            <w:tcBorders>
              <w:top w:val="nil"/>
              <w:left w:val="nil"/>
              <w:bottom w:val="nil"/>
              <w:right w:val="nil"/>
            </w:tcBorders>
            <w:shd w:val="clear" w:color="auto" w:fill="auto"/>
            <w:noWrap/>
            <w:vAlign w:val="center"/>
          </w:tcPr>
          <w:p w14:paraId="538CC586">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0.03 </w:t>
            </w:r>
          </w:p>
        </w:tc>
        <w:tc>
          <w:tcPr>
            <w:tcW w:w="1914" w:type="dxa"/>
            <w:tcBorders>
              <w:top w:val="nil"/>
              <w:left w:val="nil"/>
              <w:bottom w:val="nil"/>
              <w:right w:val="nil"/>
            </w:tcBorders>
            <w:shd w:val="clear" w:color="auto" w:fill="auto"/>
            <w:noWrap/>
            <w:vAlign w:val="center"/>
          </w:tcPr>
          <w:p w14:paraId="10C0A0C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1.56 </w:t>
            </w:r>
          </w:p>
        </w:tc>
        <w:tc>
          <w:tcPr>
            <w:tcW w:w="1967" w:type="dxa"/>
            <w:tcBorders>
              <w:top w:val="nil"/>
              <w:left w:val="nil"/>
              <w:bottom w:val="nil"/>
              <w:right w:val="nil"/>
            </w:tcBorders>
            <w:shd w:val="clear" w:color="auto" w:fill="auto"/>
            <w:noWrap/>
            <w:vAlign w:val="center"/>
          </w:tcPr>
          <w:p w14:paraId="4AC9C5E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1.92 </w:t>
            </w:r>
          </w:p>
        </w:tc>
      </w:tr>
      <w:tr w14:paraId="331EAE27">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0BBFA9E3">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Moscow</w:t>
            </w:r>
          </w:p>
        </w:tc>
        <w:tc>
          <w:tcPr>
            <w:tcW w:w="1634" w:type="dxa"/>
            <w:tcBorders>
              <w:top w:val="nil"/>
              <w:left w:val="nil"/>
              <w:bottom w:val="nil"/>
              <w:right w:val="nil"/>
            </w:tcBorders>
            <w:shd w:val="clear" w:color="auto" w:fill="auto"/>
            <w:vAlign w:val="center"/>
          </w:tcPr>
          <w:p w14:paraId="4E46F335">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37.62 </w:t>
            </w:r>
          </w:p>
        </w:tc>
        <w:tc>
          <w:tcPr>
            <w:tcW w:w="1277" w:type="dxa"/>
            <w:tcBorders>
              <w:top w:val="nil"/>
              <w:left w:val="nil"/>
              <w:bottom w:val="nil"/>
              <w:right w:val="nil"/>
            </w:tcBorders>
            <w:shd w:val="clear" w:color="auto" w:fill="auto"/>
            <w:vAlign w:val="center"/>
          </w:tcPr>
          <w:p w14:paraId="456B1984">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55.76 </w:t>
            </w:r>
          </w:p>
        </w:tc>
        <w:tc>
          <w:tcPr>
            <w:tcW w:w="1221" w:type="dxa"/>
            <w:tcBorders>
              <w:top w:val="nil"/>
              <w:left w:val="nil"/>
              <w:bottom w:val="nil"/>
              <w:right w:val="nil"/>
            </w:tcBorders>
            <w:shd w:val="clear" w:color="auto" w:fill="auto"/>
            <w:noWrap/>
            <w:vAlign w:val="center"/>
          </w:tcPr>
          <w:p w14:paraId="22F792FC">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w:t>
            </w:r>
          </w:p>
        </w:tc>
        <w:tc>
          <w:tcPr>
            <w:tcW w:w="1783" w:type="dxa"/>
            <w:tcBorders>
              <w:top w:val="nil"/>
              <w:left w:val="nil"/>
              <w:bottom w:val="nil"/>
              <w:right w:val="nil"/>
            </w:tcBorders>
            <w:shd w:val="clear" w:color="auto" w:fill="auto"/>
            <w:noWrap/>
            <w:vAlign w:val="center"/>
          </w:tcPr>
          <w:p w14:paraId="76C6AE7F">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0.04 </w:t>
            </w:r>
          </w:p>
        </w:tc>
        <w:tc>
          <w:tcPr>
            <w:tcW w:w="1743" w:type="dxa"/>
            <w:tcBorders>
              <w:top w:val="nil"/>
              <w:left w:val="nil"/>
              <w:bottom w:val="nil"/>
              <w:right w:val="nil"/>
            </w:tcBorders>
            <w:shd w:val="clear" w:color="auto" w:fill="auto"/>
            <w:noWrap/>
            <w:vAlign w:val="center"/>
          </w:tcPr>
          <w:p w14:paraId="1E548FF1">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-0.05 </w:t>
            </w:r>
          </w:p>
        </w:tc>
        <w:tc>
          <w:tcPr>
            <w:tcW w:w="1805" w:type="dxa"/>
            <w:tcBorders>
              <w:top w:val="nil"/>
              <w:left w:val="nil"/>
              <w:bottom w:val="nil"/>
              <w:right w:val="nil"/>
            </w:tcBorders>
            <w:shd w:val="clear" w:color="auto" w:fill="auto"/>
            <w:noWrap/>
            <w:vAlign w:val="center"/>
          </w:tcPr>
          <w:p w14:paraId="1A547AC6">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-0.01 </w:t>
            </w:r>
          </w:p>
        </w:tc>
        <w:tc>
          <w:tcPr>
            <w:tcW w:w="1914" w:type="dxa"/>
            <w:tcBorders>
              <w:top w:val="nil"/>
              <w:left w:val="nil"/>
              <w:bottom w:val="nil"/>
              <w:right w:val="nil"/>
            </w:tcBorders>
            <w:shd w:val="clear" w:color="auto" w:fill="auto"/>
            <w:noWrap/>
            <w:vAlign w:val="center"/>
          </w:tcPr>
          <w:p w14:paraId="008F2972">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1.59 </w:t>
            </w:r>
          </w:p>
        </w:tc>
        <w:tc>
          <w:tcPr>
            <w:tcW w:w="1967" w:type="dxa"/>
            <w:tcBorders>
              <w:top w:val="nil"/>
              <w:left w:val="nil"/>
              <w:bottom w:val="nil"/>
              <w:right w:val="nil"/>
            </w:tcBorders>
            <w:shd w:val="clear" w:color="auto" w:fill="auto"/>
            <w:noWrap/>
            <w:vAlign w:val="center"/>
          </w:tcPr>
          <w:p w14:paraId="58430379">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1.94 </w:t>
            </w:r>
          </w:p>
        </w:tc>
      </w:tr>
      <w:tr w14:paraId="34EA9AA4">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2836C347">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Chicago</w:t>
            </w:r>
          </w:p>
        </w:tc>
        <w:tc>
          <w:tcPr>
            <w:tcW w:w="1634" w:type="dxa"/>
            <w:tcBorders>
              <w:top w:val="nil"/>
              <w:left w:val="nil"/>
              <w:bottom w:val="nil"/>
              <w:right w:val="nil"/>
            </w:tcBorders>
            <w:shd w:val="clear" w:color="auto" w:fill="auto"/>
            <w:vAlign w:val="center"/>
          </w:tcPr>
          <w:p w14:paraId="08BF483E">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-87.63 </w:t>
            </w:r>
          </w:p>
        </w:tc>
        <w:tc>
          <w:tcPr>
            <w:tcW w:w="1277" w:type="dxa"/>
            <w:tcBorders>
              <w:top w:val="nil"/>
              <w:left w:val="nil"/>
              <w:bottom w:val="nil"/>
              <w:right w:val="nil"/>
            </w:tcBorders>
            <w:shd w:val="clear" w:color="auto" w:fill="auto"/>
            <w:vAlign w:val="center"/>
          </w:tcPr>
          <w:p w14:paraId="3A06071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41.88 </w:t>
            </w:r>
          </w:p>
        </w:tc>
        <w:tc>
          <w:tcPr>
            <w:tcW w:w="1221" w:type="dxa"/>
            <w:tcBorders>
              <w:top w:val="nil"/>
              <w:left w:val="nil"/>
              <w:bottom w:val="nil"/>
              <w:right w:val="nil"/>
            </w:tcBorders>
            <w:shd w:val="clear" w:color="auto" w:fill="auto"/>
            <w:noWrap/>
            <w:vAlign w:val="center"/>
          </w:tcPr>
          <w:p w14:paraId="12BE487C">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5</w:t>
            </w:r>
          </w:p>
        </w:tc>
        <w:tc>
          <w:tcPr>
            <w:tcW w:w="1783" w:type="dxa"/>
            <w:tcBorders>
              <w:top w:val="nil"/>
              <w:left w:val="nil"/>
              <w:bottom w:val="nil"/>
              <w:right w:val="nil"/>
            </w:tcBorders>
            <w:shd w:val="clear" w:color="auto" w:fill="auto"/>
            <w:noWrap/>
            <w:vAlign w:val="center"/>
          </w:tcPr>
          <w:p w14:paraId="6A53D33D">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0.12 </w:t>
            </w:r>
          </w:p>
        </w:tc>
        <w:tc>
          <w:tcPr>
            <w:tcW w:w="1743" w:type="dxa"/>
            <w:tcBorders>
              <w:top w:val="nil"/>
              <w:left w:val="nil"/>
              <w:bottom w:val="nil"/>
              <w:right w:val="nil"/>
            </w:tcBorders>
            <w:shd w:val="clear" w:color="auto" w:fill="auto"/>
            <w:noWrap/>
            <w:vAlign w:val="center"/>
          </w:tcPr>
          <w:p w14:paraId="79618F2D">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805" w:type="dxa"/>
            <w:tcBorders>
              <w:top w:val="nil"/>
              <w:left w:val="nil"/>
              <w:bottom w:val="nil"/>
              <w:right w:val="nil"/>
            </w:tcBorders>
            <w:shd w:val="clear" w:color="auto" w:fill="auto"/>
            <w:noWrap/>
            <w:vAlign w:val="center"/>
          </w:tcPr>
          <w:p w14:paraId="70ADE84C">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0.12 </w:t>
            </w:r>
          </w:p>
        </w:tc>
        <w:tc>
          <w:tcPr>
            <w:tcW w:w="1914" w:type="dxa"/>
            <w:tcBorders>
              <w:top w:val="nil"/>
              <w:left w:val="nil"/>
              <w:bottom w:val="nil"/>
              <w:right w:val="nil"/>
            </w:tcBorders>
            <w:shd w:val="clear" w:color="auto" w:fill="auto"/>
            <w:noWrap/>
            <w:vAlign w:val="center"/>
          </w:tcPr>
          <w:p w14:paraId="076A391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1.90 </w:t>
            </w:r>
          </w:p>
        </w:tc>
        <w:tc>
          <w:tcPr>
            <w:tcW w:w="1967" w:type="dxa"/>
            <w:tcBorders>
              <w:top w:val="nil"/>
              <w:left w:val="nil"/>
              <w:bottom w:val="nil"/>
              <w:right w:val="nil"/>
            </w:tcBorders>
            <w:shd w:val="clear" w:color="auto" w:fill="auto"/>
            <w:noWrap/>
            <w:vAlign w:val="center"/>
          </w:tcPr>
          <w:p w14:paraId="363A3368">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2.32 </w:t>
            </w:r>
          </w:p>
        </w:tc>
      </w:tr>
      <w:tr w14:paraId="3F4D6374">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64EB89E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Nuuk</w:t>
            </w:r>
          </w:p>
        </w:tc>
        <w:tc>
          <w:tcPr>
            <w:tcW w:w="1634" w:type="dxa"/>
            <w:tcBorders>
              <w:top w:val="nil"/>
              <w:left w:val="nil"/>
              <w:bottom w:val="nil"/>
              <w:right w:val="nil"/>
            </w:tcBorders>
            <w:shd w:val="clear" w:color="auto" w:fill="auto"/>
            <w:vAlign w:val="center"/>
          </w:tcPr>
          <w:p w14:paraId="086A779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-51.72 </w:t>
            </w:r>
          </w:p>
        </w:tc>
        <w:tc>
          <w:tcPr>
            <w:tcW w:w="1277" w:type="dxa"/>
            <w:tcBorders>
              <w:top w:val="nil"/>
              <w:left w:val="nil"/>
              <w:bottom w:val="nil"/>
              <w:right w:val="nil"/>
            </w:tcBorders>
            <w:shd w:val="clear" w:color="auto" w:fill="auto"/>
            <w:vAlign w:val="center"/>
          </w:tcPr>
          <w:p w14:paraId="152C423A">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64.18 </w:t>
            </w:r>
          </w:p>
        </w:tc>
        <w:tc>
          <w:tcPr>
            <w:tcW w:w="1221" w:type="dxa"/>
            <w:tcBorders>
              <w:top w:val="nil"/>
              <w:left w:val="nil"/>
              <w:bottom w:val="nil"/>
              <w:right w:val="nil"/>
            </w:tcBorders>
            <w:shd w:val="clear" w:color="auto" w:fill="auto"/>
            <w:noWrap/>
            <w:vAlign w:val="center"/>
          </w:tcPr>
          <w:p w14:paraId="4F80B51F">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w:t>
            </w:r>
          </w:p>
        </w:tc>
        <w:tc>
          <w:tcPr>
            <w:tcW w:w="1783" w:type="dxa"/>
            <w:tcBorders>
              <w:top w:val="nil"/>
              <w:left w:val="nil"/>
              <w:bottom w:val="nil"/>
              <w:right w:val="nil"/>
            </w:tcBorders>
            <w:shd w:val="clear" w:color="auto" w:fill="auto"/>
            <w:noWrap/>
            <w:vAlign w:val="center"/>
          </w:tcPr>
          <w:p w14:paraId="63E69BF8">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743" w:type="dxa"/>
            <w:tcBorders>
              <w:top w:val="nil"/>
              <w:left w:val="nil"/>
              <w:bottom w:val="nil"/>
              <w:right w:val="nil"/>
            </w:tcBorders>
            <w:shd w:val="clear" w:color="auto" w:fill="auto"/>
            <w:noWrap/>
            <w:vAlign w:val="center"/>
          </w:tcPr>
          <w:p w14:paraId="44767A8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0.03 </w:t>
            </w:r>
          </w:p>
        </w:tc>
        <w:tc>
          <w:tcPr>
            <w:tcW w:w="1805" w:type="dxa"/>
            <w:tcBorders>
              <w:top w:val="nil"/>
              <w:left w:val="nil"/>
              <w:bottom w:val="nil"/>
              <w:right w:val="nil"/>
            </w:tcBorders>
            <w:shd w:val="clear" w:color="auto" w:fill="auto"/>
            <w:noWrap/>
            <w:vAlign w:val="center"/>
          </w:tcPr>
          <w:p w14:paraId="71BD3A55">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0.03 </w:t>
            </w:r>
          </w:p>
        </w:tc>
        <w:tc>
          <w:tcPr>
            <w:tcW w:w="1914" w:type="dxa"/>
            <w:tcBorders>
              <w:top w:val="nil"/>
              <w:left w:val="nil"/>
              <w:bottom w:val="nil"/>
              <w:right w:val="nil"/>
            </w:tcBorders>
            <w:shd w:val="clear" w:color="auto" w:fill="auto"/>
            <w:noWrap/>
            <w:vAlign w:val="center"/>
          </w:tcPr>
          <w:p w14:paraId="24DB6B9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2.15 </w:t>
            </w:r>
          </w:p>
        </w:tc>
        <w:tc>
          <w:tcPr>
            <w:tcW w:w="1967" w:type="dxa"/>
            <w:tcBorders>
              <w:top w:val="nil"/>
              <w:left w:val="nil"/>
              <w:bottom w:val="nil"/>
              <w:right w:val="nil"/>
            </w:tcBorders>
            <w:shd w:val="clear" w:color="auto" w:fill="auto"/>
            <w:noWrap/>
            <w:vAlign w:val="center"/>
          </w:tcPr>
          <w:p w14:paraId="4294947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2.18 </w:t>
            </w:r>
          </w:p>
        </w:tc>
      </w:tr>
      <w:tr w14:paraId="2A53DE22">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74322BDE">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Helsinki</w:t>
            </w:r>
          </w:p>
        </w:tc>
        <w:tc>
          <w:tcPr>
            <w:tcW w:w="1634" w:type="dxa"/>
            <w:tcBorders>
              <w:top w:val="nil"/>
              <w:left w:val="nil"/>
              <w:bottom w:val="nil"/>
              <w:right w:val="nil"/>
            </w:tcBorders>
            <w:shd w:val="clear" w:color="auto" w:fill="auto"/>
            <w:vAlign w:val="center"/>
          </w:tcPr>
          <w:p w14:paraId="3863B17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24.94 </w:t>
            </w:r>
          </w:p>
        </w:tc>
        <w:tc>
          <w:tcPr>
            <w:tcW w:w="1277" w:type="dxa"/>
            <w:tcBorders>
              <w:top w:val="nil"/>
              <w:left w:val="nil"/>
              <w:bottom w:val="nil"/>
              <w:right w:val="nil"/>
            </w:tcBorders>
            <w:shd w:val="clear" w:color="auto" w:fill="auto"/>
            <w:vAlign w:val="center"/>
          </w:tcPr>
          <w:p w14:paraId="03E08CE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60.17 </w:t>
            </w:r>
          </w:p>
        </w:tc>
        <w:tc>
          <w:tcPr>
            <w:tcW w:w="1221" w:type="dxa"/>
            <w:tcBorders>
              <w:top w:val="nil"/>
              <w:left w:val="nil"/>
              <w:bottom w:val="nil"/>
              <w:right w:val="nil"/>
            </w:tcBorders>
            <w:shd w:val="clear" w:color="auto" w:fill="auto"/>
            <w:noWrap/>
            <w:vAlign w:val="center"/>
          </w:tcPr>
          <w:p w14:paraId="6DFB4136">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w:t>
            </w:r>
          </w:p>
        </w:tc>
        <w:tc>
          <w:tcPr>
            <w:tcW w:w="1783" w:type="dxa"/>
            <w:tcBorders>
              <w:top w:val="nil"/>
              <w:left w:val="nil"/>
              <w:bottom w:val="nil"/>
              <w:right w:val="nil"/>
            </w:tcBorders>
            <w:shd w:val="clear" w:color="auto" w:fill="auto"/>
            <w:noWrap/>
            <w:vAlign w:val="center"/>
          </w:tcPr>
          <w:p w14:paraId="59BC5E5A">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0.01 </w:t>
            </w:r>
          </w:p>
        </w:tc>
        <w:tc>
          <w:tcPr>
            <w:tcW w:w="1743" w:type="dxa"/>
            <w:tcBorders>
              <w:top w:val="nil"/>
              <w:left w:val="nil"/>
              <w:bottom w:val="nil"/>
              <w:right w:val="nil"/>
            </w:tcBorders>
            <w:shd w:val="clear" w:color="auto" w:fill="auto"/>
            <w:noWrap/>
            <w:vAlign w:val="center"/>
          </w:tcPr>
          <w:p w14:paraId="67BA7F51">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-0.03 </w:t>
            </w:r>
          </w:p>
        </w:tc>
        <w:tc>
          <w:tcPr>
            <w:tcW w:w="1805" w:type="dxa"/>
            <w:tcBorders>
              <w:top w:val="nil"/>
              <w:left w:val="nil"/>
              <w:bottom w:val="nil"/>
              <w:right w:val="nil"/>
            </w:tcBorders>
            <w:shd w:val="clear" w:color="auto" w:fill="auto"/>
            <w:noWrap/>
            <w:vAlign w:val="center"/>
          </w:tcPr>
          <w:p w14:paraId="4AEBF19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-0.02 </w:t>
            </w:r>
          </w:p>
        </w:tc>
        <w:tc>
          <w:tcPr>
            <w:tcW w:w="1914" w:type="dxa"/>
            <w:tcBorders>
              <w:top w:val="nil"/>
              <w:left w:val="nil"/>
              <w:bottom w:val="nil"/>
              <w:right w:val="nil"/>
            </w:tcBorders>
            <w:shd w:val="clear" w:color="auto" w:fill="auto"/>
            <w:noWrap/>
            <w:vAlign w:val="center"/>
          </w:tcPr>
          <w:p w14:paraId="693936BF">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1.41 </w:t>
            </w:r>
          </w:p>
        </w:tc>
        <w:tc>
          <w:tcPr>
            <w:tcW w:w="1967" w:type="dxa"/>
            <w:tcBorders>
              <w:top w:val="nil"/>
              <w:left w:val="nil"/>
              <w:bottom w:val="nil"/>
              <w:right w:val="nil"/>
            </w:tcBorders>
            <w:shd w:val="clear" w:color="auto" w:fill="auto"/>
            <w:noWrap/>
            <w:vAlign w:val="center"/>
          </w:tcPr>
          <w:p w14:paraId="61A79CF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1.77 </w:t>
            </w:r>
          </w:p>
        </w:tc>
      </w:tr>
      <w:tr w14:paraId="100B8E5F">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765DD4E7">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Yakutsk</w:t>
            </w:r>
          </w:p>
        </w:tc>
        <w:tc>
          <w:tcPr>
            <w:tcW w:w="1634" w:type="dxa"/>
            <w:tcBorders>
              <w:top w:val="nil"/>
              <w:left w:val="nil"/>
              <w:bottom w:val="nil"/>
              <w:right w:val="nil"/>
            </w:tcBorders>
            <w:shd w:val="clear" w:color="auto" w:fill="auto"/>
            <w:vAlign w:val="center"/>
          </w:tcPr>
          <w:p w14:paraId="7C35E625">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129.68 </w:t>
            </w:r>
          </w:p>
        </w:tc>
        <w:tc>
          <w:tcPr>
            <w:tcW w:w="1277" w:type="dxa"/>
            <w:tcBorders>
              <w:top w:val="nil"/>
              <w:left w:val="nil"/>
              <w:bottom w:val="nil"/>
              <w:right w:val="nil"/>
            </w:tcBorders>
            <w:shd w:val="clear" w:color="auto" w:fill="auto"/>
            <w:vAlign w:val="center"/>
          </w:tcPr>
          <w:p w14:paraId="1D4776D2">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62.04 </w:t>
            </w:r>
          </w:p>
        </w:tc>
        <w:tc>
          <w:tcPr>
            <w:tcW w:w="1221" w:type="dxa"/>
            <w:tcBorders>
              <w:top w:val="nil"/>
              <w:left w:val="nil"/>
              <w:bottom w:val="nil"/>
              <w:right w:val="nil"/>
            </w:tcBorders>
            <w:shd w:val="clear" w:color="auto" w:fill="auto"/>
            <w:noWrap/>
            <w:vAlign w:val="center"/>
          </w:tcPr>
          <w:p w14:paraId="4B2560D0">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w:t>
            </w:r>
          </w:p>
        </w:tc>
        <w:tc>
          <w:tcPr>
            <w:tcW w:w="1783" w:type="dxa"/>
            <w:tcBorders>
              <w:top w:val="nil"/>
              <w:left w:val="nil"/>
              <w:bottom w:val="nil"/>
              <w:right w:val="nil"/>
            </w:tcBorders>
            <w:shd w:val="clear" w:color="auto" w:fill="auto"/>
            <w:noWrap/>
            <w:vAlign w:val="center"/>
          </w:tcPr>
          <w:p w14:paraId="56B1DEBD">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0.03 </w:t>
            </w:r>
          </w:p>
        </w:tc>
        <w:tc>
          <w:tcPr>
            <w:tcW w:w="1743" w:type="dxa"/>
            <w:tcBorders>
              <w:top w:val="nil"/>
              <w:left w:val="nil"/>
              <w:bottom w:val="nil"/>
              <w:right w:val="nil"/>
            </w:tcBorders>
            <w:shd w:val="clear" w:color="auto" w:fill="auto"/>
            <w:noWrap/>
            <w:vAlign w:val="center"/>
          </w:tcPr>
          <w:p w14:paraId="6B367C93">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-0.06 </w:t>
            </w:r>
          </w:p>
        </w:tc>
        <w:tc>
          <w:tcPr>
            <w:tcW w:w="1805" w:type="dxa"/>
            <w:tcBorders>
              <w:top w:val="nil"/>
              <w:left w:val="nil"/>
              <w:bottom w:val="nil"/>
              <w:right w:val="nil"/>
            </w:tcBorders>
            <w:shd w:val="clear" w:color="auto" w:fill="auto"/>
            <w:noWrap/>
            <w:vAlign w:val="center"/>
          </w:tcPr>
          <w:p w14:paraId="7566B4AC">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-0.03 </w:t>
            </w:r>
          </w:p>
        </w:tc>
        <w:tc>
          <w:tcPr>
            <w:tcW w:w="1914" w:type="dxa"/>
            <w:tcBorders>
              <w:top w:val="nil"/>
              <w:left w:val="nil"/>
              <w:bottom w:val="nil"/>
              <w:right w:val="nil"/>
            </w:tcBorders>
            <w:shd w:val="clear" w:color="auto" w:fill="auto"/>
            <w:noWrap/>
            <w:vAlign w:val="center"/>
          </w:tcPr>
          <w:p w14:paraId="22899BE6">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1.62 </w:t>
            </w:r>
          </w:p>
        </w:tc>
        <w:tc>
          <w:tcPr>
            <w:tcW w:w="1967" w:type="dxa"/>
            <w:tcBorders>
              <w:top w:val="nil"/>
              <w:left w:val="nil"/>
              <w:bottom w:val="nil"/>
              <w:right w:val="nil"/>
            </w:tcBorders>
            <w:shd w:val="clear" w:color="auto" w:fill="auto"/>
            <w:noWrap/>
            <w:vAlign w:val="center"/>
          </w:tcPr>
          <w:p w14:paraId="3AF8CE81">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1.96 </w:t>
            </w:r>
          </w:p>
        </w:tc>
      </w:tr>
      <w:tr w14:paraId="2486AD21">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2AD1D577">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Reykjavik</w:t>
            </w:r>
          </w:p>
        </w:tc>
        <w:tc>
          <w:tcPr>
            <w:tcW w:w="1634" w:type="dxa"/>
            <w:tcBorders>
              <w:top w:val="nil"/>
              <w:left w:val="nil"/>
              <w:bottom w:val="nil"/>
              <w:right w:val="nil"/>
            </w:tcBorders>
            <w:shd w:val="clear" w:color="auto" w:fill="auto"/>
            <w:vAlign w:val="center"/>
          </w:tcPr>
          <w:p w14:paraId="2B655AAB">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-21.94 </w:t>
            </w:r>
          </w:p>
        </w:tc>
        <w:tc>
          <w:tcPr>
            <w:tcW w:w="1277" w:type="dxa"/>
            <w:tcBorders>
              <w:top w:val="nil"/>
              <w:left w:val="nil"/>
              <w:bottom w:val="nil"/>
              <w:right w:val="nil"/>
            </w:tcBorders>
            <w:shd w:val="clear" w:color="auto" w:fill="auto"/>
            <w:vAlign w:val="center"/>
          </w:tcPr>
          <w:p w14:paraId="075F589F">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64.15 </w:t>
            </w:r>
          </w:p>
        </w:tc>
        <w:tc>
          <w:tcPr>
            <w:tcW w:w="1221" w:type="dxa"/>
            <w:tcBorders>
              <w:top w:val="nil"/>
              <w:left w:val="nil"/>
              <w:bottom w:val="nil"/>
              <w:right w:val="nil"/>
            </w:tcBorders>
            <w:shd w:val="clear" w:color="auto" w:fill="auto"/>
            <w:noWrap/>
            <w:vAlign w:val="center"/>
          </w:tcPr>
          <w:p w14:paraId="0C2F10D2">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6</w:t>
            </w:r>
          </w:p>
        </w:tc>
        <w:tc>
          <w:tcPr>
            <w:tcW w:w="1783" w:type="dxa"/>
            <w:tcBorders>
              <w:top w:val="nil"/>
              <w:left w:val="nil"/>
              <w:bottom w:val="nil"/>
              <w:right w:val="nil"/>
            </w:tcBorders>
            <w:shd w:val="clear" w:color="auto" w:fill="auto"/>
            <w:noWrap/>
            <w:vAlign w:val="center"/>
          </w:tcPr>
          <w:p w14:paraId="47BB32B9">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743" w:type="dxa"/>
            <w:tcBorders>
              <w:top w:val="nil"/>
              <w:left w:val="nil"/>
              <w:bottom w:val="nil"/>
              <w:right w:val="nil"/>
            </w:tcBorders>
            <w:shd w:val="clear" w:color="auto" w:fill="auto"/>
            <w:noWrap/>
            <w:vAlign w:val="center"/>
          </w:tcPr>
          <w:p w14:paraId="0AB152BF">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-0.05 </w:t>
            </w:r>
          </w:p>
        </w:tc>
        <w:tc>
          <w:tcPr>
            <w:tcW w:w="1805" w:type="dxa"/>
            <w:tcBorders>
              <w:top w:val="nil"/>
              <w:left w:val="nil"/>
              <w:bottom w:val="nil"/>
              <w:right w:val="nil"/>
            </w:tcBorders>
            <w:shd w:val="clear" w:color="auto" w:fill="auto"/>
            <w:noWrap/>
            <w:vAlign w:val="center"/>
          </w:tcPr>
          <w:p w14:paraId="5D66E1DE">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-0.05 </w:t>
            </w:r>
          </w:p>
        </w:tc>
        <w:tc>
          <w:tcPr>
            <w:tcW w:w="1914" w:type="dxa"/>
            <w:tcBorders>
              <w:top w:val="nil"/>
              <w:left w:val="nil"/>
              <w:bottom w:val="nil"/>
              <w:right w:val="nil"/>
            </w:tcBorders>
            <w:shd w:val="clear" w:color="auto" w:fill="auto"/>
            <w:noWrap/>
            <w:vAlign w:val="center"/>
          </w:tcPr>
          <w:p w14:paraId="6AB56249">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1.56 </w:t>
            </w:r>
          </w:p>
        </w:tc>
        <w:tc>
          <w:tcPr>
            <w:tcW w:w="1967" w:type="dxa"/>
            <w:tcBorders>
              <w:top w:val="nil"/>
              <w:left w:val="nil"/>
              <w:bottom w:val="nil"/>
              <w:right w:val="nil"/>
            </w:tcBorders>
            <w:shd w:val="clear" w:color="auto" w:fill="auto"/>
            <w:noWrap/>
            <w:vAlign w:val="center"/>
          </w:tcPr>
          <w:p w14:paraId="17B64DCB">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1.48 </w:t>
            </w:r>
          </w:p>
        </w:tc>
      </w:tr>
      <w:tr w14:paraId="782A00C0">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6A0446CA">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Lhasa</w:t>
            </w:r>
          </w:p>
        </w:tc>
        <w:tc>
          <w:tcPr>
            <w:tcW w:w="1634" w:type="dxa"/>
            <w:tcBorders>
              <w:top w:val="nil"/>
              <w:left w:val="nil"/>
              <w:bottom w:val="nil"/>
              <w:right w:val="nil"/>
            </w:tcBorders>
            <w:shd w:val="clear" w:color="auto" w:fill="auto"/>
            <w:vAlign w:val="center"/>
          </w:tcPr>
          <w:p w14:paraId="169A2F25">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91.17 </w:t>
            </w:r>
          </w:p>
        </w:tc>
        <w:tc>
          <w:tcPr>
            <w:tcW w:w="1277" w:type="dxa"/>
            <w:tcBorders>
              <w:top w:val="nil"/>
              <w:left w:val="nil"/>
              <w:bottom w:val="nil"/>
              <w:right w:val="nil"/>
            </w:tcBorders>
            <w:shd w:val="clear" w:color="auto" w:fill="auto"/>
            <w:vAlign w:val="center"/>
          </w:tcPr>
          <w:p w14:paraId="4CA10705">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29.65 </w:t>
            </w:r>
          </w:p>
        </w:tc>
        <w:tc>
          <w:tcPr>
            <w:tcW w:w="1221" w:type="dxa"/>
            <w:tcBorders>
              <w:top w:val="nil"/>
              <w:left w:val="nil"/>
              <w:bottom w:val="nil"/>
              <w:right w:val="nil"/>
            </w:tcBorders>
            <w:shd w:val="clear" w:color="auto" w:fill="auto"/>
            <w:noWrap/>
            <w:vAlign w:val="center"/>
          </w:tcPr>
          <w:p w14:paraId="4305594C">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7</w:t>
            </w:r>
          </w:p>
        </w:tc>
        <w:tc>
          <w:tcPr>
            <w:tcW w:w="1783" w:type="dxa"/>
            <w:tcBorders>
              <w:top w:val="nil"/>
              <w:left w:val="nil"/>
              <w:bottom w:val="nil"/>
              <w:right w:val="nil"/>
            </w:tcBorders>
            <w:shd w:val="clear" w:color="auto" w:fill="auto"/>
            <w:noWrap/>
            <w:vAlign w:val="center"/>
          </w:tcPr>
          <w:p w14:paraId="3CEEDB69">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743" w:type="dxa"/>
            <w:tcBorders>
              <w:top w:val="nil"/>
              <w:left w:val="nil"/>
              <w:bottom w:val="nil"/>
              <w:right w:val="nil"/>
            </w:tcBorders>
            <w:shd w:val="clear" w:color="auto" w:fill="auto"/>
            <w:noWrap/>
            <w:vAlign w:val="center"/>
          </w:tcPr>
          <w:p w14:paraId="4D7858CB">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0.26 </w:t>
            </w:r>
          </w:p>
        </w:tc>
        <w:tc>
          <w:tcPr>
            <w:tcW w:w="1805" w:type="dxa"/>
            <w:tcBorders>
              <w:top w:val="nil"/>
              <w:left w:val="nil"/>
              <w:bottom w:val="nil"/>
              <w:right w:val="nil"/>
            </w:tcBorders>
            <w:shd w:val="clear" w:color="auto" w:fill="auto"/>
            <w:noWrap/>
            <w:vAlign w:val="center"/>
          </w:tcPr>
          <w:p w14:paraId="6D2AAC9F">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0.26 </w:t>
            </w:r>
          </w:p>
        </w:tc>
        <w:tc>
          <w:tcPr>
            <w:tcW w:w="1914" w:type="dxa"/>
            <w:tcBorders>
              <w:top w:val="nil"/>
              <w:left w:val="nil"/>
              <w:bottom w:val="nil"/>
              <w:right w:val="nil"/>
            </w:tcBorders>
            <w:shd w:val="clear" w:color="auto" w:fill="auto"/>
            <w:noWrap/>
            <w:vAlign w:val="center"/>
          </w:tcPr>
          <w:p w14:paraId="64622D8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3.02 </w:t>
            </w:r>
          </w:p>
        </w:tc>
        <w:tc>
          <w:tcPr>
            <w:tcW w:w="1967" w:type="dxa"/>
            <w:tcBorders>
              <w:top w:val="nil"/>
              <w:left w:val="nil"/>
              <w:bottom w:val="nil"/>
              <w:right w:val="nil"/>
            </w:tcBorders>
            <w:shd w:val="clear" w:color="auto" w:fill="auto"/>
            <w:noWrap/>
            <w:vAlign w:val="center"/>
          </w:tcPr>
          <w:p w14:paraId="6B36FD64">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3.10 </w:t>
            </w:r>
          </w:p>
        </w:tc>
      </w:tr>
      <w:tr w14:paraId="222A82A1">
        <w:tblPrEx>
          <w:tblCellMar>
            <w:top w:w="0" w:type="dxa"/>
            <w:left w:w="0" w:type="dxa"/>
            <w:bottom w:w="0" w:type="dxa"/>
            <w:right w:w="0" w:type="dxa"/>
          </w:tblCellMar>
        </w:tblPrEx>
        <w:trPr>
          <w:trHeight w:val="457" w:hRule="atLeast"/>
          <w:jc w:val="center"/>
        </w:trPr>
        <w:tc>
          <w:tcPr>
            <w:tcW w:w="1850" w:type="dxa"/>
            <w:tcBorders>
              <w:top w:val="nil"/>
              <w:left w:val="nil"/>
              <w:bottom w:val="nil"/>
              <w:right w:val="nil"/>
            </w:tcBorders>
            <w:shd w:val="clear" w:color="auto" w:fill="auto"/>
            <w:vAlign w:val="center"/>
          </w:tcPr>
          <w:p w14:paraId="367C00E8">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Anchorage</w:t>
            </w:r>
          </w:p>
        </w:tc>
        <w:tc>
          <w:tcPr>
            <w:tcW w:w="1634" w:type="dxa"/>
            <w:tcBorders>
              <w:top w:val="nil"/>
              <w:left w:val="nil"/>
              <w:bottom w:val="nil"/>
              <w:right w:val="nil"/>
            </w:tcBorders>
            <w:shd w:val="clear" w:color="auto" w:fill="auto"/>
            <w:vAlign w:val="center"/>
          </w:tcPr>
          <w:p w14:paraId="1B949DCF">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-149.90 </w:t>
            </w:r>
          </w:p>
        </w:tc>
        <w:tc>
          <w:tcPr>
            <w:tcW w:w="1277" w:type="dxa"/>
            <w:tcBorders>
              <w:top w:val="nil"/>
              <w:left w:val="nil"/>
              <w:bottom w:val="nil"/>
              <w:right w:val="nil"/>
            </w:tcBorders>
            <w:shd w:val="clear" w:color="auto" w:fill="auto"/>
            <w:vAlign w:val="center"/>
          </w:tcPr>
          <w:p w14:paraId="41EEF5F1">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61.22 </w:t>
            </w:r>
          </w:p>
        </w:tc>
        <w:tc>
          <w:tcPr>
            <w:tcW w:w="1221" w:type="dxa"/>
            <w:tcBorders>
              <w:top w:val="nil"/>
              <w:left w:val="nil"/>
              <w:bottom w:val="nil"/>
              <w:right w:val="nil"/>
            </w:tcBorders>
            <w:shd w:val="clear" w:color="auto" w:fill="auto"/>
            <w:noWrap/>
            <w:vAlign w:val="center"/>
          </w:tcPr>
          <w:p w14:paraId="5DAB197E">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8</w:t>
            </w:r>
          </w:p>
        </w:tc>
        <w:tc>
          <w:tcPr>
            <w:tcW w:w="1783" w:type="dxa"/>
            <w:tcBorders>
              <w:top w:val="nil"/>
              <w:left w:val="nil"/>
              <w:bottom w:val="nil"/>
              <w:right w:val="nil"/>
            </w:tcBorders>
            <w:shd w:val="clear" w:color="auto" w:fill="auto"/>
            <w:noWrap/>
            <w:vAlign w:val="center"/>
          </w:tcPr>
          <w:p w14:paraId="674CCEFA">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0.00 </w:t>
            </w:r>
          </w:p>
        </w:tc>
        <w:tc>
          <w:tcPr>
            <w:tcW w:w="1743" w:type="dxa"/>
            <w:tcBorders>
              <w:top w:val="nil"/>
              <w:left w:val="nil"/>
              <w:bottom w:val="nil"/>
              <w:right w:val="nil"/>
            </w:tcBorders>
            <w:shd w:val="clear" w:color="auto" w:fill="auto"/>
            <w:noWrap/>
            <w:vAlign w:val="center"/>
          </w:tcPr>
          <w:p w14:paraId="62826A75">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0.10 </w:t>
            </w:r>
          </w:p>
        </w:tc>
        <w:tc>
          <w:tcPr>
            <w:tcW w:w="1805" w:type="dxa"/>
            <w:tcBorders>
              <w:top w:val="nil"/>
              <w:left w:val="nil"/>
              <w:bottom w:val="nil"/>
              <w:right w:val="nil"/>
            </w:tcBorders>
            <w:shd w:val="clear" w:color="auto" w:fill="auto"/>
            <w:noWrap/>
            <w:vAlign w:val="center"/>
          </w:tcPr>
          <w:p w14:paraId="4F158F5F">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0.10 </w:t>
            </w:r>
          </w:p>
        </w:tc>
        <w:tc>
          <w:tcPr>
            <w:tcW w:w="1914" w:type="dxa"/>
            <w:tcBorders>
              <w:top w:val="nil"/>
              <w:left w:val="nil"/>
              <w:bottom w:val="nil"/>
              <w:right w:val="nil"/>
            </w:tcBorders>
            <w:shd w:val="clear" w:color="auto" w:fill="auto"/>
            <w:noWrap/>
            <w:vAlign w:val="center"/>
          </w:tcPr>
          <w:p w14:paraId="20449EF5">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1.93 </w:t>
            </w:r>
          </w:p>
        </w:tc>
        <w:tc>
          <w:tcPr>
            <w:tcW w:w="1967" w:type="dxa"/>
            <w:tcBorders>
              <w:top w:val="nil"/>
              <w:left w:val="nil"/>
              <w:bottom w:val="nil"/>
              <w:right w:val="nil"/>
            </w:tcBorders>
            <w:shd w:val="clear" w:color="auto" w:fill="auto"/>
            <w:noWrap/>
            <w:vAlign w:val="center"/>
          </w:tcPr>
          <w:p w14:paraId="6BD1C127">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1.91 </w:t>
            </w:r>
          </w:p>
        </w:tc>
      </w:tr>
      <w:tr w14:paraId="276F5F57">
        <w:tblPrEx>
          <w:tblCellMar>
            <w:top w:w="0" w:type="dxa"/>
            <w:left w:w="0" w:type="dxa"/>
            <w:bottom w:w="0" w:type="dxa"/>
            <w:right w:w="0" w:type="dxa"/>
          </w:tblCellMar>
        </w:tblPrEx>
        <w:trPr>
          <w:trHeight w:val="487" w:hRule="atLeast"/>
          <w:jc w:val="center"/>
        </w:trPr>
        <w:tc>
          <w:tcPr>
            <w:tcW w:w="1850" w:type="dxa"/>
            <w:tcBorders>
              <w:top w:val="nil"/>
              <w:left w:val="nil"/>
              <w:bottom w:val="single" w:color="auto" w:sz="12" w:space="0"/>
              <w:right w:val="nil"/>
            </w:tcBorders>
            <w:shd w:val="clear" w:color="auto" w:fill="auto"/>
            <w:vAlign w:val="center"/>
          </w:tcPr>
          <w:p w14:paraId="417698D8">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Tokyo</w:t>
            </w:r>
          </w:p>
        </w:tc>
        <w:tc>
          <w:tcPr>
            <w:tcW w:w="1634" w:type="dxa"/>
            <w:tcBorders>
              <w:top w:val="nil"/>
              <w:left w:val="nil"/>
              <w:bottom w:val="single" w:color="auto" w:sz="12" w:space="0"/>
              <w:right w:val="nil"/>
            </w:tcBorders>
            <w:shd w:val="clear" w:color="auto" w:fill="auto"/>
            <w:vAlign w:val="center"/>
          </w:tcPr>
          <w:p w14:paraId="4C4CA867">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139.69 </w:t>
            </w:r>
          </w:p>
        </w:tc>
        <w:tc>
          <w:tcPr>
            <w:tcW w:w="1277" w:type="dxa"/>
            <w:tcBorders>
              <w:top w:val="nil"/>
              <w:left w:val="nil"/>
              <w:bottom w:val="single" w:color="auto" w:sz="12" w:space="0"/>
              <w:right w:val="nil"/>
            </w:tcBorders>
            <w:shd w:val="clear" w:color="auto" w:fill="auto"/>
            <w:vAlign w:val="center"/>
          </w:tcPr>
          <w:p w14:paraId="788E3246">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 xml:space="preserve">35.69 </w:t>
            </w:r>
          </w:p>
        </w:tc>
        <w:tc>
          <w:tcPr>
            <w:tcW w:w="1221" w:type="dxa"/>
            <w:tcBorders>
              <w:top w:val="nil"/>
              <w:left w:val="nil"/>
              <w:bottom w:val="single" w:color="auto" w:sz="12" w:space="0"/>
              <w:right w:val="nil"/>
            </w:tcBorders>
            <w:shd w:val="clear" w:color="auto" w:fill="auto"/>
            <w:noWrap/>
            <w:vAlign w:val="center"/>
          </w:tcPr>
          <w:p w14:paraId="286E1DEC">
            <w:pPr>
              <w:adjustRightInd w:val="0"/>
              <w:spacing w:line="360" w:lineRule="auto"/>
              <w:jc w:val="left"/>
              <w:rPr>
                <w:rFonts w:ascii="Times New Roman" w:hAnsi="Times New Roman" w:cs="Times New Roman"/>
                <w:sz w:val="20"/>
                <w:szCs w:val="20"/>
              </w:rPr>
            </w:pPr>
            <w:r>
              <w:rPr>
                <w:rFonts w:ascii="Times New Roman" w:hAnsi="Times New Roman" w:cs="Times New Roman"/>
                <w:sz w:val="20"/>
                <w:szCs w:val="20"/>
              </w:rPr>
              <w:t>3</w:t>
            </w:r>
          </w:p>
        </w:tc>
        <w:tc>
          <w:tcPr>
            <w:tcW w:w="1783" w:type="dxa"/>
            <w:tcBorders>
              <w:top w:val="nil"/>
              <w:left w:val="nil"/>
              <w:bottom w:val="single" w:color="auto" w:sz="12" w:space="0"/>
              <w:right w:val="nil"/>
            </w:tcBorders>
            <w:shd w:val="clear" w:color="auto" w:fill="auto"/>
            <w:noWrap/>
            <w:vAlign w:val="center"/>
          </w:tcPr>
          <w:p w14:paraId="671EFF07">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0.14 </w:t>
            </w:r>
          </w:p>
        </w:tc>
        <w:tc>
          <w:tcPr>
            <w:tcW w:w="1743" w:type="dxa"/>
            <w:tcBorders>
              <w:top w:val="nil"/>
              <w:left w:val="nil"/>
              <w:bottom w:val="single" w:color="auto" w:sz="12" w:space="0"/>
              <w:right w:val="nil"/>
            </w:tcBorders>
            <w:shd w:val="clear" w:color="auto" w:fill="auto"/>
            <w:noWrap/>
            <w:vAlign w:val="center"/>
          </w:tcPr>
          <w:p w14:paraId="499621DD">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0.03 </w:t>
            </w:r>
          </w:p>
        </w:tc>
        <w:tc>
          <w:tcPr>
            <w:tcW w:w="1805" w:type="dxa"/>
            <w:tcBorders>
              <w:top w:val="nil"/>
              <w:left w:val="nil"/>
              <w:bottom w:val="single" w:color="auto" w:sz="12" w:space="0"/>
              <w:right w:val="nil"/>
            </w:tcBorders>
            <w:shd w:val="clear" w:color="auto" w:fill="auto"/>
            <w:noWrap/>
            <w:vAlign w:val="center"/>
          </w:tcPr>
          <w:p w14:paraId="2F385F72">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0.17 </w:t>
            </w:r>
          </w:p>
        </w:tc>
        <w:tc>
          <w:tcPr>
            <w:tcW w:w="1914" w:type="dxa"/>
            <w:tcBorders>
              <w:top w:val="nil"/>
              <w:left w:val="nil"/>
              <w:bottom w:val="single" w:color="auto" w:sz="12" w:space="0"/>
              <w:right w:val="nil"/>
            </w:tcBorders>
            <w:shd w:val="clear" w:color="auto" w:fill="auto"/>
            <w:noWrap/>
            <w:vAlign w:val="center"/>
          </w:tcPr>
          <w:p w14:paraId="0F1F36A8">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1.92 </w:t>
            </w:r>
          </w:p>
        </w:tc>
        <w:tc>
          <w:tcPr>
            <w:tcW w:w="1967" w:type="dxa"/>
            <w:tcBorders>
              <w:top w:val="nil"/>
              <w:left w:val="nil"/>
              <w:bottom w:val="single" w:color="auto" w:sz="12" w:space="0"/>
              <w:right w:val="nil"/>
            </w:tcBorders>
            <w:shd w:val="clear" w:color="auto" w:fill="auto"/>
            <w:noWrap/>
            <w:vAlign w:val="center"/>
          </w:tcPr>
          <w:p w14:paraId="58D3CE72">
            <w:pPr>
              <w:adjustRightInd w:val="0"/>
              <w:spacing w:line="360" w:lineRule="auto"/>
              <w:jc w:val="left"/>
              <w:rPr>
                <w:rFonts w:ascii="Times New Roman" w:hAnsi="Times New Roman" w:cs="Times New Roman"/>
                <w:sz w:val="20"/>
                <w:szCs w:val="20"/>
              </w:rPr>
            </w:pPr>
            <w:r>
              <w:rPr>
                <w:rFonts w:hint="eastAsia" w:ascii="Times New Roman" w:hAnsi="Times New Roman" w:cs="Times New Roman"/>
                <w:sz w:val="20"/>
                <w:szCs w:val="20"/>
              </w:rPr>
              <w:t xml:space="preserve">2.29 </w:t>
            </w:r>
          </w:p>
        </w:tc>
      </w:tr>
    </w:tbl>
    <w:p w14:paraId="387DF0A5">
      <w:pPr>
        <w:widowControl/>
        <w:tabs>
          <w:tab w:val="left" w:pos="567"/>
        </w:tabs>
        <w:snapToGrid w:val="0"/>
        <w:spacing w:after="332" w:afterLines="100"/>
        <w:rPr>
          <w:rFonts w:ascii="Times New Roman" w:hAnsi="Times New Roman" w:cs="Times New Roman"/>
          <w:b/>
          <w:bCs/>
          <w:sz w:val="20"/>
          <w:szCs w:val="20"/>
        </w:rPr>
        <w:sectPr>
          <w:endnotePr>
            <w:numFmt w:val="decimal"/>
          </w:endnotePr>
          <w:pgSz w:w="16838" w:h="16838"/>
          <w:pgMar w:top="1440" w:right="955" w:bottom="1440" w:left="843" w:header="851" w:footer="992" w:gutter="0"/>
          <w:cols w:space="0" w:num="1"/>
          <w:docGrid w:type="lines" w:linePitch="332" w:charSpace="0"/>
        </w:sectPr>
      </w:pPr>
      <w:r>
        <w:rPr>
          <w:rFonts w:hint="eastAsia" w:ascii="Times New Roman" w:hAnsi="Times New Roman" w:cs="Times New Roman"/>
          <w:b/>
          <w:bCs/>
          <w:sz w:val="20"/>
          <w:szCs w:val="20"/>
        </w:rPr>
        <w:t xml:space="preserve"> </w:t>
      </w:r>
    </w:p>
    <w:p w14:paraId="11345291">
      <w:pPr>
        <w:spacing w:after="312" w:afterLines="100"/>
        <w:rPr>
          <w:rFonts w:ascii="Times New Roman" w:hAnsi="Times New Roman"/>
          <w:b/>
          <w:position w:val="-32"/>
          <w:sz w:val="24"/>
        </w:rPr>
      </w:pPr>
      <w:r>
        <w:rPr>
          <w:rFonts w:hint="eastAsia" w:ascii="Times New Roman" w:hAnsi="Times New Roman"/>
          <w:b/>
          <w:position w:val="-32"/>
          <w:sz w:val="24"/>
        </w:rPr>
        <w:t>References</w:t>
      </w:r>
    </w:p>
    <w:p w14:paraId="4606DE2F">
      <w:pPr>
        <w:pStyle w:val="14"/>
        <w:ind w:left="720" w:hanging="720"/>
        <w:rPr>
          <w:rFonts w:ascii="Times New Roman" w:hAnsi="Times New Roman" w:cs="Times New Roman"/>
          <w:sz w:val="24"/>
        </w:rPr>
      </w:pPr>
      <w:r>
        <w:rPr>
          <w:rFonts w:ascii="Times New Roman" w:hAnsi="Times New Roman" w:cs="Times New Roman"/>
          <w:bCs/>
          <w:position w:val="-32"/>
          <w:sz w:val="24"/>
        </w:rPr>
        <w:fldChar w:fldCharType="begin"/>
      </w:r>
      <w:r>
        <w:rPr>
          <w:rFonts w:ascii="Times New Roman" w:hAnsi="Times New Roman" w:cs="Times New Roman"/>
          <w:bCs/>
          <w:position w:val="-32"/>
          <w:sz w:val="24"/>
        </w:rPr>
        <w:instrText xml:space="preserve"> ADDIN EN.REFLIST </w:instrText>
      </w:r>
      <w:r>
        <w:rPr>
          <w:rFonts w:ascii="Times New Roman" w:hAnsi="Times New Roman" w:cs="Times New Roman"/>
          <w:bCs/>
          <w:position w:val="-32"/>
          <w:sz w:val="24"/>
        </w:rPr>
        <w:fldChar w:fldCharType="separate"/>
      </w:r>
      <w:r>
        <w:rPr>
          <w:rFonts w:ascii="Times New Roman" w:hAnsi="Times New Roman" w:cs="Times New Roman"/>
          <w:sz w:val="24"/>
        </w:rPr>
        <w:t>[1]</w:t>
      </w:r>
      <w:r>
        <w:rPr>
          <w:rFonts w:ascii="Times New Roman" w:hAnsi="Times New Roman" w:cs="Times New Roman"/>
          <w:sz w:val="24"/>
        </w:rPr>
        <w:tab/>
      </w:r>
      <w:r>
        <w:rPr>
          <w:rFonts w:ascii="Times New Roman" w:hAnsi="Times New Roman" w:cs="Times New Roman"/>
          <w:sz w:val="24"/>
        </w:rPr>
        <w:t xml:space="preserve">A. Ciesielski, L. Skowronski, M. Trzcinski, and T. Szoplik, "Controlling the optical parameters of self-assembled silver films with wetting layers and annealing," </w:t>
      </w:r>
      <w:r>
        <w:rPr>
          <w:rFonts w:ascii="Times New Roman" w:hAnsi="Times New Roman" w:cs="Times New Roman"/>
          <w:i/>
          <w:sz w:val="24"/>
        </w:rPr>
        <w:t xml:space="preserve">Applied Surface Science, </w:t>
      </w:r>
      <w:r>
        <w:rPr>
          <w:rFonts w:ascii="Times New Roman" w:hAnsi="Times New Roman" w:cs="Times New Roman"/>
          <w:sz w:val="24"/>
        </w:rPr>
        <w:t xml:space="preserve">vol. 421, pp. 349-356, 2017/11/01/ 2017, doi: </w:t>
      </w:r>
      <w:r>
        <w:fldChar w:fldCharType="begin"/>
      </w:r>
      <w:r>
        <w:instrText xml:space="preserve"> HYPERLINK "https://doi.org/10.1016/j.apsusc.2017.01.039" </w:instrText>
      </w:r>
      <w:r>
        <w:fldChar w:fldCharType="separate"/>
      </w:r>
      <w:r>
        <w:rPr>
          <w:rStyle w:val="12"/>
          <w:rFonts w:ascii="Times New Roman" w:hAnsi="Times New Roman" w:cs="Times New Roman"/>
          <w:sz w:val="24"/>
        </w:rPr>
        <w:t>https://doi.org/10.1016/j.apsusc.2017.01.039</w:t>
      </w:r>
      <w:r>
        <w:rPr>
          <w:rStyle w:val="12"/>
          <w:rFonts w:ascii="Times New Roman" w:hAnsi="Times New Roman" w:cs="Times New Roman"/>
          <w:sz w:val="24"/>
        </w:rPr>
        <w:fldChar w:fldCharType="end"/>
      </w:r>
      <w:r>
        <w:rPr>
          <w:rFonts w:ascii="Times New Roman" w:hAnsi="Times New Roman" w:cs="Times New Roman"/>
          <w:sz w:val="24"/>
        </w:rPr>
        <w:t>.</w:t>
      </w:r>
    </w:p>
    <w:p w14:paraId="489F79FD">
      <w:pPr>
        <w:pStyle w:val="14"/>
        <w:ind w:left="720" w:hanging="720"/>
        <w:rPr>
          <w:rFonts w:ascii="Times New Roman" w:hAnsi="Times New Roman" w:cs="Times New Roman"/>
          <w:sz w:val="24"/>
        </w:rPr>
      </w:pPr>
      <w:r>
        <w:rPr>
          <w:rFonts w:ascii="Times New Roman" w:hAnsi="Times New Roman" w:cs="Times New Roman"/>
          <w:sz w:val="24"/>
        </w:rPr>
        <w:t>[2]</w:t>
      </w:r>
      <w:r>
        <w:rPr>
          <w:rFonts w:ascii="Times New Roman" w:hAnsi="Times New Roman" w:cs="Times New Roman"/>
          <w:sz w:val="24"/>
        </w:rPr>
        <w:tab/>
      </w:r>
      <w:r>
        <w:rPr>
          <w:rFonts w:ascii="Times New Roman" w:hAnsi="Times New Roman" w:cs="Times New Roman"/>
          <w:sz w:val="24"/>
        </w:rPr>
        <w:t xml:space="preserve">X. Zhang, J. Qiu, X. Li, J. Zhao, and L. Liu, "Complex refractive indices measurements of polymers in visible and near-infrared bands," </w:t>
      </w:r>
      <w:r>
        <w:rPr>
          <w:rFonts w:ascii="Times New Roman" w:hAnsi="Times New Roman" w:cs="Times New Roman"/>
          <w:i/>
          <w:sz w:val="24"/>
        </w:rPr>
        <w:t xml:space="preserve">Appl. Opt., </w:t>
      </w:r>
      <w:r>
        <w:rPr>
          <w:rFonts w:ascii="Times New Roman" w:hAnsi="Times New Roman" w:cs="Times New Roman"/>
          <w:sz w:val="24"/>
        </w:rPr>
        <w:t>vol. 59, no. 8, pp. 2337-2344, 2020.</w:t>
      </w:r>
    </w:p>
    <w:p w14:paraId="00F83E24">
      <w:pPr>
        <w:pStyle w:val="14"/>
        <w:ind w:left="720" w:hanging="720"/>
        <w:rPr>
          <w:rFonts w:ascii="Times New Roman" w:hAnsi="Times New Roman" w:cs="Times New Roman"/>
          <w:sz w:val="24"/>
        </w:rPr>
      </w:pPr>
      <w:r>
        <w:rPr>
          <w:rFonts w:ascii="Times New Roman" w:hAnsi="Times New Roman" w:cs="Times New Roman"/>
          <w:sz w:val="24"/>
        </w:rPr>
        <w:t>[3]</w:t>
      </w:r>
      <w:r>
        <w:rPr>
          <w:rFonts w:ascii="Times New Roman" w:hAnsi="Times New Roman" w:cs="Times New Roman"/>
          <w:sz w:val="24"/>
        </w:rPr>
        <w:tab/>
      </w:r>
      <w:r>
        <w:rPr>
          <w:rFonts w:ascii="Times New Roman" w:hAnsi="Times New Roman" w:cs="Times New Roman"/>
          <w:sz w:val="24"/>
        </w:rPr>
        <w:t xml:space="preserve">A.-J. N. Khalifa, "Natural convective heat transfer coefficient – a review: I. Isolated vertical and horizontal surfaces," </w:t>
      </w:r>
      <w:r>
        <w:rPr>
          <w:rFonts w:ascii="Times New Roman" w:hAnsi="Times New Roman" w:cs="Times New Roman"/>
          <w:i/>
          <w:sz w:val="24"/>
        </w:rPr>
        <w:t xml:space="preserve">Energy Conversion and Management, </w:t>
      </w:r>
      <w:r>
        <w:rPr>
          <w:rFonts w:ascii="Times New Roman" w:hAnsi="Times New Roman" w:cs="Times New Roman"/>
          <w:sz w:val="24"/>
        </w:rPr>
        <w:t xml:space="preserve">vol. 42, no. 4, pp. 491-504, 2001/03/01/ 2001, doi: </w:t>
      </w:r>
      <w:r>
        <w:fldChar w:fldCharType="begin"/>
      </w:r>
      <w:r>
        <w:instrText xml:space="preserve"> HYPERLINK "https://doi.org/10.1016/S0196-8904(00)00042-X" </w:instrText>
      </w:r>
      <w:r>
        <w:fldChar w:fldCharType="separate"/>
      </w:r>
      <w:r>
        <w:rPr>
          <w:rStyle w:val="12"/>
          <w:rFonts w:ascii="Times New Roman" w:hAnsi="Times New Roman" w:cs="Times New Roman"/>
          <w:sz w:val="24"/>
        </w:rPr>
        <w:t>https://doi.org/10.1016/S0196-8904(00)00042-X</w:t>
      </w:r>
      <w:r>
        <w:rPr>
          <w:rStyle w:val="12"/>
          <w:rFonts w:ascii="Times New Roman" w:hAnsi="Times New Roman" w:cs="Times New Roman"/>
          <w:sz w:val="24"/>
        </w:rPr>
        <w:fldChar w:fldCharType="end"/>
      </w:r>
      <w:r>
        <w:rPr>
          <w:rFonts w:ascii="Times New Roman" w:hAnsi="Times New Roman" w:cs="Times New Roman"/>
          <w:sz w:val="24"/>
        </w:rPr>
        <w:t>.</w:t>
      </w:r>
    </w:p>
    <w:p w14:paraId="11A64E2E">
      <w:pPr>
        <w:pStyle w:val="14"/>
        <w:ind w:left="720" w:hanging="720"/>
        <w:rPr>
          <w:rFonts w:ascii="Times New Roman" w:hAnsi="Times New Roman" w:cs="Times New Roman"/>
          <w:sz w:val="24"/>
        </w:rPr>
      </w:pPr>
      <w:r>
        <w:rPr>
          <w:rFonts w:ascii="Times New Roman" w:hAnsi="Times New Roman" w:cs="Times New Roman"/>
          <w:sz w:val="24"/>
        </w:rPr>
        <w:t>[4]</w:t>
      </w:r>
      <w:r>
        <w:rPr>
          <w:rFonts w:ascii="Times New Roman" w:hAnsi="Times New Roman" w:cs="Times New Roman"/>
          <w:sz w:val="24"/>
        </w:rPr>
        <w:tab/>
      </w:r>
      <w:r>
        <w:rPr>
          <w:rFonts w:ascii="Times New Roman" w:hAnsi="Times New Roman" w:cs="Times New Roman"/>
          <w:sz w:val="24"/>
        </w:rPr>
        <w:t xml:space="preserve">M. G. Emmel, M. O. Abadie, and N. Mendes, "New external convective heat transfer coefficient correlations for isolated low-rise buildings," </w:t>
      </w:r>
      <w:r>
        <w:rPr>
          <w:rFonts w:ascii="Times New Roman" w:hAnsi="Times New Roman" w:cs="Times New Roman"/>
          <w:i/>
          <w:sz w:val="24"/>
        </w:rPr>
        <w:t xml:space="preserve">Energy and Buildings, </w:t>
      </w:r>
      <w:r>
        <w:rPr>
          <w:rFonts w:ascii="Times New Roman" w:hAnsi="Times New Roman" w:cs="Times New Roman"/>
          <w:sz w:val="24"/>
        </w:rPr>
        <w:t xml:space="preserve">vol. 39, no. 3, pp. 335-342, 2007/03/01/ 2007, doi: </w:t>
      </w:r>
      <w:r>
        <w:fldChar w:fldCharType="begin"/>
      </w:r>
      <w:r>
        <w:instrText xml:space="preserve"> HYPERLINK "https://doi.org/10.1016/j.enbuild.2006.08.001" </w:instrText>
      </w:r>
      <w:r>
        <w:fldChar w:fldCharType="separate"/>
      </w:r>
      <w:r>
        <w:rPr>
          <w:rStyle w:val="12"/>
          <w:rFonts w:ascii="Times New Roman" w:hAnsi="Times New Roman" w:cs="Times New Roman"/>
          <w:sz w:val="24"/>
        </w:rPr>
        <w:t>https://doi.org/10.1016/j.enbuild.2006.08.001</w:t>
      </w:r>
      <w:r>
        <w:rPr>
          <w:rStyle w:val="12"/>
          <w:rFonts w:ascii="Times New Roman" w:hAnsi="Times New Roman" w:cs="Times New Roman"/>
          <w:sz w:val="24"/>
        </w:rPr>
        <w:fldChar w:fldCharType="end"/>
      </w:r>
      <w:r>
        <w:rPr>
          <w:rFonts w:ascii="Times New Roman" w:hAnsi="Times New Roman" w:cs="Times New Roman"/>
          <w:sz w:val="24"/>
        </w:rPr>
        <w:t>.</w:t>
      </w:r>
    </w:p>
    <w:p w14:paraId="2870A0CB">
      <w:pPr>
        <w:pStyle w:val="14"/>
        <w:ind w:left="720" w:hanging="720"/>
        <w:rPr>
          <w:rFonts w:ascii="Times New Roman" w:hAnsi="Times New Roman" w:cs="Times New Roman"/>
          <w:sz w:val="24"/>
        </w:rPr>
      </w:pPr>
      <w:r>
        <w:rPr>
          <w:rFonts w:ascii="Times New Roman" w:hAnsi="Times New Roman" w:cs="Times New Roman"/>
          <w:sz w:val="24"/>
        </w:rPr>
        <w:t>[5]</w:t>
      </w:r>
      <w:r>
        <w:rPr>
          <w:rFonts w:ascii="Times New Roman" w:hAnsi="Times New Roman" w:cs="Times New Roman"/>
          <w:sz w:val="24"/>
        </w:rPr>
        <w:tab/>
      </w:r>
      <w:r>
        <w:rPr>
          <w:rFonts w:ascii="Times New Roman" w:hAnsi="Times New Roman" w:cs="Times New Roman"/>
          <w:sz w:val="24"/>
        </w:rPr>
        <w:t xml:space="preserve">A. Aili, X. Yin, and R. Yang, "Global radiative sky cooling potential adjusted for population density and cooling demand," </w:t>
      </w:r>
      <w:r>
        <w:rPr>
          <w:rFonts w:ascii="Times New Roman" w:hAnsi="Times New Roman" w:cs="Times New Roman"/>
          <w:i/>
          <w:sz w:val="24"/>
        </w:rPr>
        <w:t xml:space="preserve">Atmosphere, </w:t>
      </w:r>
      <w:r>
        <w:rPr>
          <w:rFonts w:ascii="Times New Roman" w:hAnsi="Times New Roman" w:cs="Times New Roman"/>
          <w:sz w:val="24"/>
        </w:rPr>
        <w:t>vol. 12, no. 11, p. 1379, 2021.</w:t>
      </w:r>
    </w:p>
    <w:p w14:paraId="39D7B8A5">
      <w:pPr>
        <w:pStyle w:val="14"/>
        <w:ind w:left="720" w:hanging="720"/>
        <w:rPr>
          <w:rFonts w:ascii="Times New Roman" w:hAnsi="Times New Roman" w:cs="Times New Roman"/>
          <w:sz w:val="24"/>
        </w:rPr>
      </w:pPr>
      <w:r>
        <w:rPr>
          <w:rFonts w:ascii="Times New Roman" w:hAnsi="Times New Roman" w:cs="Times New Roman"/>
          <w:sz w:val="24"/>
        </w:rPr>
        <w:t>[6]</w:t>
      </w:r>
      <w:r>
        <w:rPr>
          <w:rFonts w:ascii="Times New Roman" w:hAnsi="Times New Roman" w:cs="Times New Roman"/>
          <w:sz w:val="24"/>
        </w:rPr>
        <w:tab/>
      </w:r>
      <w:r>
        <w:rPr>
          <w:rFonts w:ascii="Times New Roman" w:hAnsi="Times New Roman" w:cs="Times New Roman"/>
          <w:sz w:val="24"/>
        </w:rPr>
        <w:t xml:space="preserve">Y. Zhu, H. Qian, R. Yang, and D. Zhao, "Radiative sky cooling potential maps of China based on atmospheric spectral emissivity," </w:t>
      </w:r>
      <w:r>
        <w:rPr>
          <w:rFonts w:ascii="Times New Roman" w:hAnsi="Times New Roman" w:cs="Times New Roman"/>
          <w:i/>
          <w:sz w:val="24"/>
        </w:rPr>
        <w:t xml:space="preserve">Solar Energy, </w:t>
      </w:r>
      <w:r>
        <w:rPr>
          <w:rFonts w:ascii="Times New Roman" w:hAnsi="Times New Roman" w:cs="Times New Roman"/>
          <w:sz w:val="24"/>
        </w:rPr>
        <w:t xml:space="preserve">vol. 218, pp. 195-210, 2021/04/01/ 2021, doi: </w:t>
      </w:r>
      <w:r>
        <w:fldChar w:fldCharType="begin"/>
      </w:r>
      <w:r>
        <w:instrText xml:space="preserve"> HYPERLINK "https://doi.org/10.1016/j.solener.2021.02.050" </w:instrText>
      </w:r>
      <w:r>
        <w:fldChar w:fldCharType="separate"/>
      </w:r>
      <w:r>
        <w:rPr>
          <w:rStyle w:val="12"/>
          <w:rFonts w:ascii="Times New Roman" w:hAnsi="Times New Roman" w:cs="Times New Roman"/>
          <w:sz w:val="24"/>
        </w:rPr>
        <w:t>https://doi.org/10.1016/j.solener.2021.02.050</w:t>
      </w:r>
      <w:r>
        <w:rPr>
          <w:rStyle w:val="12"/>
          <w:rFonts w:ascii="Times New Roman" w:hAnsi="Times New Roman" w:cs="Times New Roman"/>
          <w:sz w:val="24"/>
        </w:rPr>
        <w:fldChar w:fldCharType="end"/>
      </w:r>
      <w:r>
        <w:rPr>
          <w:rFonts w:ascii="Times New Roman" w:hAnsi="Times New Roman" w:cs="Times New Roman"/>
          <w:sz w:val="24"/>
        </w:rPr>
        <w:t>.</w:t>
      </w:r>
    </w:p>
    <w:p w14:paraId="1DDA383D">
      <w:pPr>
        <w:pStyle w:val="14"/>
        <w:ind w:left="720" w:hanging="720"/>
        <w:rPr>
          <w:rFonts w:ascii="Times New Roman" w:hAnsi="Times New Roman" w:cs="Times New Roman"/>
          <w:sz w:val="24"/>
        </w:rPr>
      </w:pPr>
      <w:r>
        <w:rPr>
          <w:rFonts w:ascii="Times New Roman" w:hAnsi="Times New Roman" w:cs="Times New Roman"/>
          <w:sz w:val="24"/>
        </w:rPr>
        <w:t>[7]</w:t>
      </w:r>
      <w:r>
        <w:rPr>
          <w:rFonts w:ascii="Times New Roman" w:hAnsi="Times New Roman" w:cs="Times New Roman"/>
          <w:sz w:val="24"/>
        </w:rPr>
        <w:tab/>
      </w:r>
      <w:r>
        <w:rPr>
          <w:rFonts w:ascii="Times New Roman" w:hAnsi="Times New Roman" w:cs="Times New Roman"/>
          <w:sz w:val="24"/>
        </w:rPr>
        <w:t xml:space="preserve">B. Sun, L. Lu, J. Chen, T. Ma, and Y. Yuan, "Full-spectrum radiative cooling for enhanced thermal and electrical performance of bifacial solar photovoltaic modules: A nationwide quantitative analysis," </w:t>
      </w:r>
      <w:r>
        <w:rPr>
          <w:rFonts w:ascii="Times New Roman" w:hAnsi="Times New Roman" w:cs="Times New Roman"/>
          <w:i/>
          <w:sz w:val="24"/>
        </w:rPr>
        <w:t xml:space="preserve">Applied Energy, </w:t>
      </w:r>
      <w:r>
        <w:rPr>
          <w:rFonts w:ascii="Times New Roman" w:hAnsi="Times New Roman" w:cs="Times New Roman"/>
          <w:sz w:val="24"/>
        </w:rPr>
        <w:t xml:space="preserve">vol. 362, p. 123037, 2024/05/15/ 2024, doi: </w:t>
      </w:r>
      <w:r>
        <w:fldChar w:fldCharType="begin"/>
      </w:r>
      <w:r>
        <w:instrText xml:space="preserve"> HYPERLINK "https://doi.org/10.1016/j.apenergy.2024.123037" </w:instrText>
      </w:r>
      <w:r>
        <w:fldChar w:fldCharType="separate"/>
      </w:r>
      <w:r>
        <w:rPr>
          <w:rStyle w:val="12"/>
          <w:rFonts w:ascii="Times New Roman" w:hAnsi="Times New Roman" w:cs="Times New Roman"/>
          <w:sz w:val="24"/>
        </w:rPr>
        <w:t>https://doi.org/10.1016/j.apenergy.2024.123037</w:t>
      </w:r>
      <w:r>
        <w:rPr>
          <w:rStyle w:val="12"/>
          <w:rFonts w:ascii="Times New Roman" w:hAnsi="Times New Roman" w:cs="Times New Roman"/>
          <w:sz w:val="24"/>
        </w:rPr>
        <w:fldChar w:fldCharType="end"/>
      </w:r>
      <w:r>
        <w:rPr>
          <w:rFonts w:ascii="Times New Roman" w:hAnsi="Times New Roman" w:cs="Times New Roman"/>
          <w:sz w:val="24"/>
        </w:rPr>
        <w:t>.</w:t>
      </w:r>
    </w:p>
    <w:p w14:paraId="311EF1ED">
      <w:pPr>
        <w:pStyle w:val="14"/>
        <w:ind w:left="720" w:hanging="720"/>
        <w:rPr>
          <w:rFonts w:ascii="Times New Roman" w:hAnsi="Times New Roman" w:cs="Times New Roman"/>
          <w:sz w:val="24"/>
        </w:rPr>
      </w:pPr>
      <w:r>
        <w:rPr>
          <w:rFonts w:ascii="Times New Roman" w:hAnsi="Times New Roman" w:cs="Times New Roman"/>
          <w:sz w:val="24"/>
        </w:rPr>
        <w:t>[8]</w:t>
      </w:r>
      <w:r>
        <w:rPr>
          <w:rFonts w:ascii="Times New Roman" w:hAnsi="Times New Roman" w:cs="Times New Roman"/>
          <w:sz w:val="24"/>
        </w:rPr>
        <w:tab/>
      </w:r>
      <w:r>
        <w:rPr>
          <w:rFonts w:ascii="Times New Roman" w:hAnsi="Times New Roman" w:cs="Times New Roman"/>
          <w:sz w:val="24"/>
        </w:rPr>
        <w:t xml:space="preserve">J. Yang and J. Qiu, "A Method for Estimating Precipitable Water and Effective Water Vapor Content from Ground Humidity Parameters," </w:t>
      </w:r>
      <w:r>
        <w:rPr>
          <w:rFonts w:ascii="Times New Roman" w:hAnsi="Times New Roman" w:cs="Times New Roman"/>
          <w:i/>
          <w:sz w:val="24"/>
        </w:rPr>
        <w:t xml:space="preserve">Chinese Journal of Atmospheric Sciences, </w:t>
      </w:r>
      <w:r>
        <w:rPr>
          <w:rFonts w:ascii="Times New Roman" w:hAnsi="Times New Roman" w:cs="Times New Roman"/>
          <w:sz w:val="24"/>
        </w:rPr>
        <w:t>vol. 26, no. 1, pp. 9-22, 2002, doi: 10.3878/j.issn.1006-9895.2002.01.02.</w:t>
      </w:r>
    </w:p>
    <w:p w14:paraId="700C557C">
      <w:pPr>
        <w:pStyle w:val="14"/>
        <w:ind w:left="720" w:hanging="720"/>
        <w:rPr>
          <w:rFonts w:ascii="Times New Roman" w:hAnsi="Times New Roman" w:cs="Times New Roman"/>
          <w:sz w:val="24"/>
        </w:rPr>
      </w:pPr>
      <w:r>
        <w:rPr>
          <w:rFonts w:ascii="Times New Roman" w:hAnsi="Times New Roman" w:cs="Times New Roman"/>
          <w:sz w:val="24"/>
        </w:rPr>
        <w:t>[9]</w:t>
      </w:r>
      <w:r>
        <w:rPr>
          <w:rFonts w:ascii="Times New Roman" w:hAnsi="Times New Roman" w:cs="Times New Roman"/>
          <w:sz w:val="24"/>
        </w:rPr>
        <w:tab/>
      </w:r>
      <w:r>
        <w:rPr>
          <w:rFonts w:ascii="Times New Roman" w:hAnsi="Times New Roman" w:cs="Times New Roman"/>
          <w:sz w:val="24"/>
        </w:rPr>
        <w:t xml:space="preserve">J. Pu, M. Han, L. Lu, C. Shen, and F. Wang, "Spectrally selective design and energy-saving demonstration of a novel liquid-filled window in hot and humid region," </w:t>
      </w:r>
      <w:r>
        <w:rPr>
          <w:rFonts w:ascii="Times New Roman" w:hAnsi="Times New Roman" w:cs="Times New Roman"/>
          <w:i/>
          <w:sz w:val="24"/>
        </w:rPr>
        <w:t xml:space="preserve">Energy, </w:t>
      </w:r>
      <w:r>
        <w:rPr>
          <w:rFonts w:ascii="Times New Roman" w:hAnsi="Times New Roman" w:cs="Times New Roman"/>
          <w:sz w:val="24"/>
        </w:rPr>
        <w:t xml:space="preserve">vol. 297, p. 131090, 2024/06/15/ 2024, doi: </w:t>
      </w:r>
      <w:r>
        <w:fldChar w:fldCharType="begin"/>
      </w:r>
      <w:r>
        <w:instrText xml:space="preserve"> HYPERLINK "https://doi.org/10.1016/j.energy.2024.131090" </w:instrText>
      </w:r>
      <w:r>
        <w:fldChar w:fldCharType="separate"/>
      </w:r>
      <w:r>
        <w:rPr>
          <w:rStyle w:val="12"/>
          <w:rFonts w:ascii="Times New Roman" w:hAnsi="Times New Roman" w:cs="Times New Roman"/>
          <w:sz w:val="24"/>
        </w:rPr>
        <w:t>https://doi.org/10.1016/j.energy.2024.131090</w:t>
      </w:r>
      <w:r>
        <w:rPr>
          <w:rStyle w:val="12"/>
          <w:rFonts w:ascii="Times New Roman" w:hAnsi="Times New Roman" w:cs="Times New Roman"/>
          <w:sz w:val="24"/>
        </w:rPr>
        <w:fldChar w:fldCharType="end"/>
      </w:r>
      <w:r>
        <w:rPr>
          <w:rFonts w:ascii="Times New Roman" w:hAnsi="Times New Roman" w:cs="Times New Roman"/>
          <w:sz w:val="24"/>
        </w:rPr>
        <w:t>.</w:t>
      </w:r>
    </w:p>
    <w:p w14:paraId="7DE752DC">
      <w:pPr>
        <w:pStyle w:val="14"/>
        <w:ind w:left="720" w:hanging="720"/>
        <w:rPr>
          <w:rFonts w:ascii="Times New Roman" w:hAnsi="Times New Roman" w:cs="Times New Roman"/>
          <w:sz w:val="24"/>
        </w:rPr>
      </w:pPr>
      <w:r>
        <w:rPr>
          <w:rFonts w:ascii="Times New Roman" w:hAnsi="Times New Roman" w:cs="Times New Roman"/>
          <w:sz w:val="24"/>
        </w:rPr>
        <w:t>[10]</w:t>
      </w:r>
      <w:r>
        <w:rPr>
          <w:rFonts w:ascii="Times New Roman" w:hAnsi="Times New Roman" w:cs="Times New Roman"/>
          <w:sz w:val="24"/>
        </w:rPr>
        <w:tab/>
      </w:r>
      <w:r>
        <w:rPr>
          <w:rFonts w:ascii="Times New Roman" w:hAnsi="Times New Roman" w:cs="Times New Roman"/>
          <w:sz w:val="24"/>
        </w:rPr>
        <w:t xml:space="preserve">J. Pu, C. Shen, and L. Lu, "Investigating the annual energy-saving and energy-output behaviors of a novel liquid-flow window with spectral regulation of ATO nanofluids," </w:t>
      </w:r>
      <w:r>
        <w:rPr>
          <w:rFonts w:ascii="Times New Roman" w:hAnsi="Times New Roman" w:cs="Times New Roman"/>
          <w:i/>
          <w:sz w:val="24"/>
        </w:rPr>
        <w:t xml:space="preserve">Energy, </w:t>
      </w:r>
      <w:r>
        <w:rPr>
          <w:rFonts w:ascii="Times New Roman" w:hAnsi="Times New Roman" w:cs="Times New Roman"/>
          <w:sz w:val="24"/>
        </w:rPr>
        <w:t xml:space="preserve">vol. 283, p. 129111, 2023/11/15/ 2023, doi: </w:t>
      </w:r>
      <w:r>
        <w:fldChar w:fldCharType="begin"/>
      </w:r>
      <w:r>
        <w:instrText xml:space="preserve"> HYPERLINK "https://doi.org/10.1016/j.energy.2023.129111" </w:instrText>
      </w:r>
      <w:r>
        <w:fldChar w:fldCharType="separate"/>
      </w:r>
      <w:r>
        <w:rPr>
          <w:rStyle w:val="12"/>
          <w:rFonts w:ascii="Times New Roman" w:hAnsi="Times New Roman" w:cs="Times New Roman"/>
          <w:sz w:val="24"/>
        </w:rPr>
        <w:t>https://doi.org/10.1016/j.energy.2023.129111</w:t>
      </w:r>
      <w:r>
        <w:rPr>
          <w:rStyle w:val="12"/>
          <w:rFonts w:ascii="Times New Roman" w:hAnsi="Times New Roman" w:cs="Times New Roman"/>
          <w:sz w:val="24"/>
        </w:rPr>
        <w:fldChar w:fldCharType="end"/>
      </w:r>
      <w:r>
        <w:rPr>
          <w:rFonts w:ascii="Times New Roman" w:hAnsi="Times New Roman" w:cs="Times New Roman"/>
          <w:sz w:val="24"/>
        </w:rPr>
        <w:t>.</w:t>
      </w:r>
    </w:p>
    <w:p w14:paraId="757F97C1">
      <w:pPr>
        <w:pStyle w:val="14"/>
        <w:ind w:left="720" w:hanging="720"/>
        <w:rPr>
          <w:rFonts w:ascii="Times New Roman" w:hAnsi="Times New Roman" w:cs="Times New Roman"/>
          <w:sz w:val="24"/>
        </w:rPr>
      </w:pPr>
      <w:r>
        <w:rPr>
          <w:rFonts w:ascii="Times New Roman" w:hAnsi="Times New Roman" w:cs="Times New Roman"/>
          <w:sz w:val="24"/>
        </w:rPr>
        <w:t>[11]</w:t>
      </w:r>
      <w:r>
        <w:rPr>
          <w:rFonts w:ascii="Times New Roman" w:hAnsi="Times New Roman" w:cs="Times New Roman"/>
          <w:sz w:val="24"/>
        </w:rPr>
        <w:tab/>
      </w:r>
      <w:r>
        <w:rPr>
          <w:rFonts w:ascii="Times New Roman" w:hAnsi="Times New Roman" w:cs="Times New Roman"/>
          <w:sz w:val="24"/>
        </w:rPr>
        <w:t>S. Edition</w:t>
      </w:r>
      <w:r>
        <w:rPr>
          <w:rFonts w:ascii="Times New Roman" w:hAnsi="Times New Roman" w:cs="Times New Roman"/>
          <w:i/>
          <w:sz w:val="24"/>
        </w:rPr>
        <w:t xml:space="preserve"> et al.</w:t>
      </w:r>
      <w:r>
        <w:rPr>
          <w:rFonts w:ascii="Times New Roman" w:hAnsi="Times New Roman" w:cs="Times New Roman"/>
          <w:sz w:val="24"/>
        </w:rPr>
        <w:t xml:space="preserve">, "Energy standard for buildings except low-rise residential buildings," </w:t>
      </w:r>
      <w:r>
        <w:rPr>
          <w:rFonts w:ascii="Times New Roman" w:hAnsi="Times New Roman" w:cs="Times New Roman"/>
          <w:i/>
          <w:sz w:val="24"/>
        </w:rPr>
        <w:t xml:space="preserve">ASHRAE, Atlanta, GA, USA, Tech. Rep. IP Edition, </w:t>
      </w:r>
      <w:r>
        <w:rPr>
          <w:rFonts w:ascii="Times New Roman" w:hAnsi="Times New Roman" w:cs="Times New Roman"/>
          <w:sz w:val="24"/>
        </w:rPr>
        <w:t>2010.</w:t>
      </w:r>
    </w:p>
    <w:p w14:paraId="58244F5B">
      <w:pPr>
        <w:pStyle w:val="14"/>
        <w:ind w:left="720" w:hanging="720"/>
        <w:rPr>
          <w:rFonts w:ascii="Times New Roman" w:hAnsi="Times New Roman" w:cs="Times New Roman"/>
          <w:sz w:val="24"/>
        </w:rPr>
      </w:pPr>
      <w:r>
        <w:rPr>
          <w:rFonts w:ascii="Times New Roman" w:hAnsi="Times New Roman" w:cs="Times New Roman"/>
          <w:sz w:val="24"/>
        </w:rPr>
        <w:t>[12]</w:t>
      </w:r>
      <w:r>
        <w:rPr>
          <w:rFonts w:ascii="Times New Roman" w:hAnsi="Times New Roman" w:cs="Times New Roman"/>
          <w:sz w:val="24"/>
        </w:rPr>
        <w:tab/>
      </w:r>
      <w:r>
        <w:rPr>
          <w:rFonts w:ascii="Times New Roman" w:hAnsi="Times New Roman" w:cs="Times New Roman"/>
          <w:sz w:val="24"/>
        </w:rPr>
        <w:t xml:space="preserve">S. Wang, T. Jiang, Y. Meng, R. Yang, G. Tan, and Y. Long, "Scalable thermochromic smart windows with passive radiative cooling regulation," </w:t>
      </w:r>
      <w:r>
        <w:rPr>
          <w:rFonts w:ascii="Times New Roman" w:hAnsi="Times New Roman" w:cs="Times New Roman"/>
          <w:i/>
          <w:sz w:val="24"/>
        </w:rPr>
        <w:t xml:space="preserve">Science, </w:t>
      </w:r>
      <w:r>
        <w:rPr>
          <w:rFonts w:ascii="Times New Roman" w:hAnsi="Times New Roman" w:cs="Times New Roman"/>
          <w:sz w:val="24"/>
        </w:rPr>
        <w:t>vol. 374, no. 6574, pp. 1501-1504, 2021/12/17 2021, doi: 10.1126/science.abg0291.</w:t>
      </w:r>
    </w:p>
    <w:p w14:paraId="63540AC1">
      <w:pPr>
        <w:pStyle w:val="14"/>
        <w:ind w:left="720" w:hanging="720"/>
        <w:rPr>
          <w:rFonts w:ascii="Times New Roman" w:hAnsi="Times New Roman" w:cs="Times New Roman"/>
          <w:sz w:val="24"/>
        </w:rPr>
      </w:pPr>
      <w:r>
        <w:rPr>
          <w:rFonts w:ascii="Times New Roman" w:hAnsi="Times New Roman" w:cs="Times New Roman"/>
          <w:sz w:val="24"/>
        </w:rPr>
        <w:t>[13]</w:t>
      </w:r>
      <w:r>
        <w:rPr>
          <w:rFonts w:ascii="Times New Roman" w:hAnsi="Times New Roman" w:cs="Times New Roman"/>
          <w:sz w:val="24"/>
        </w:rPr>
        <w:tab/>
      </w:r>
      <w:r>
        <w:rPr>
          <w:rFonts w:ascii="Times New Roman" w:hAnsi="Times New Roman" w:cs="Times New Roman"/>
          <w:sz w:val="24"/>
        </w:rPr>
        <w:t>Z. Wang</w:t>
      </w:r>
      <w:r>
        <w:rPr>
          <w:rFonts w:ascii="Times New Roman" w:hAnsi="Times New Roman" w:cs="Times New Roman"/>
          <w:i/>
          <w:sz w:val="24"/>
        </w:rPr>
        <w:t xml:space="preserve"> et al.</w:t>
      </w:r>
      <w:r>
        <w:rPr>
          <w:rFonts w:ascii="Times New Roman" w:hAnsi="Times New Roman" w:cs="Times New Roman"/>
          <w:sz w:val="24"/>
        </w:rPr>
        <w:t xml:space="preserve">, "Temperature-adaptive smart windows with passive transmittance and radiative cooling regulation," </w:t>
      </w:r>
      <w:r>
        <w:rPr>
          <w:rFonts w:ascii="Times New Roman" w:hAnsi="Times New Roman" w:cs="Times New Roman"/>
          <w:i/>
          <w:sz w:val="24"/>
        </w:rPr>
        <w:t xml:space="preserve">Applied Energy, </w:t>
      </w:r>
      <w:r>
        <w:rPr>
          <w:rFonts w:ascii="Times New Roman" w:hAnsi="Times New Roman" w:cs="Times New Roman"/>
          <w:sz w:val="24"/>
        </w:rPr>
        <w:t xml:space="preserve">vol. 369, p. 123619, 2024/09/01/ 2024, doi: </w:t>
      </w:r>
      <w:r>
        <w:fldChar w:fldCharType="begin"/>
      </w:r>
      <w:r>
        <w:instrText xml:space="preserve"> HYPERLINK "https://doi.org/10.1016/j.apenergy.2024.123619" </w:instrText>
      </w:r>
      <w:r>
        <w:fldChar w:fldCharType="separate"/>
      </w:r>
      <w:r>
        <w:rPr>
          <w:rStyle w:val="12"/>
          <w:rFonts w:ascii="Times New Roman" w:hAnsi="Times New Roman" w:cs="Times New Roman"/>
          <w:sz w:val="24"/>
        </w:rPr>
        <w:t>https://doi.org/10.1016/j.apenergy.2024.123619</w:t>
      </w:r>
      <w:r>
        <w:rPr>
          <w:rStyle w:val="12"/>
          <w:rFonts w:ascii="Times New Roman" w:hAnsi="Times New Roman" w:cs="Times New Roman"/>
          <w:sz w:val="24"/>
        </w:rPr>
        <w:fldChar w:fldCharType="end"/>
      </w:r>
      <w:r>
        <w:rPr>
          <w:rFonts w:ascii="Times New Roman" w:hAnsi="Times New Roman" w:cs="Times New Roman"/>
          <w:sz w:val="24"/>
        </w:rPr>
        <w:t>.</w:t>
      </w:r>
    </w:p>
    <w:p w14:paraId="0793BCFB">
      <w:pPr>
        <w:pStyle w:val="14"/>
        <w:ind w:left="720" w:hanging="720"/>
        <w:rPr>
          <w:rFonts w:ascii="Times New Roman" w:hAnsi="Times New Roman" w:cs="Times New Roman"/>
          <w:sz w:val="24"/>
        </w:rPr>
      </w:pPr>
      <w:r>
        <w:rPr>
          <w:rFonts w:ascii="Times New Roman" w:hAnsi="Times New Roman" w:cs="Times New Roman"/>
          <w:sz w:val="24"/>
        </w:rPr>
        <w:t>[14]</w:t>
      </w:r>
      <w:r>
        <w:rPr>
          <w:rFonts w:ascii="Times New Roman" w:hAnsi="Times New Roman" w:cs="Times New Roman"/>
          <w:sz w:val="24"/>
        </w:rPr>
        <w:tab/>
      </w:r>
      <w:r>
        <w:rPr>
          <w:rFonts w:ascii="Times New Roman" w:hAnsi="Times New Roman" w:cs="Times New Roman"/>
          <w:sz w:val="24"/>
        </w:rPr>
        <w:t>J. Keum</w:t>
      </w:r>
      <w:r>
        <w:rPr>
          <w:rFonts w:ascii="Times New Roman" w:hAnsi="Times New Roman" w:cs="Times New Roman"/>
          <w:i/>
          <w:sz w:val="24"/>
        </w:rPr>
        <w:t xml:space="preserve"> et al.</w:t>
      </w:r>
      <w:r>
        <w:rPr>
          <w:rFonts w:ascii="Times New Roman" w:hAnsi="Times New Roman" w:cs="Times New Roman"/>
          <w:sz w:val="24"/>
        </w:rPr>
        <w:t xml:space="preserve">, "Innovative dual-band energy-efficient smart windows using VO2(M)-Based Fabry-Pérot structures for solar and radiative cooling modulation," </w:t>
      </w:r>
      <w:r>
        <w:rPr>
          <w:rFonts w:ascii="Times New Roman" w:hAnsi="Times New Roman" w:cs="Times New Roman"/>
          <w:i/>
          <w:sz w:val="24"/>
        </w:rPr>
        <w:t xml:space="preserve">Materials Today Physics, </w:t>
      </w:r>
      <w:r>
        <w:rPr>
          <w:rFonts w:ascii="Times New Roman" w:hAnsi="Times New Roman" w:cs="Times New Roman"/>
          <w:sz w:val="24"/>
        </w:rPr>
        <w:t xml:space="preserve">vol. 52, p. 101665, 2025/03/01/ 2025, doi: </w:t>
      </w:r>
      <w:r>
        <w:fldChar w:fldCharType="begin"/>
      </w:r>
      <w:r>
        <w:instrText xml:space="preserve"> HYPERLINK "https://doi.org/10.1016/j.mtphys.2025.101665" </w:instrText>
      </w:r>
      <w:r>
        <w:fldChar w:fldCharType="separate"/>
      </w:r>
      <w:r>
        <w:rPr>
          <w:rStyle w:val="12"/>
          <w:rFonts w:ascii="Times New Roman" w:hAnsi="Times New Roman" w:cs="Times New Roman"/>
          <w:sz w:val="24"/>
        </w:rPr>
        <w:t>https://doi.org/10.1016/j.mtphys.2025.101665</w:t>
      </w:r>
      <w:r>
        <w:rPr>
          <w:rStyle w:val="12"/>
          <w:rFonts w:ascii="Times New Roman" w:hAnsi="Times New Roman" w:cs="Times New Roman"/>
          <w:sz w:val="24"/>
        </w:rPr>
        <w:fldChar w:fldCharType="end"/>
      </w:r>
      <w:r>
        <w:rPr>
          <w:rFonts w:ascii="Times New Roman" w:hAnsi="Times New Roman" w:cs="Times New Roman"/>
          <w:sz w:val="24"/>
        </w:rPr>
        <w:t>.</w:t>
      </w:r>
    </w:p>
    <w:p w14:paraId="14D70B7A">
      <w:pPr>
        <w:pStyle w:val="14"/>
        <w:ind w:left="720" w:hanging="720"/>
        <w:rPr>
          <w:rFonts w:ascii="Times New Roman" w:hAnsi="Times New Roman" w:cs="Times New Roman"/>
          <w:sz w:val="24"/>
        </w:rPr>
      </w:pPr>
      <w:r>
        <w:rPr>
          <w:rFonts w:ascii="Times New Roman" w:hAnsi="Times New Roman" w:cs="Times New Roman"/>
          <w:sz w:val="24"/>
        </w:rPr>
        <w:t>[15]</w:t>
      </w:r>
      <w:r>
        <w:rPr>
          <w:rFonts w:ascii="Times New Roman" w:hAnsi="Times New Roman" w:cs="Times New Roman"/>
          <w:sz w:val="24"/>
        </w:rPr>
        <w:tab/>
      </w:r>
      <w:r>
        <w:rPr>
          <w:rFonts w:ascii="Times New Roman" w:hAnsi="Times New Roman" w:cs="Times New Roman"/>
          <w:sz w:val="24"/>
        </w:rPr>
        <w:t>H. Zhang</w:t>
      </w:r>
      <w:r>
        <w:rPr>
          <w:rFonts w:ascii="Times New Roman" w:hAnsi="Times New Roman" w:cs="Times New Roman"/>
          <w:i/>
          <w:sz w:val="24"/>
        </w:rPr>
        <w:t xml:space="preserve"> et al.</w:t>
      </w:r>
      <w:r>
        <w:rPr>
          <w:rFonts w:ascii="Times New Roman" w:hAnsi="Times New Roman" w:cs="Times New Roman"/>
          <w:sz w:val="24"/>
        </w:rPr>
        <w:t xml:space="preserve">, "All-Solid-State Transparent Variable Infrared Emissivity Devices for Multi-Mode Smart Windows," </w:t>
      </w:r>
      <w:r>
        <w:rPr>
          <w:rFonts w:ascii="Times New Roman" w:hAnsi="Times New Roman" w:cs="Times New Roman"/>
          <w:i/>
          <w:sz w:val="24"/>
        </w:rPr>
        <w:t xml:space="preserve">Advanced Functional Materials, </w:t>
      </w:r>
      <w:r>
        <w:rPr>
          <w:rFonts w:ascii="Times New Roman" w:hAnsi="Times New Roman" w:cs="Times New Roman"/>
          <w:sz w:val="24"/>
        </w:rPr>
        <w:t xml:space="preserve">vol. 34, no. 16, p. 2307356, 2024/04/01 2024, doi: </w:t>
      </w:r>
      <w:r>
        <w:fldChar w:fldCharType="begin"/>
      </w:r>
      <w:r>
        <w:instrText xml:space="preserve"> HYPERLINK "https://doi.org/10.1002/adfm.202307356" </w:instrText>
      </w:r>
      <w:r>
        <w:fldChar w:fldCharType="separate"/>
      </w:r>
      <w:r>
        <w:rPr>
          <w:rStyle w:val="12"/>
          <w:rFonts w:ascii="Times New Roman" w:hAnsi="Times New Roman" w:cs="Times New Roman"/>
          <w:sz w:val="24"/>
        </w:rPr>
        <w:t>https://doi.org/10.1002/adfm.202307356</w:t>
      </w:r>
      <w:r>
        <w:rPr>
          <w:rStyle w:val="12"/>
          <w:rFonts w:ascii="Times New Roman" w:hAnsi="Times New Roman" w:cs="Times New Roman"/>
          <w:sz w:val="24"/>
        </w:rPr>
        <w:fldChar w:fldCharType="end"/>
      </w:r>
      <w:r>
        <w:rPr>
          <w:rFonts w:ascii="Times New Roman" w:hAnsi="Times New Roman" w:cs="Times New Roman"/>
          <w:sz w:val="24"/>
        </w:rPr>
        <w:t>.</w:t>
      </w:r>
    </w:p>
    <w:p w14:paraId="56B5F694">
      <w:pPr>
        <w:pStyle w:val="14"/>
        <w:ind w:left="720" w:hanging="720"/>
        <w:rPr>
          <w:rFonts w:ascii="Times New Roman" w:hAnsi="Times New Roman" w:cs="Times New Roman"/>
          <w:sz w:val="24"/>
        </w:rPr>
      </w:pPr>
      <w:r>
        <w:rPr>
          <w:rFonts w:ascii="Times New Roman" w:hAnsi="Times New Roman" w:cs="Times New Roman"/>
          <w:sz w:val="24"/>
        </w:rPr>
        <w:t>[16]</w:t>
      </w:r>
      <w:r>
        <w:rPr>
          <w:rFonts w:ascii="Times New Roman" w:hAnsi="Times New Roman" w:cs="Times New Roman"/>
          <w:sz w:val="24"/>
        </w:rPr>
        <w:tab/>
      </w:r>
      <w:r>
        <w:rPr>
          <w:rFonts w:ascii="Times New Roman" w:hAnsi="Times New Roman" w:cs="Times New Roman"/>
          <w:sz w:val="24"/>
        </w:rPr>
        <w:t>Y. Jia</w:t>
      </w:r>
      <w:r>
        <w:rPr>
          <w:rFonts w:ascii="Times New Roman" w:hAnsi="Times New Roman" w:cs="Times New Roman"/>
          <w:i/>
          <w:sz w:val="24"/>
        </w:rPr>
        <w:t xml:space="preserve"> et al.</w:t>
      </w:r>
      <w:r>
        <w:rPr>
          <w:rFonts w:ascii="Times New Roman" w:hAnsi="Times New Roman" w:cs="Times New Roman"/>
          <w:sz w:val="24"/>
        </w:rPr>
        <w:t xml:space="preserve">, "Transparent dynamic infrared emissivity regulators," </w:t>
      </w:r>
      <w:r>
        <w:rPr>
          <w:rFonts w:ascii="Times New Roman" w:hAnsi="Times New Roman" w:cs="Times New Roman"/>
          <w:i/>
          <w:sz w:val="24"/>
        </w:rPr>
        <w:t xml:space="preserve">Nature Communications, </w:t>
      </w:r>
      <w:r>
        <w:rPr>
          <w:rFonts w:ascii="Times New Roman" w:hAnsi="Times New Roman" w:cs="Times New Roman"/>
          <w:sz w:val="24"/>
        </w:rPr>
        <w:t>vol. 14, no. 1, p. 5087, 2023/08/22 2023, doi: 10.1038/s41467-023-40902-w.</w:t>
      </w:r>
    </w:p>
    <w:p w14:paraId="24F1F1F5">
      <w:pPr>
        <w:pStyle w:val="14"/>
        <w:ind w:left="720" w:hanging="720"/>
        <w:rPr>
          <w:rFonts w:ascii="Times New Roman" w:hAnsi="Times New Roman" w:cs="Times New Roman"/>
          <w:sz w:val="24"/>
        </w:rPr>
      </w:pPr>
      <w:r>
        <w:rPr>
          <w:rFonts w:ascii="Times New Roman" w:hAnsi="Times New Roman" w:cs="Times New Roman"/>
          <w:sz w:val="24"/>
        </w:rPr>
        <w:t>[17]</w:t>
      </w:r>
      <w:r>
        <w:rPr>
          <w:rFonts w:ascii="Times New Roman" w:hAnsi="Times New Roman" w:cs="Times New Roman"/>
          <w:sz w:val="24"/>
        </w:rPr>
        <w:tab/>
      </w:r>
      <w:r>
        <w:rPr>
          <w:rFonts w:ascii="Times New Roman" w:hAnsi="Times New Roman" w:cs="Times New Roman"/>
          <w:sz w:val="24"/>
        </w:rPr>
        <w:t>Y. Huang</w:t>
      </w:r>
      <w:r>
        <w:rPr>
          <w:rFonts w:ascii="Times New Roman" w:hAnsi="Times New Roman" w:cs="Times New Roman"/>
          <w:i/>
          <w:sz w:val="24"/>
        </w:rPr>
        <w:t xml:space="preserve"> et al.</w:t>
      </w:r>
      <w:r>
        <w:rPr>
          <w:rFonts w:ascii="Times New Roman" w:hAnsi="Times New Roman" w:cs="Times New Roman"/>
          <w:sz w:val="24"/>
        </w:rPr>
        <w:t xml:space="preserve">, "A novel liquid flow electrochromic smart window for all-year-round dynamic photothermal regulation," </w:t>
      </w:r>
      <w:r>
        <w:rPr>
          <w:rFonts w:ascii="Times New Roman" w:hAnsi="Times New Roman" w:cs="Times New Roman"/>
          <w:i/>
          <w:sz w:val="24"/>
        </w:rPr>
        <w:t xml:space="preserve">Energy &amp; Environmental Science, </w:t>
      </w:r>
      <w:r>
        <w:rPr>
          <w:rFonts w:ascii="Times New Roman" w:hAnsi="Times New Roman" w:cs="Times New Roman"/>
          <w:sz w:val="24"/>
        </w:rPr>
        <w:t>10.1039/D4EE05416D vol. 18, no. 4, pp. 1824-1834, 2025, doi: 10.1039/D4EE05416D.</w:t>
      </w:r>
    </w:p>
    <w:p w14:paraId="4ADFC7EC">
      <w:pPr>
        <w:pStyle w:val="14"/>
        <w:ind w:left="720" w:hanging="720"/>
        <w:rPr>
          <w:rFonts w:ascii="Times New Roman" w:hAnsi="Times New Roman" w:cs="Times New Roman"/>
          <w:sz w:val="24"/>
        </w:rPr>
      </w:pPr>
      <w:r>
        <w:rPr>
          <w:rFonts w:ascii="Times New Roman" w:hAnsi="Times New Roman" w:cs="Times New Roman"/>
          <w:sz w:val="24"/>
        </w:rPr>
        <w:t>[18]</w:t>
      </w:r>
      <w:r>
        <w:rPr>
          <w:rFonts w:ascii="Times New Roman" w:hAnsi="Times New Roman" w:cs="Times New Roman"/>
          <w:sz w:val="24"/>
        </w:rPr>
        <w:tab/>
      </w:r>
      <w:r>
        <w:rPr>
          <w:rFonts w:ascii="Times New Roman" w:hAnsi="Times New Roman" w:cs="Times New Roman"/>
          <w:sz w:val="24"/>
        </w:rPr>
        <w:t>K. Feng</w:t>
      </w:r>
      <w:r>
        <w:rPr>
          <w:rFonts w:ascii="Times New Roman" w:hAnsi="Times New Roman" w:cs="Times New Roman"/>
          <w:i/>
          <w:sz w:val="24"/>
        </w:rPr>
        <w:t xml:space="preserve"> et al.</w:t>
      </w:r>
      <w:r>
        <w:rPr>
          <w:rFonts w:ascii="Times New Roman" w:hAnsi="Times New Roman" w:cs="Times New Roman"/>
          <w:sz w:val="24"/>
        </w:rPr>
        <w:t xml:space="preserve">, "Electrically Controlled Smart Window for Seasonally Adaptive Thermal Management in Buildings," </w:t>
      </w:r>
      <w:r>
        <w:rPr>
          <w:rFonts w:ascii="Times New Roman" w:hAnsi="Times New Roman" w:cs="Times New Roman"/>
          <w:i/>
          <w:sz w:val="24"/>
        </w:rPr>
        <w:t xml:space="preserve">Small, </w:t>
      </w:r>
      <w:r>
        <w:rPr>
          <w:rFonts w:ascii="Times New Roman" w:hAnsi="Times New Roman" w:cs="Times New Roman"/>
          <w:sz w:val="24"/>
        </w:rPr>
        <w:t xml:space="preserve">vol. 21, no. 5, p. 2407033, 2025/02/01 2025, doi: </w:t>
      </w:r>
      <w:r>
        <w:fldChar w:fldCharType="begin"/>
      </w:r>
      <w:r>
        <w:instrText xml:space="preserve"> HYPERLINK "https://doi.org/10.1002/smll.202407033" </w:instrText>
      </w:r>
      <w:r>
        <w:fldChar w:fldCharType="separate"/>
      </w:r>
      <w:r>
        <w:rPr>
          <w:rStyle w:val="12"/>
          <w:rFonts w:ascii="Times New Roman" w:hAnsi="Times New Roman" w:cs="Times New Roman"/>
          <w:sz w:val="24"/>
        </w:rPr>
        <w:t>https://doi.org/10.1002/smll.202407033</w:t>
      </w:r>
      <w:r>
        <w:rPr>
          <w:rStyle w:val="12"/>
          <w:rFonts w:ascii="Times New Roman" w:hAnsi="Times New Roman" w:cs="Times New Roman"/>
          <w:sz w:val="24"/>
        </w:rPr>
        <w:fldChar w:fldCharType="end"/>
      </w:r>
      <w:r>
        <w:rPr>
          <w:rFonts w:ascii="Times New Roman" w:hAnsi="Times New Roman" w:cs="Times New Roman"/>
          <w:sz w:val="24"/>
        </w:rPr>
        <w:t>.</w:t>
      </w:r>
    </w:p>
    <w:p w14:paraId="0C054C29">
      <w:pPr>
        <w:pStyle w:val="14"/>
        <w:ind w:left="720" w:hanging="720"/>
        <w:rPr>
          <w:rFonts w:ascii="Times New Roman" w:hAnsi="Times New Roman" w:cs="Times New Roman"/>
          <w:sz w:val="24"/>
        </w:rPr>
      </w:pPr>
      <w:r>
        <w:rPr>
          <w:rFonts w:ascii="Times New Roman" w:hAnsi="Times New Roman" w:cs="Times New Roman"/>
          <w:sz w:val="24"/>
        </w:rPr>
        <w:t>[19]</w:t>
      </w:r>
      <w:r>
        <w:rPr>
          <w:rFonts w:ascii="Times New Roman" w:hAnsi="Times New Roman" w:cs="Times New Roman"/>
          <w:sz w:val="24"/>
        </w:rPr>
        <w:tab/>
      </w:r>
      <w:r>
        <w:rPr>
          <w:rFonts w:ascii="Times New Roman" w:hAnsi="Times New Roman" w:cs="Times New Roman"/>
          <w:sz w:val="24"/>
        </w:rPr>
        <w:t>Y. Ke</w:t>
      </w:r>
      <w:r>
        <w:rPr>
          <w:rFonts w:ascii="Times New Roman" w:hAnsi="Times New Roman" w:cs="Times New Roman"/>
          <w:i/>
          <w:sz w:val="24"/>
        </w:rPr>
        <w:t xml:space="preserve"> et al.</w:t>
      </w:r>
      <w:r>
        <w:rPr>
          <w:rFonts w:ascii="Times New Roman" w:hAnsi="Times New Roman" w:cs="Times New Roman"/>
          <w:sz w:val="24"/>
        </w:rPr>
        <w:t xml:space="preserve">, "On-Demand Solar and Thermal Radiation Management Based on Switchable Interwoven Surfaces," </w:t>
      </w:r>
      <w:r>
        <w:rPr>
          <w:rFonts w:ascii="Times New Roman" w:hAnsi="Times New Roman" w:cs="Times New Roman"/>
          <w:i/>
          <w:sz w:val="24"/>
        </w:rPr>
        <w:t xml:space="preserve">ACS Energy Letters, </w:t>
      </w:r>
      <w:r>
        <w:rPr>
          <w:rFonts w:ascii="Times New Roman" w:hAnsi="Times New Roman" w:cs="Times New Roman"/>
          <w:sz w:val="24"/>
        </w:rPr>
        <w:t>vol. 7, no. 5, pp. 1758-1763, 2022/05/13 2022, doi: 10.1021/acsenergylett.2c00419.</w:t>
      </w:r>
    </w:p>
    <w:p w14:paraId="73AD9ED4">
      <w:pPr>
        <w:pStyle w:val="14"/>
        <w:ind w:left="720" w:hanging="720"/>
        <w:rPr>
          <w:rFonts w:ascii="Times New Roman" w:hAnsi="Times New Roman" w:cs="Times New Roman"/>
          <w:sz w:val="24"/>
        </w:rPr>
      </w:pPr>
      <w:r>
        <w:rPr>
          <w:rFonts w:ascii="Times New Roman" w:hAnsi="Times New Roman" w:cs="Times New Roman"/>
          <w:sz w:val="24"/>
        </w:rPr>
        <w:t>[20]</w:t>
      </w:r>
      <w:r>
        <w:rPr>
          <w:rFonts w:ascii="Times New Roman" w:hAnsi="Times New Roman" w:cs="Times New Roman"/>
          <w:sz w:val="24"/>
        </w:rPr>
        <w:tab/>
      </w:r>
      <w:r>
        <w:rPr>
          <w:rFonts w:ascii="Times New Roman" w:hAnsi="Times New Roman" w:cs="Times New Roman"/>
          <w:sz w:val="24"/>
        </w:rPr>
        <w:t>J. Huang</w:t>
      </w:r>
      <w:r>
        <w:rPr>
          <w:rFonts w:ascii="Times New Roman" w:hAnsi="Times New Roman" w:cs="Times New Roman"/>
          <w:i/>
          <w:sz w:val="24"/>
        </w:rPr>
        <w:t xml:space="preserve"> et al.</w:t>
      </w:r>
      <w:r>
        <w:rPr>
          <w:rFonts w:ascii="Times New Roman" w:hAnsi="Times New Roman" w:cs="Times New Roman"/>
          <w:sz w:val="24"/>
        </w:rPr>
        <w:t xml:space="preserve">, "A Janus Spectrally Selective Glazing Toward All-Season Energy-Efficient Windows," </w:t>
      </w:r>
      <w:r>
        <w:rPr>
          <w:rFonts w:ascii="Times New Roman" w:hAnsi="Times New Roman" w:cs="Times New Roman"/>
          <w:i/>
          <w:sz w:val="24"/>
        </w:rPr>
        <w:t xml:space="preserve">Small, </w:t>
      </w:r>
      <w:r>
        <w:rPr>
          <w:rFonts w:ascii="Times New Roman" w:hAnsi="Times New Roman" w:cs="Times New Roman"/>
          <w:sz w:val="24"/>
        </w:rPr>
        <w:t xml:space="preserve">vol. 21, no. 10, p. 2407204, 2025/03/01 2025, doi: </w:t>
      </w:r>
      <w:r>
        <w:fldChar w:fldCharType="begin"/>
      </w:r>
      <w:r>
        <w:instrText xml:space="preserve"> HYPERLINK "https://doi.org/10.1002/smll.202407204" </w:instrText>
      </w:r>
      <w:r>
        <w:fldChar w:fldCharType="separate"/>
      </w:r>
      <w:r>
        <w:rPr>
          <w:rStyle w:val="12"/>
          <w:rFonts w:ascii="Times New Roman" w:hAnsi="Times New Roman" w:cs="Times New Roman"/>
          <w:sz w:val="24"/>
        </w:rPr>
        <w:t>https://doi.org/10.1002/smll.202407204</w:t>
      </w:r>
      <w:r>
        <w:rPr>
          <w:rStyle w:val="12"/>
          <w:rFonts w:ascii="Times New Roman" w:hAnsi="Times New Roman" w:cs="Times New Roman"/>
          <w:sz w:val="24"/>
        </w:rPr>
        <w:fldChar w:fldCharType="end"/>
      </w:r>
      <w:r>
        <w:rPr>
          <w:rFonts w:ascii="Times New Roman" w:hAnsi="Times New Roman" w:cs="Times New Roman"/>
          <w:sz w:val="24"/>
        </w:rPr>
        <w:t>.</w:t>
      </w:r>
    </w:p>
    <w:p w14:paraId="1BBA385C">
      <w:pPr>
        <w:pStyle w:val="14"/>
        <w:ind w:left="720" w:hanging="720"/>
        <w:rPr>
          <w:rFonts w:ascii="Times New Roman" w:hAnsi="Times New Roman" w:cs="Times New Roman"/>
          <w:sz w:val="24"/>
        </w:rPr>
      </w:pPr>
      <w:r>
        <w:rPr>
          <w:rFonts w:ascii="Times New Roman" w:hAnsi="Times New Roman" w:cs="Times New Roman"/>
          <w:sz w:val="24"/>
        </w:rPr>
        <w:t>[21]</w:t>
      </w:r>
      <w:r>
        <w:rPr>
          <w:rFonts w:ascii="Times New Roman" w:hAnsi="Times New Roman" w:cs="Times New Roman"/>
          <w:sz w:val="24"/>
        </w:rPr>
        <w:tab/>
      </w:r>
      <w:r>
        <w:rPr>
          <w:rFonts w:ascii="Times New Roman" w:hAnsi="Times New Roman" w:cs="Times New Roman"/>
          <w:sz w:val="24"/>
        </w:rPr>
        <w:t>Y. Deng</w:t>
      </w:r>
      <w:r>
        <w:rPr>
          <w:rFonts w:ascii="Times New Roman" w:hAnsi="Times New Roman" w:cs="Times New Roman"/>
          <w:i/>
          <w:sz w:val="24"/>
        </w:rPr>
        <w:t xml:space="preserve"> et al.</w:t>
      </w:r>
      <w:r>
        <w:rPr>
          <w:rFonts w:ascii="Times New Roman" w:hAnsi="Times New Roman" w:cs="Times New Roman"/>
          <w:sz w:val="24"/>
        </w:rPr>
        <w:t xml:space="preserve">, "Annual Energy-Saving Smart Windows with Actively Controllable Passive Radiative Cooling and Multimode Heating Regulation," </w:t>
      </w:r>
      <w:r>
        <w:rPr>
          <w:rFonts w:ascii="Times New Roman" w:hAnsi="Times New Roman" w:cs="Times New Roman"/>
          <w:i/>
          <w:sz w:val="24"/>
        </w:rPr>
        <w:t xml:space="preserve">Advanced Materials, </w:t>
      </w:r>
      <w:r>
        <w:rPr>
          <w:rFonts w:ascii="Times New Roman" w:hAnsi="Times New Roman" w:cs="Times New Roman"/>
          <w:sz w:val="24"/>
        </w:rPr>
        <w:t xml:space="preserve">vol. 36, no. 27, p. 2401869, 2024/07/01 2024, doi: </w:t>
      </w:r>
      <w:r>
        <w:fldChar w:fldCharType="begin"/>
      </w:r>
      <w:r>
        <w:instrText xml:space="preserve"> HYPERLINK "https://doi.org/10.1002/adma.202401869" </w:instrText>
      </w:r>
      <w:r>
        <w:fldChar w:fldCharType="separate"/>
      </w:r>
      <w:r>
        <w:rPr>
          <w:rStyle w:val="12"/>
          <w:rFonts w:ascii="Times New Roman" w:hAnsi="Times New Roman" w:cs="Times New Roman"/>
          <w:sz w:val="24"/>
        </w:rPr>
        <w:t>https://doi.org/10.1002/adma.202401869</w:t>
      </w:r>
      <w:r>
        <w:rPr>
          <w:rStyle w:val="12"/>
          <w:rFonts w:ascii="Times New Roman" w:hAnsi="Times New Roman" w:cs="Times New Roman"/>
          <w:sz w:val="24"/>
        </w:rPr>
        <w:fldChar w:fldCharType="end"/>
      </w:r>
      <w:r>
        <w:rPr>
          <w:rFonts w:ascii="Times New Roman" w:hAnsi="Times New Roman" w:cs="Times New Roman"/>
          <w:sz w:val="24"/>
        </w:rPr>
        <w:t>.</w:t>
      </w:r>
    </w:p>
    <w:p w14:paraId="5FDB29D6">
      <w:pPr>
        <w:pStyle w:val="14"/>
        <w:ind w:left="720" w:hanging="720"/>
        <w:rPr>
          <w:rFonts w:ascii="Times New Roman" w:hAnsi="Times New Roman" w:cs="Times New Roman"/>
          <w:sz w:val="24"/>
        </w:rPr>
      </w:pPr>
      <w:r>
        <w:rPr>
          <w:rFonts w:ascii="Times New Roman" w:hAnsi="Times New Roman" w:cs="Times New Roman"/>
          <w:sz w:val="24"/>
        </w:rPr>
        <w:t>[22]</w:t>
      </w:r>
      <w:r>
        <w:rPr>
          <w:rFonts w:ascii="Times New Roman" w:hAnsi="Times New Roman" w:cs="Times New Roman"/>
          <w:sz w:val="24"/>
        </w:rPr>
        <w:tab/>
      </w:r>
      <w:r>
        <w:rPr>
          <w:rFonts w:ascii="Times New Roman" w:hAnsi="Times New Roman" w:cs="Times New Roman"/>
          <w:sz w:val="24"/>
        </w:rPr>
        <w:t xml:space="preserve">S. Wang, Y. Zhou, T. Jiang, R. Yang, G. Tan, and Y. Long, "Thermochromic smart windows with highly regulated radiative cooling and solar transmission," </w:t>
      </w:r>
      <w:r>
        <w:rPr>
          <w:rFonts w:ascii="Times New Roman" w:hAnsi="Times New Roman" w:cs="Times New Roman"/>
          <w:i/>
          <w:sz w:val="24"/>
        </w:rPr>
        <w:t xml:space="preserve">Nano Energy, </w:t>
      </w:r>
      <w:r>
        <w:rPr>
          <w:rFonts w:ascii="Times New Roman" w:hAnsi="Times New Roman" w:cs="Times New Roman"/>
          <w:sz w:val="24"/>
        </w:rPr>
        <w:t xml:space="preserve">vol. 89, p. 106440, 2021/11/01/ 2021, doi: </w:t>
      </w:r>
      <w:r>
        <w:fldChar w:fldCharType="begin"/>
      </w:r>
      <w:r>
        <w:instrText xml:space="preserve"> HYPERLINK "https://doi.org/10.1016/j.nanoen.2021.106440" </w:instrText>
      </w:r>
      <w:r>
        <w:fldChar w:fldCharType="separate"/>
      </w:r>
      <w:r>
        <w:rPr>
          <w:rStyle w:val="12"/>
          <w:rFonts w:ascii="Times New Roman" w:hAnsi="Times New Roman" w:cs="Times New Roman"/>
          <w:sz w:val="24"/>
        </w:rPr>
        <w:t>https://doi.org/10.1016/j.nanoen.2021.106440</w:t>
      </w:r>
      <w:r>
        <w:rPr>
          <w:rStyle w:val="12"/>
          <w:rFonts w:ascii="Times New Roman" w:hAnsi="Times New Roman" w:cs="Times New Roman"/>
          <w:sz w:val="24"/>
        </w:rPr>
        <w:fldChar w:fldCharType="end"/>
      </w:r>
      <w:r>
        <w:rPr>
          <w:rFonts w:ascii="Times New Roman" w:hAnsi="Times New Roman" w:cs="Times New Roman"/>
          <w:sz w:val="24"/>
        </w:rPr>
        <w:t>.</w:t>
      </w:r>
    </w:p>
    <w:p w14:paraId="2F378FC5">
      <w:pPr>
        <w:pStyle w:val="14"/>
        <w:ind w:left="720" w:hanging="720"/>
        <w:rPr>
          <w:rFonts w:ascii="Times New Roman" w:hAnsi="Times New Roman" w:cs="Times New Roman"/>
          <w:sz w:val="24"/>
        </w:rPr>
      </w:pPr>
      <w:r>
        <w:rPr>
          <w:rFonts w:ascii="Times New Roman" w:hAnsi="Times New Roman" w:cs="Times New Roman"/>
          <w:sz w:val="24"/>
        </w:rPr>
        <w:t>[23]</w:t>
      </w:r>
      <w:r>
        <w:rPr>
          <w:rFonts w:ascii="Times New Roman" w:hAnsi="Times New Roman" w:cs="Times New Roman"/>
          <w:sz w:val="24"/>
        </w:rPr>
        <w:tab/>
      </w:r>
      <w:r>
        <w:rPr>
          <w:rFonts w:ascii="Times New Roman" w:hAnsi="Times New Roman" w:cs="Times New Roman"/>
          <w:sz w:val="24"/>
        </w:rPr>
        <w:t>C. Lin</w:t>
      </w:r>
      <w:r>
        <w:rPr>
          <w:rFonts w:ascii="Times New Roman" w:hAnsi="Times New Roman" w:cs="Times New Roman"/>
          <w:i/>
          <w:sz w:val="24"/>
        </w:rPr>
        <w:t xml:space="preserve"> et al.</w:t>
      </w:r>
      <w:r>
        <w:rPr>
          <w:rFonts w:ascii="Times New Roman" w:hAnsi="Times New Roman" w:cs="Times New Roman"/>
          <w:sz w:val="24"/>
        </w:rPr>
        <w:t xml:space="preserve">, "All-weather thermochromic windows for synchronous solar and thermal radiation regulation," </w:t>
      </w:r>
      <w:r>
        <w:rPr>
          <w:rFonts w:ascii="Times New Roman" w:hAnsi="Times New Roman" w:cs="Times New Roman"/>
          <w:i/>
          <w:sz w:val="24"/>
        </w:rPr>
        <w:t xml:space="preserve">Science Advances, </w:t>
      </w:r>
      <w:r>
        <w:rPr>
          <w:rFonts w:ascii="Times New Roman" w:hAnsi="Times New Roman" w:cs="Times New Roman"/>
          <w:sz w:val="24"/>
        </w:rPr>
        <w:t>vol. 8, no. 17, p. eabn7359, doi: 10.1126/sciadv.abn7359.</w:t>
      </w:r>
    </w:p>
    <w:p w14:paraId="768269D8">
      <w:pPr>
        <w:pStyle w:val="14"/>
        <w:ind w:left="720" w:hanging="720"/>
        <w:rPr>
          <w:rFonts w:ascii="Times New Roman" w:hAnsi="Times New Roman" w:cs="Times New Roman"/>
          <w:sz w:val="24"/>
        </w:rPr>
      </w:pPr>
      <w:r>
        <w:rPr>
          <w:rFonts w:ascii="Times New Roman" w:hAnsi="Times New Roman" w:cs="Times New Roman"/>
          <w:sz w:val="24"/>
        </w:rPr>
        <w:t>[24]</w:t>
      </w:r>
      <w:r>
        <w:rPr>
          <w:rFonts w:ascii="Times New Roman" w:hAnsi="Times New Roman" w:cs="Times New Roman"/>
          <w:sz w:val="24"/>
        </w:rPr>
        <w:tab/>
      </w:r>
      <w:r>
        <w:rPr>
          <w:rFonts w:ascii="Times New Roman" w:hAnsi="Times New Roman" w:cs="Times New Roman"/>
          <w:sz w:val="24"/>
        </w:rPr>
        <w:t xml:space="preserve">H. Tu, T. Wang, M. Chen, and L. Wu, "Isotope-driven hydrogel smart windows for self-adaptive thermoregulation," </w:t>
      </w:r>
      <w:r>
        <w:rPr>
          <w:rFonts w:ascii="Times New Roman" w:hAnsi="Times New Roman" w:cs="Times New Roman"/>
          <w:i/>
          <w:sz w:val="24"/>
        </w:rPr>
        <w:t xml:space="preserve">Nature Communications, </w:t>
      </w:r>
      <w:r>
        <w:rPr>
          <w:rFonts w:ascii="Times New Roman" w:hAnsi="Times New Roman" w:cs="Times New Roman"/>
          <w:sz w:val="24"/>
        </w:rPr>
        <w:t>vol. 16, no. 1, p. 6952, 2025/07/29 2025, doi: 10.1038/s41467-025-62432-3.</w:t>
      </w:r>
    </w:p>
    <w:p w14:paraId="7DA71312">
      <w:pPr>
        <w:pStyle w:val="14"/>
        <w:ind w:left="720" w:hanging="720"/>
        <w:rPr>
          <w:rFonts w:ascii="Times New Roman" w:hAnsi="Times New Roman" w:cs="Times New Roman"/>
          <w:sz w:val="24"/>
        </w:rPr>
      </w:pPr>
      <w:r>
        <w:rPr>
          <w:rFonts w:ascii="Times New Roman" w:hAnsi="Times New Roman" w:cs="Times New Roman"/>
          <w:sz w:val="24"/>
        </w:rPr>
        <w:t>[25]</w:t>
      </w:r>
      <w:r>
        <w:rPr>
          <w:rFonts w:ascii="Times New Roman" w:hAnsi="Times New Roman" w:cs="Times New Roman"/>
          <w:sz w:val="24"/>
        </w:rPr>
        <w:tab/>
      </w:r>
      <w:r>
        <w:rPr>
          <w:rFonts w:ascii="Times New Roman" w:hAnsi="Times New Roman" w:cs="Times New Roman"/>
          <w:sz w:val="24"/>
        </w:rPr>
        <w:t>R. Zhang</w:t>
      </w:r>
      <w:r>
        <w:rPr>
          <w:rFonts w:ascii="Times New Roman" w:hAnsi="Times New Roman" w:cs="Times New Roman"/>
          <w:i/>
          <w:sz w:val="24"/>
        </w:rPr>
        <w:t xml:space="preserve"> et al.</w:t>
      </w:r>
      <w:r>
        <w:rPr>
          <w:rFonts w:ascii="Times New Roman" w:hAnsi="Times New Roman" w:cs="Times New Roman"/>
          <w:sz w:val="24"/>
        </w:rPr>
        <w:t xml:space="preserve">, "Thermochromic smart window utilizing passive radiative cooling for Self-Adaptive thermoregulation," </w:t>
      </w:r>
      <w:r>
        <w:rPr>
          <w:rFonts w:ascii="Times New Roman" w:hAnsi="Times New Roman" w:cs="Times New Roman"/>
          <w:i/>
          <w:sz w:val="24"/>
        </w:rPr>
        <w:t xml:space="preserve">Chemical Engineering Journal, </w:t>
      </w:r>
      <w:r>
        <w:rPr>
          <w:rFonts w:ascii="Times New Roman" w:hAnsi="Times New Roman" w:cs="Times New Roman"/>
          <w:sz w:val="24"/>
        </w:rPr>
        <w:t xml:space="preserve">vol. 471, p. 144527, 2023/09/01/ 2023, doi: </w:t>
      </w:r>
      <w:r>
        <w:fldChar w:fldCharType="begin"/>
      </w:r>
      <w:r>
        <w:instrText xml:space="preserve"> HYPERLINK "https://doi.org/10.1016/j.cej.2023.144527" </w:instrText>
      </w:r>
      <w:r>
        <w:fldChar w:fldCharType="separate"/>
      </w:r>
      <w:r>
        <w:rPr>
          <w:rStyle w:val="12"/>
          <w:rFonts w:ascii="Times New Roman" w:hAnsi="Times New Roman" w:cs="Times New Roman"/>
          <w:sz w:val="24"/>
        </w:rPr>
        <w:t>https://doi.org/10.1016/j.cej.2023.144527</w:t>
      </w:r>
      <w:r>
        <w:rPr>
          <w:rStyle w:val="12"/>
          <w:rFonts w:ascii="Times New Roman" w:hAnsi="Times New Roman" w:cs="Times New Roman"/>
          <w:sz w:val="24"/>
        </w:rPr>
        <w:fldChar w:fldCharType="end"/>
      </w:r>
      <w:r>
        <w:rPr>
          <w:rFonts w:ascii="Times New Roman" w:hAnsi="Times New Roman" w:cs="Times New Roman"/>
          <w:sz w:val="24"/>
        </w:rPr>
        <w:t>.</w:t>
      </w:r>
    </w:p>
    <w:p w14:paraId="05EC038F">
      <w:pPr>
        <w:pStyle w:val="14"/>
        <w:ind w:left="720" w:hanging="720"/>
        <w:rPr>
          <w:rFonts w:ascii="Times New Roman" w:hAnsi="Times New Roman" w:cs="Times New Roman"/>
          <w:sz w:val="24"/>
        </w:rPr>
      </w:pPr>
      <w:r>
        <w:rPr>
          <w:rFonts w:ascii="Times New Roman" w:hAnsi="Times New Roman" w:cs="Times New Roman"/>
          <w:sz w:val="24"/>
        </w:rPr>
        <w:t>[26]</w:t>
      </w:r>
      <w:r>
        <w:rPr>
          <w:rFonts w:ascii="Times New Roman" w:hAnsi="Times New Roman" w:cs="Times New Roman"/>
          <w:sz w:val="24"/>
        </w:rPr>
        <w:tab/>
      </w:r>
      <w:r>
        <w:rPr>
          <w:rFonts w:ascii="Times New Roman" w:hAnsi="Times New Roman" w:cs="Times New Roman"/>
          <w:sz w:val="24"/>
        </w:rPr>
        <w:t>Z. Zhou</w:t>
      </w:r>
      <w:r>
        <w:rPr>
          <w:rFonts w:ascii="Times New Roman" w:hAnsi="Times New Roman" w:cs="Times New Roman"/>
          <w:i/>
          <w:sz w:val="24"/>
        </w:rPr>
        <w:t xml:space="preserve"> et al.</w:t>
      </w:r>
      <w:r>
        <w:rPr>
          <w:rFonts w:ascii="Times New Roman" w:hAnsi="Times New Roman" w:cs="Times New Roman"/>
          <w:sz w:val="24"/>
        </w:rPr>
        <w:t xml:space="preserve">, "Synergistic modulation of solar and thermal radiation in dynamic energy-efficient windows," </w:t>
      </w:r>
      <w:r>
        <w:rPr>
          <w:rFonts w:ascii="Times New Roman" w:hAnsi="Times New Roman" w:cs="Times New Roman"/>
          <w:i/>
          <w:sz w:val="24"/>
        </w:rPr>
        <w:t xml:space="preserve">Nano Energy, </w:t>
      </w:r>
      <w:r>
        <w:rPr>
          <w:rFonts w:ascii="Times New Roman" w:hAnsi="Times New Roman" w:cs="Times New Roman"/>
          <w:sz w:val="24"/>
        </w:rPr>
        <w:t xml:space="preserve">vol. 93, p. 106865, 2022/03/01/ 2022, doi: </w:t>
      </w:r>
      <w:r>
        <w:fldChar w:fldCharType="begin"/>
      </w:r>
      <w:r>
        <w:instrText xml:space="preserve"> HYPERLINK "https://doi.org/10.1016/j.nanoen.2021.106865" </w:instrText>
      </w:r>
      <w:r>
        <w:fldChar w:fldCharType="separate"/>
      </w:r>
      <w:r>
        <w:rPr>
          <w:rStyle w:val="12"/>
          <w:rFonts w:ascii="Times New Roman" w:hAnsi="Times New Roman" w:cs="Times New Roman"/>
          <w:sz w:val="24"/>
        </w:rPr>
        <w:t>https://doi.org/10.1016/j.nanoen.2021.106865</w:t>
      </w:r>
      <w:r>
        <w:rPr>
          <w:rStyle w:val="12"/>
          <w:rFonts w:ascii="Times New Roman" w:hAnsi="Times New Roman" w:cs="Times New Roman"/>
          <w:sz w:val="24"/>
        </w:rPr>
        <w:fldChar w:fldCharType="end"/>
      </w:r>
      <w:r>
        <w:rPr>
          <w:rFonts w:ascii="Times New Roman" w:hAnsi="Times New Roman" w:cs="Times New Roman"/>
          <w:sz w:val="24"/>
        </w:rPr>
        <w:t>.</w:t>
      </w:r>
    </w:p>
    <w:p w14:paraId="0B741CEF">
      <w:pPr>
        <w:pStyle w:val="14"/>
        <w:ind w:left="720" w:hanging="720"/>
        <w:rPr>
          <w:rFonts w:ascii="Times New Roman" w:hAnsi="Times New Roman" w:cs="Times New Roman"/>
          <w:sz w:val="24"/>
        </w:rPr>
      </w:pPr>
      <w:r>
        <w:rPr>
          <w:rFonts w:ascii="Times New Roman" w:hAnsi="Times New Roman" w:cs="Times New Roman"/>
          <w:sz w:val="24"/>
        </w:rPr>
        <w:t>[27]</w:t>
      </w:r>
      <w:r>
        <w:rPr>
          <w:rFonts w:ascii="Times New Roman" w:hAnsi="Times New Roman" w:cs="Times New Roman"/>
          <w:sz w:val="24"/>
        </w:rPr>
        <w:tab/>
      </w:r>
      <w:r>
        <w:rPr>
          <w:rFonts w:ascii="Times New Roman" w:hAnsi="Times New Roman" w:cs="Times New Roman"/>
          <w:sz w:val="24"/>
        </w:rPr>
        <w:t>S. Wang</w:t>
      </w:r>
      <w:r>
        <w:rPr>
          <w:rFonts w:ascii="Times New Roman" w:hAnsi="Times New Roman" w:cs="Times New Roman"/>
          <w:i/>
          <w:sz w:val="24"/>
        </w:rPr>
        <w:t xml:space="preserve"> et al.</w:t>
      </w:r>
      <w:r>
        <w:rPr>
          <w:rFonts w:ascii="Times New Roman" w:hAnsi="Times New Roman" w:cs="Times New Roman"/>
          <w:sz w:val="24"/>
        </w:rPr>
        <w:t xml:space="preserve">, "A solar/radiative cooling dual-regulation smart window based on shape-morphing kirigami structures," </w:t>
      </w:r>
      <w:r>
        <w:rPr>
          <w:rFonts w:ascii="Times New Roman" w:hAnsi="Times New Roman" w:cs="Times New Roman"/>
          <w:i/>
          <w:sz w:val="24"/>
        </w:rPr>
        <w:t xml:space="preserve">Materials Horizons, </w:t>
      </w:r>
      <w:r>
        <w:rPr>
          <w:rFonts w:ascii="Times New Roman" w:hAnsi="Times New Roman" w:cs="Times New Roman"/>
          <w:sz w:val="24"/>
        </w:rPr>
        <w:t>10.1039/D3MH00671A vol. 10, no. 10, pp. 4243-4250, 2023, doi: 10.1039/D3MH00671A.</w:t>
      </w:r>
    </w:p>
    <w:p w14:paraId="131A302B">
      <w:pPr>
        <w:pStyle w:val="14"/>
        <w:ind w:left="720" w:hanging="720"/>
        <w:rPr>
          <w:rFonts w:ascii="Times New Roman" w:hAnsi="Times New Roman" w:cs="Times New Roman"/>
          <w:sz w:val="24"/>
        </w:rPr>
      </w:pPr>
      <w:r>
        <w:rPr>
          <w:rFonts w:ascii="Times New Roman" w:hAnsi="Times New Roman" w:cs="Times New Roman"/>
          <w:sz w:val="24"/>
        </w:rPr>
        <w:t>[28]</w:t>
      </w:r>
      <w:r>
        <w:rPr>
          <w:rFonts w:ascii="Times New Roman" w:hAnsi="Times New Roman" w:cs="Times New Roman"/>
          <w:sz w:val="24"/>
        </w:rPr>
        <w:tab/>
      </w:r>
      <w:r>
        <w:rPr>
          <w:rFonts w:ascii="Times New Roman" w:hAnsi="Times New Roman" w:cs="Times New Roman"/>
          <w:sz w:val="24"/>
        </w:rPr>
        <w:t>X. Hu</w:t>
      </w:r>
      <w:r>
        <w:rPr>
          <w:rFonts w:ascii="Times New Roman" w:hAnsi="Times New Roman" w:cs="Times New Roman"/>
          <w:i/>
          <w:sz w:val="24"/>
        </w:rPr>
        <w:t xml:space="preserve"> et al.</w:t>
      </w:r>
      <w:r>
        <w:rPr>
          <w:rFonts w:ascii="Times New Roman" w:hAnsi="Times New Roman" w:cs="Times New Roman"/>
          <w:sz w:val="24"/>
        </w:rPr>
        <w:t xml:space="preserve">, "Facile and Widely Applicable Route to Self-Adaptive Emissivity Modulation: Energy-Saving Demonstration with Transparent Wood," </w:t>
      </w:r>
      <w:r>
        <w:rPr>
          <w:rFonts w:ascii="Times New Roman" w:hAnsi="Times New Roman" w:cs="Times New Roman"/>
          <w:i/>
          <w:sz w:val="24"/>
        </w:rPr>
        <w:t xml:space="preserve">Nano Letters, </w:t>
      </w:r>
      <w:r>
        <w:rPr>
          <w:rFonts w:ascii="Times New Roman" w:hAnsi="Times New Roman" w:cs="Times New Roman"/>
          <w:sz w:val="24"/>
        </w:rPr>
        <w:t>vol. 24, no. 2, pp. 657-666, 2024/01/17 2024, doi: 10.1021/acs.nanolett.3c03711.</w:t>
      </w:r>
    </w:p>
    <w:p w14:paraId="148151E0">
      <w:pPr>
        <w:rPr>
          <w:rFonts w:ascii="Times New Roman" w:hAnsi="Times New Roman" w:cs="Times New Roman"/>
          <w:bCs/>
          <w:position w:val="-32"/>
          <w:sz w:val="24"/>
        </w:rPr>
      </w:pPr>
      <w:r>
        <w:rPr>
          <w:rFonts w:ascii="Times New Roman" w:hAnsi="Times New Roman" w:cs="Times New Roman"/>
          <w:bCs/>
          <w:position w:val="-32"/>
          <w:sz w:val="24"/>
        </w:rPr>
        <w:fldChar w:fldCharType="end"/>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MS Mincho">
    <w:panose1 w:val="02020609040205080304"/>
    <w:charset w:val="80"/>
    <w:family w:val="modern"/>
    <w:pitch w:val="default"/>
    <w:sig w:usb0="E00002FF" w:usb1="6AC7FDFB" w:usb2="08000012" w:usb3="00000000" w:csb0="4002009F" w:csb1="DFD70000"/>
  </w:font>
  <w:font w:name="sans-serif">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documentProtection w:enforcement="0"/>
  <w:defaultTabStop w:val="420"/>
  <w:drawingGridVerticalSpacing w:val="161"/>
  <w:noPunctuationKerning w:val="1"/>
  <w:characterSpacingControl w:val="compressPunctuation"/>
  <w:endnotePr>
    <w:numFmt w:val="decimal"/>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aaztsr04trapte5f9cpv9ss0fav5erzzr9a&quot;&gt;My EndNote Library&lt;record-ids&gt;&lt;item&gt;74&lt;/item&gt;&lt;item&gt;75&lt;/item&gt;&lt;item&gt;76&lt;/item&gt;&lt;item&gt;124&lt;/item&gt;&lt;item&gt;125&lt;/item&gt;&lt;item&gt;485&lt;/item&gt;&lt;item&gt;487&lt;/item&gt;&lt;item&gt;492&lt;/item&gt;&lt;item&gt;493&lt;/item&gt;&lt;item&gt;494&lt;/item&gt;&lt;item&gt;496&lt;/item&gt;&lt;item&gt;497&lt;/item&gt;&lt;item&gt;498&lt;/item&gt;&lt;item&gt;499&lt;/item&gt;&lt;item&gt;500&lt;/item&gt;&lt;item&gt;505&lt;/item&gt;&lt;item&gt;506&lt;/item&gt;&lt;item&gt;507&lt;/item&gt;&lt;item&gt;508&lt;/item&gt;&lt;item&gt;509&lt;/item&gt;&lt;item&gt;510&lt;/item&gt;&lt;item&gt;1090&lt;/item&gt;&lt;item&gt;1092&lt;/item&gt;&lt;item&gt;1143&lt;/item&gt;&lt;item&gt;1144&lt;/item&gt;&lt;item&gt;1145&lt;/item&gt;&lt;item&gt;1146&lt;/item&gt;&lt;item&gt;1147&lt;/item&gt;&lt;/record-ids&gt;&lt;/item&gt;&lt;/Libraries&gt;"/>
  </w:docVars>
  <w:rsids>
    <w:rsidRoot w:val="00BE0277"/>
    <w:rsid w:val="00067A8F"/>
    <w:rsid w:val="000962F4"/>
    <w:rsid w:val="00BE0277"/>
    <w:rsid w:val="01AF3CFB"/>
    <w:rsid w:val="03345E17"/>
    <w:rsid w:val="03BF7E47"/>
    <w:rsid w:val="064678A1"/>
    <w:rsid w:val="088A5836"/>
    <w:rsid w:val="0A935281"/>
    <w:rsid w:val="0C6E156B"/>
    <w:rsid w:val="0C6E63A6"/>
    <w:rsid w:val="0CF307C8"/>
    <w:rsid w:val="112A0531"/>
    <w:rsid w:val="114319BC"/>
    <w:rsid w:val="13360190"/>
    <w:rsid w:val="14147B78"/>
    <w:rsid w:val="142C2B31"/>
    <w:rsid w:val="14CF7DD3"/>
    <w:rsid w:val="1537640E"/>
    <w:rsid w:val="16A43BC5"/>
    <w:rsid w:val="172F3F04"/>
    <w:rsid w:val="17CE7E68"/>
    <w:rsid w:val="1855477F"/>
    <w:rsid w:val="1F216F8B"/>
    <w:rsid w:val="230F190C"/>
    <w:rsid w:val="24DC7F5B"/>
    <w:rsid w:val="278C5B93"/>
    <w:rsid w:val="28084B56"/>
    <w:rsid w:val="284D6316"/>
    <w:rsid w:val="2ABA427C"/>
    <w:rsid w:val="2DB346B7"/>
    <w:rsid w:val="2E406CED"/>
    <w:rsid w:val="32982280"/>
    <w:rsid w:val="333A0D72"/>
    <w:rsid w:val="33605348"/>
    <w:rsid w:val="33830C55"/>
    <w:rsid w:val="34552BA2"/>
    <w:rsid w:val="34FC3E0F"/>
    <w:rsid w:val="375440A7"/>
    <w:rsid w:val="380E56AB"/>
    <w:rsid w:val="396C402B"/>
    <w:rsid w:val="3995059C"/>
    <w:rsid w:val="3BFF0E05"/>
    <w:rsid w:val="3D4218A7"/>
    <w:rsid w:val="403D7516"/>
    <w:rsid w:val="40775605"/>
    <w:rsid w:val="40E74AE3"/>
    <w:rsid w:val="41704F0E"/>
    <w:rsid w:val="41D450DC"/>
    <w:rsid w:val="458B6DBF"/>
    <w:rsid w:val="45BA76DE"/>
    <w:rsid w:val="469A0B8B"/>
    <w:rsid w:val="493374A8"/>
    <w:rsid w:val="4A180E77"/>
    <w:rsid w:val="4A1B23D8"/>
    <w:rsid w:val="4A7977CD"/>
    <w:rsid w:val="4BC45398"/>
    <w:rsid w:val="4C8605C2"/>
    <w:rsid w:val="4E3157B9"/>
    <w:rsid w:val="4FE8386B"/>
    <w:rsid w:val="515F3303"/>
    <w:rsid w:val="541F5851"/>
    <w:rsid w:val="57473451"/>
    <w:rsid w:val="5A092726"/>
    <w:rsid w:val="5D0968FA"/>
    <w:rsid w:val="5D51154B"/>
    <w:rsid w:val="602161AD"/>
    <w:rsid w:val="61DE475A"/>
    <w:rsid w:val="6203464F"/>
    <w:rsid w:val="628801E0"/>
    <w:rsid w:val="64BC78ED"/>
    <w:rsid w:val="65DD63FB"/>
    <w:rsid w:val="66B55482"/>
    <w:rsid w:val="675A3D95"/>
    <w:rsid w:val="67F00D02"/>
    <w:rsid w:val="685B676E"/>
    <w:rsid w:val="69913003"/>
    <w:rsid w:val="6B657311"/>
    <w:rsid w:val="704B3B67"/>
    <w:rsid w:val="72755D25"/>
    <w:rsid w:val="73EE7F2D"/>
    <w:rsid w:val="73F04807"/>
    <w:rsid w:val="7687039C"/>
    <w:rsid w:val="786B1626"/>
    <w:rsid w:val="786F5FBD"/>
    <w:rsid w:val="79B80F53"/>
    <w:rsid w:val="7A884D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qFormat="1" w:uiPriority="99"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3">
    <w:name w:val="heading 3"/>
    <w:basedOn w:val="1"/>
    <w:next w:val="1"/>
    <w:unhideWhenUsed/>
    <w:qFormat/>
    <w:uiPriority w:val="0"/>
    <w:pPr>
      <w:keepNext/>
      <w:keepLines/>
      <w:spacing w:before="260" w:after="260" w:line="413" w:lineRule="auto"/>
      <w:outlineLvl w:val="2"/>
    </w:pPr>
    <w:rPr>
      <w:b/>
      <w:sz w:val="32"/>
    </w:rPr>
  </w:style>
  <w:style w:type="character" w:default="1" w:styleId="8">
    <w:name w:val="Default Paragraph Font"/>
    <w:semiHidden/>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4">
    <w:name w:val="caption"/>
    <w:basedOn w:val="1"/>
    <w:next w:val="1"/>
    <w:unhideWhenUsed/>
    <w:qFormat/>
    <w:uiPriority w:val="0"/>
    <w:pPr>
      <w:tabs>
        <w:tab w:val="left" w:pos="567"/>
      </w:tabs>
    </w:pPr>
    <w:rPr>
      <w:rFonts w:ascii="等线 Light" w:hAnsi="等线 Light" w:eastAsia="黑体"/>
      <w:sz w:val="20"/>
    </w:rPr>
  </w:style>
  <w:style w:type="paragraph" w:styleId="5">
    <w:name w:val="Normal (Web)"/>
    <w:basedOn w:val="1"/>
    <w:qFormat/>
    <w:uiPriority w:val="0"/>
    <w:pPr>
      <w:spacing w:beforeAutospacing="1" w:afterAutospacing="1"/>
      <w:jc w:val="left"/>
    </w:pPr>
    <w:rPr>
      <w:rFonts w:cs="Times New Roman"/>
      <w:kern w:val="0"/>
      <w:sz w:val="24"/>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0"/>
    <w:rPr>
      <w:b/>
    </w:rPr>
  </w:style>
  <w:style w:type="character" w:styleId="10">
    <w:name w:val="endnote reference"/>
    <w:basedOn w:val="8"/>
    <w:unhideWhenUsed/>
    <w:qFormat/>
    <w:uiPriority w:val="99"/>
    <w:rPr>
      <w:vertAlign w:val="superscript"/>
    </w:rPr>
  </w:style>
  <w:style w:type="character" w:styleId="11">
    <w:name w:val="Emphasis"/>
    <w:basedOn w:val="8"/>
    <w:qFormat/>
    <w:uiPriority w:val="0"/>
    <w:rPr>
      <w:i/>
    </w:rPr>
  </w:style>
  <w:style w:type="character" w:styleId="12">
    <w:name w:val="Hyperlink"/>
    <w:basedOn w:val="8"/>
    <w:qFormat/>
    <w:uiPriority w:val="0"/>
    <w:rPr>
      <w:color w:val="0000FF"/>
      <w:u w:val="single"/>
    </w:rPr>
  </w:style>
  <w:style w:type="paragraph" w:customStyle="1" w:styleId="13">
    <w:name w:val="EndNote Bibliography Title"/>
    <w:qFormat/>
    <w:uiPriority w:val="0"/>
    <w:pPr>
      <w:jc w:val="center"/>
    </w:pPr>
    <w:rPr>
      <w:rFonts w:ascii="Calibri" w:hAnsi="Calibri" w:cs="Calibri" w:eastAsiaTheme="minorEastAsia"/>
      <w:kern w:val="2"/>
      <w:szCs w:val="24"/>
      <w:lang w:val="en-US" w:eastAsia="zh-CN" w:bidi="ar-SA"/>
    </w:rPr>
  </w:style>
  <w:style w:type="paragraph" w:customStyle="1" w:styleId="14">
    <w:name w:val="EndNote Bibliography"/>
    <w:qFormat/>
    <w:uiPriority w:val="0"/>
    <w:pPr>
      <w:jc w:val="both"/>
    </w:pPr>
    <w:rPr>
      <w:rFonts w:ascii="Calibri" w:hAnsi="Calibri" w:cs="Calibri" w:eastAsiaTheme="minorEastAsia"/>
      <w:kern w:val="2"/>
      <w:szCs w:val="24"/>
      <w:lang w:val="en-US" w:eastAsia="zh-CN" w:bidi="ar-SA"/>
    </w:rPr>
  </w:style>
  <w:style w:type="paragraph" w:customStyle="1" w:styleId="15">
    <w:name w:val="Title2"/>
    <w:basedOn w:val="1"/>
    <w:qFormat/>
    <w:uiPriority w:val="0"/>
    <w:pPr>
      <w:widowControl/>
      <w:jc w:val="left"/>
    </w:pPr>
    <w:rPr>
      <w:rFonts w:eastAsia="MS Mincho" w:cs="Times New Roman"/>
      <w:b/>
      <w:kern w:val="0"/>
      <w:lang w:eastAsia="ja-JP"/>
    </w:rPr>
  </w:style>
  <w:style w:type="paragraph" w:customStyle="1" w:styleId="16">
    <w:name w:val="Addresses"/>
    <w:basedOn w:val="1"/>
    <w:qFormat/>
    <w:uiPriority w:val="0"/>
  </w:style>
  <w:style w:type="paragraph" w:styleId="17">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48.wmf"/><Relationship Id="rId98" Type="http://schemas.openxmlformats.org/officeDocument/2006/relationships/oleObject" Target="embeddings/oleObject48.bin"/><Relationship Id="rId97" Type="http://schemas.openxmlformats.org/officeDocument/2006/relationships/image" Target="media/image47.wmf"/><Relationship Id="rId96" Type="http://schemas.openxmlformats.org/officeDocument/2006/relationships/oleObject" Target="embeddings/oleObject47.bin"/><Relationship Id="rId95" Type="http://schemas.openxmlformats.org/officeDocument/2006/relationships/image" Target="media/image46.wmf"/><Relationship Id="rId94" Type="http://schemas.openxmlformats.org/officeDocument/2006/relationships/oleObject" Target="embeddings/oleObject46.bin"/><Relationship Id="rId93" Type="http://schemas.openxmlformats.org/officeDocument/2006/relationships/image" Target="media/image45.wmf"/><Relationship Id="rId92" Type="http://schemas.openxmlformats.org/officeDocument/2006/relationships/oleObject" Target="embeddings/oleObject45.bin"/><Relationship Id="rId91" Type="http://schemas.openxmlformats.org/officeDocument/2006/relationships/image" Target="media/image44.wmf"/><Relationship Id="rId90" Type="http://schemas.openxmlformats.org/officeDocument/2006/relationships/oleObject" Target="embeddings/oleObject44.bin"/><Relationship Id="rId9" Type="http://schemas.openxmlformats.org/officeDocument/2006/relationships/image" Target="media/image3.wmf"/><Relationship Id="rId89" Type="http://schemas.openxmlformats.org/officeDocument/2006/relationships/image" Target="media/image43.wmf"/><Relationship Id="rId88" Type="http://schemas.openxmlformats.org/officeDocument/2006/relationships/oleObject" Target="embeddings/oleObject43.bin"/><Relationship Id="rId87" Type="http://schemas.openxmlformats.org/officeDocument/2006/relationships/image" Target="media/image42.wmf"/><Relationship Id="rId86" Type="http://schemas.openxmlformats.org/officeDocument/2006/relationships/oleObject" Target="embeddings/oleObject42.bin"/><Relationship Id="rId85" Type="http://schemas.openxmlformats.org/officeDocument/2006/relationships/image" Target="media/image41.wmf"/><Relationship Id="rId84" Type="http://schemas.openxmlformats.org/officeDocument/2006/relationships/oleObject" Target="embeddings/oleObject41.bin"/><Relationship Id="rId83" Type="http://schemas.openxmlformats.org/officeDocument/2006/relationships/image" Target="media/image40.wmf"/><Relationship Id="rId82" Type="http://schemas.openxmlformats.org/officeDocument/2006/relationships/oleObject" Target="embeddings/oleObject40.bin"/><Relationship Id="rId81" Type="http://schemas.openxmlformats.org/officeDocument/2006/relationships/image" Target="media/image39.wmf"/><Relationship Id="rId80" Type="http://schemas.openxmlformats.org/officeDocument/2006/relationships/oleObject" Target="embeddings/oleObject39.bin"/><Relationship Id="rId8" Type="http://schemas.openxmlformats.org/officeDocument/2006/relationships/oleObject" Target="embeddings/oleObject3.bin"/><Relationship Id="rId79" Type="http://schemas.openxmlformats.org/officeDocument/2006/relationships/image" Target="media/image38.wmf"/><Relationship Id="rId78" Type="http://schemas.openxmlformats.org/officeDocument/2006/relationships/oleObject" Target="embeddings/oleObject38.bin"/><Relationship Id="rId77" Type="http://schemas.openxmlformats.org/officeDocument/2006/relationships/image" Target="media/image37.wmf"/><Relationship Id="rId76" Type="http://schemas.openxmlformats.org/officeDocument/2006/relationships/oleObject" Target="embeddings/oleObject37.bin"/><Relationship Id="rId75" Type="http://schemas.openxmlformats.org/officeDocument/2006/relationships/image" Target="media/image36.wmf"/><Relationship Id="rId74" Type="http://schemas.openxmlformats.org/officeDocument/2006/relationships/oleObject" Target="embeddings/oleObject36.bin"/><Relationship Id="rId73" Type="http://schemas.openxmlformats.org/officeDocument/2006/relationships/image" Target="media/image35.wmf"/><Relationship Id="rId72" Type="http://schemas.openxmlformats.org/officeDocument/2006/relationships/oleObject" Target="embeddings/oleObject35.bin"/><Relationship Id="rId71" Type="http://schemas.openxmlformats.org/officeDocument/2006/relationships/image" Target="media/image34.wmf"/><Relationship Id="rId70" Type="http://schemas.openxmlformats.org/officeDocument/2006/relationships/oleObject" Target="embeddings/oleObject34.bin"/><Relationship Id="rId7" Type="http://schemas.openxmlformats.org/officeDocument/2006/relationships/image" Target="media/image2.wmf"/><Relationship Id="rId69" Type="http://schemas.openxmlformats.org/officeDocument/2006/relationships/image" Target="media/image33.wmf"/><Relationship Id="rId68" Type="http://schemas.openxmlformats.org/officeDocument/2006/relationships/oleObject" Target="embeddings/oleObject33.bin"/><Relationship Id="rId67" Type="http://schemas.openxmlformats.org/officeDocument/2006/relationships/image" Target="media/image32.wmf"/><Relationship Id="rId66" Type="http://schemas.openxmlformats.org/officeDocument/2006/relationships/oleObject" Target="embeddings/oleObject32.bin"/><Relationship Id="rId65" Type="http://schemas.openxmlformats.org/officeDocument/2006/relationships/image" Target="media/image31.wmf"/><Relationship Id="rId64" Type="http://schemas.openxmlformats.org/officeDocument/2006/relationships/oleObject" Target="embeddings/oleObject31.bin"/><Relationship Id="rId63" Type="http://schemas.openxmlformats.org/officeDocument/2006/relationships/image" Target="media/image30.wmf"/><Relationship Id="rId62" Type="http://schemas.openxmlformats.org/officeDocument/2006/relationships/oleObject" Target="embeddings/oleObject30.bin"/><Relationship Id="rId61" Type="http://schemas.openxmlformats.org/officeDocument/2006/relationships/image" Target="media/image29.wmf"/><Relationship Id="rId60" Type="http://schemas.openxmlformats.org/officeDocument/2006/relationships/oleObject" Target="embeddings/oleObject29.bin"/><Relationship Id="rId6" Type="http://schemas.openxmlformats.org/officeDocument/2006/relationships/oleObject" Target="embeddings/oleObject2.bin"/><Relationship Id="rId59" Type="http://schemas.openxmlformats.org/officeDocument/2006/relationships/image" Target="media/image28.wmf"/><Relationship Id="rId58" Type="http://schemas.openxmlformats.org/officeDocument/2006/relationships/oleObject" Target="embeddings/oleObject28.bin"/><Relationship Id="rId57" Type="http://schemas.openxmlformats.org/officeDocument/2006/relationships/image" Target="media/image27.wmf"/><Relationship Id="rId56" Type="http://schemas.openxmlformats.org/officeDocument/2006/relationships/oleObject" Target="embeddings/oleObject27.bin"/><Relationship Id="rId55" Type="http://schemas.openxmlformats.org/officeDocument/2006/relationships/image" Target="media/image26.wmf"/><Relationship Id="rId54" Type="http://schemas.openxmlformats.org/officeDocument/2006/relationships/oleObject" Target="embeddings/oleObject26.bin"/><Relationship Id="rId53" Type="http://schemas.openxmlformats.org/officeDocument/2006/relationships/image" Target="media/image25.wmf"/><Relationship Id="rId52" Type="http://schemas.openxmlformats.org/officeDocument/2006/relationships/oleObject" Target="embeddings/oleObject25.bin"/><Relationship Id="rId51" Type="http://schemas.openxmlformats.org/officeDocument/2006/relationships/image" Target="media/image24.wmf"/><Relationship Id="rId50" Type="http://schemas.openxmlformats.org/officeDocument/2006/relationships/oleObject" Target="embeddings/oleObject24.bin"/><Relationship Id="rId5" Type="http://schemas.openxmlformats.org/officeDocument/2006/relationships/image" Target="media/image1.wmf"/><Relationship Id="rId49" Type="http://schemas.openxmlformats.org/officeDocument/2006/relationships/image" Target="media/image23.wmf"/><Relationship Id="rId48" Type="http://schemas.openxmlformats.org/officeDocument/2006/relationships/oleObject" Target="embeddings/oleObject23.bin"/><Relationship Id="rId47" Type="http://schemas.openxmlformats.org/officeDocument/2006/relationships/image" Target="media/image22.wmf"/><Relationship Id="rId46" Type="http://schemas.openxmlformats.org/officeDocument/2006/relationships/oleObject" Target="embeddings/oleObject22.bin"/><Relationship Id="rId45" Type="http://schemas.openxmlformats.org/officeDocument/2006/relationships/image" Target="media/image21.wmf"/><Relationship Id="rId44" Type="http://schemas.openxmlformats.org/officeDocument/2006/relationships/oleObject" Target="embeddings/oleObject21.bin"/><Relationship Id="rId43" Type="http://schemas.openxmlformats.org/officeDocument/2006/relationships/image" Target="media/image20.wmf"/><Relationship Id="rId42" Type="http://schemas.openxmlformats.org/officeDocument/2006/relationships/oleObject" Target="embeddings/oleObject20.bin"/><Relationship Id="rId41" Type="http://schemas.openxmlformats.org/officeDocument/2006/relationships/image" Target="media/image19.wmf"/><Relationship Id="rId40" Type="http://schemas.openxmlformats.org/officeDocument/2006/relationships/oleObject" Target="embeddings/oleObject19.bin"/><Relationship Id="rId4" Type="http://schemas.openxmlformats.org/officeDocument/2006/relationships/oleObject" Target="embeddings/oleObject1.bin"/><Relationship Id="rId39" Type="http://schemas.openxmlformats.org/officeDocument/2006/relationships/image" Target="media/image18.wmf"/><Relationship Id="rId38" Type="http://schemas.openxmlformats.org/officeDocument/2006/relationships/oleObject" Target="embeddings/oleObject18.bin"/><Relationship Id="rId37" Type="http://schemas.openxmlformats.org/officeDocument/2006/relationships/image" Target="media/image17.wmf"/><Relationship Id="rId36" Type="http://schemas.openxmlformats.org/officeDocument/2006/relationships/oleObject" Target="embeddings/oleObject17.bin"/><Relationship Id="rId35" Type="http://schemas.openxmlformats.org/officeDocument/2006/relationships/image" Target="media/image16.wmf"/><Relationship Id="rId34" Type="http://schemas.openxmlformats.org/officeDocument/2006/relationships/oleObject" Target="embeddings/oleObject16.bin"/><Relationship Id="rId33" Type="http://schemas.openxmlformats.org/officeDocument/2006/relationships/image" Target="media/image15.wmf"/><Relationship Id="rId32" Type="http://schemas.openxmlformats.org/officeDocument/2006/relationships/oleObject" Target="embeddings/oleObject15.bin"/><Relationship Id="rId31" Type="http://schemas.openxmlformats.org/officeDocument/2006/relationships/image" Target="media/image14.wmf"/><Relationship Id="rId30" Type="http://schemas.openxmlformats.org/officeDocument/2006/relationships/oleObject" Target="embeddings/oleObject14.bin"/><Relationship Id="rId3" Type="http://schemas.openxmlformats.org/officeDocument/2006/relationships/theme" Target="theme/theme1.xml"/><Relationship Id="rId29" Type="http://schemas.openxmlformats.org/officeDocument/2006/relationships/image" Target="media/image13.wmf"/><Relationship Id="rId28" Type="http://schemas.openxmlformats.org/officeDocument/2006/relationships/oleObject" Target="embeddings/oleObject13.bin"/><Relationship Id="rId27" Type="http://schemas.openxmlformats.org/officeDocument/2006/relationships/image" Target="media/image12.wmf"/><Relationship Id="rId26" Type="http://schemas.openxmlformats.org/officeDocument/2006/relationships/oleObject" Target="embeddings/oleObject12.bin"/><Relationship Id="rId25" Type="http://schemas.openxmlformats.org/officeDocument/2006/relationships/image" Target="media/image11.wmf"/><Relationship Id="rId24" Type="http://schemas.openxmlformats.org/officeDocument/2006/relationships/oleObject" Target="embeddings/oleObject11.bin"/><Relationship Id="rId23" Type="http://schemas.openxmlformats.org/officeDocument/2006/relationships/image" Target="media/image10.wmf"/><Relationship Id="rId22" Type="http://schemas.openxmlformats.org/officeDocument/2006/relationships/oleObject" Target="embeddings/oleObject10.bin"/><Relationship Id="rId21" Type="http://schemas.openxmlformats.org/officeDocument/2006/relationships/image" Target="media/image9.wmf"/><Relationship Id="rId20" Type="http://schemas.openxmlformats.org/officeDocument/2006/relationships/oleObject" Target="embeddings/oleObject9.bin"/><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8.bin"/><Relationship Id="rId17" Type="http://schemas.openxmlformats.org/officeDocument/2006/relationships/image" Target="media/image7.wmf"/><Relationship Id="rId16" Type="http://schemas.openxmlformats.org/officeDocument/2006/relationships/oleObject" Target="embeddings/oleObject7.bin"/><Relationship Id="rId159" Type="http://schemas.openxmlformats.org/officeDocument/2006/relationships/fontTable" Target="fontTable.xml"/><Relationship Id="rId158" Type="http://schemas.openxmlformats.org/officeDocument/2006/relationships/image" Target="media/image101.emf"/><Relationship Id="rId157" Type="http://schemas.openxmlformats.org/officeDocument/2006/relationships/image" Target="media/image100.tiff"/><Relationship Id="rId156" Type="http://schemas.openxmlformats.org/officeDocument/2006/relationships/image" Target="media/image99.emf"/><Relationship Id="rId155" Type="http://schemas.openxmlformats.org/officeDocument/2006/relationships/image" Target="media/image98.png"/><Relationship Id="rId154" Type="http://schemas.openxmlformats.org/officeDocument/2006/relationships/image" Target="media/image97.png"/><Relationship Id="rId153" Type="http://schemas.openxmlformats.org/officeDocument/2006/relationships/image" Target="media/image96.png"/><Relationship Id="rId152" Type="http://schemas.openxmlformats.org/officeDocument/2006/relationships/image" Target="media/image95.emf"/><Relationship Id="rId151" Type="http://schemas.openxmlformats.org/officeDocument/2006/relationships/image" Target="media/image94.emf"/><Relationship Id="rId150" Type="http://schemas.openxmlformats.org/officeDocument/2006/relationships/image" Target="media/image93.png"/><Relationship Id="rId15" Type="http://schemas.openxmlformats.org/officeDocument/2006/relationships/image" Target="media/image6.wmf"/><Relationship Id="rId149" Type="http://schemas.openxmlformats.org/officeDocument/2006/relationships/image" Target="media/image92.png"/><Relationship Id="rId148" Type="http://schemas.openxmlformats.org/officeDocument/2006/relationships/image" Target="media/image91.png"/><Relationship Id="rId147" Type="http://schemas.openxmlformats.org/officeDocument/2006/relationships/image" Target="media/image90.png"/><Relationship Id="rId146" Type="http://schemas.openxmlformats.org/officeDocument/2006/relationships/image" Target="media/image89.png"/><Relationship Id="rId145" Type="http://schemas.openxmlformats.org/officeDocument/2006/relationships/image" Target="media/image88.png"/><Relationship Id="rId144" Type="http://schemas.openxmlformats.org/officeDocument/2006/relationships/image" Target="media/image87.png"/><Relationship Id="rId143" Type="http://schemas.openxmlformats.org/officeDocument/2006/relationships/image" Target="media/image86.png"/><Relationship Id="rId142" Type="http://schemas.openxmlformats.org/officeDocument/2006/relationships/image" Target="media/image85.png"/><Relationship Id="rId141" Type="http://schemas.openxmlformats.org/officeDocument/2006/relationships/image" Target="media/image84.png"/><Relationship Id="rId140" Type="http://schemas.openxmlformats.org/officeDocument/2006/relationships/image" Target="media/image83.png"/><Relationship Id="rId14" Type="http://schemas.openxmlformats.org/officeDocument/2006/relationships/oleObject" Target="embeddings/oleObject6.bin"/><Relationship Id="rId139" Type="http://schemas.openxmlformats.org/officeDocument/2006/relationships/image" Target="media/image82.png"/><Relationship Id="rId138" Type="http://schemas.openxmlformats.org/officeDocument/2006/relationships/image" Target="media/image81.png"/><Relationship Id="rId137" Type="http://schemas.openxmlformats.org/officeDocument/2006/relationships/image" Target="media/image80.tiff"/><Relationship Id="rId136" Type="http://schemas.openxmlformats.org/officeDocument/2006/relationships/image" Target="media/image79.png"/><Relationship Id="rId135" Type="http://schemas.openxmlformats.org/officeDocument/2006/relationships/image" Target="media/image78.png"/><Relationship Id="rId134" Type="http://schemas.openxmlformats.org/officeDocument/2006/relationships/image" Target="media/image77.png"/><Relationship Id="rId133" Type="http://schemas.openxmlformats.org/officeDocument/2006/relationships/image" Target="media/image76.emf"/><Relationship Id="rId132" Type="http://schemas.openxmlformats.org/officeDocument/2006/relationships/image" Target="media/image75.emf"/><Relationship Id="rId131" Type="http://schemas.openxmlformats.org/officeDocument/2006/relationships/image" Target="media/image74.emf"/><Relationship Id="rId130" Type="http://schemas.openxmlformats.org/officeDocument/2006/relationships/image" Target="media/image73.png"/><Relationship Id="rId13" Type="http://schemas.openxmlformats.org/officeDocument/2006/relationships/image" Target="media/image5.wmf"/><Relationship Id="rId129" Type="http://schemas.openxmlformats.org/officeDocument/2006/relationships/image" Target="media/image72.png"/><Relationship Id="rId128" Type="http://schemas.openxmlformats.org/officeDocument/2006/relationships/image" Target="media/image71.png"/><Relationship Id="rId127" Type="http://schemas.openxmlformats.org/officeDocument/2006/relationships/image" Target="media/image70.png"/><Relationship Id="rId126" Type="http://schemas.openxmlformats.org/officeDocument/2006/relationships/image" Target="media/image69.emf"/><Relationship Id="rId125" Type="http://schemas.openxmlformats.org/officeDocument/2006/relationships/image" Target="media/image68.png"/><Relationship Id="rId124" Type="http://schemas.openxmlformats.org/officeDocument/2006/relationships/image" Target="media/image67.png"/><Relationship Id="rId123" Type="http://schemas.openxmlformats.org/officeDocument/2006/relationships/image" Target="media/image66.png"/><Relationship Id="rId122" Type="http://schemas.openxmlformats.org/officeDocument/2006/relationships/image" Target="media/image65.emf"/><Relationship Id="rId121" Type="http://schemas.openxmlformats.org/officeDocument/2006/relationships/image" Target="media/image64.emf"/><Relationship Id="rId120" Type="http://schemas.openxmlformats.org/officeDocument/2006/relationships/image" Target="media/image63.png"/><Relationship Id="rId12" Type="http://schemas.openxmlformats.org/officeDocument/2006/relationships/oleObject" Target="embeddings/oleObject5.bin"/><Relationship Id="rId119" Type="http://schemas.openxmlformats.org/officeDocument/2006/relationships/image" Target="media/image62.png"/><Relationship Id="rId118" Type="http://schemas.openxmlformats.org/officeDocument/2006/relationships/image" Target="media/image61.emf"/><Relationship Id="rId117" Type="http://schemas.openxmlformats.org/officeDocument/2006/relationships/image" Target="media/image60.emf"/><Relationship Id="rId116" Type="http://schemas.openxmlformats.org/officeDocument/2006/relationships/image" Target="media/image59.emf"/><Relationship Id="rId115" Type="http://schemas.openxmlformats.org/officeDocument/2006/relationships/image" Target="media/image58.png"/><Relationship Id="rId114" Type="http://schemas.openxmlformats.org/officeDocument/2006/relationships/image" Target="media/image57.png"/><Relationship Id="rId113" Type="http://schemas.openxmlformats.org/officeDocument/2006/relationships/image" Target="media/image56.png"/><Relationship Id="rId112" Type="http://schemas.openxmlformats.org/officeDocument/2006/relationships/image" Target="media/image55.png"/><Relationship Id="rId111" Type="http://schemas.openxmlformats.org/officeDocument/2006/relationships/image" Target="media/image54.wmf"/><Relationship Id="rId110" Type="http://schemas.openxmlformats.org/officeDocument/2006/relationships/oleObject" Target="embeddings/oleObject54.bin"/><Relationship Id="rId11" Type="http://schemas.openxmlformats.org/officeDocument/2006/relationships/image" Target="media/image4.wmf"/><Relationship Id="rId109" Type="http://schemas.openxmlformats.org/officeDocument/2006/relationships/image" Target="media/image53.wmf"/><Relationship Id="rId108" Type="http://schemas.openxmlformats.org/officeDocument/2006/relationships/oleObject" Target="embeddings/oleObject53.bin"/><Relationship Id="rId107" Type="http://schemas.openxmlformats.org/officeDocument/2006/relationships/image" Target="media/image52.wmf"/><Relationship Id="rId106" Type="http://schemas.openxmlformats.org/officeDocument/2006/relationships/oleObject" Target="embeddings/oleObject52.bin"/><Relationship Id="rId105" Type="http://schemas.openxmlformats.org/officeDocument/2006/relationships/image" Target="media/image51.wmf"/><Relationship Id="rId104" Type="http://schemas.openxmlformats.org/officeDocument/2006/relationships/oleObject" Target="embeddings/oleObject51.bin"/><Relationship Id="rId103" Type="http://schemas.openxmlformats.org/officeDocument/2006/relationships/image" Target="media/image50.wmf"/><Relationship Id="rId102" Type="http://schemas.openxmlformats.org/officeDocument/2006/relationships/oleObject" Target="embeddings/oleObject50.bin"/><Relationship Id="rId101" Type="http://schemas.openxmlformats.org/officeDocument/2006/relationships/image" Target="media/image49.wmf"/><Relationship Id="rId100" Type="http://schemas.openxmlformats.org/officeDocument/2006/relationships/oleObject" Target="embeddings/oleObject49.bin"/><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51</Pages>
  <Words>4304</Words>
  <Characters>22285</Characters>
  <Lines>526</Lines>
  <Paragraphs>148</Paragraphs>
  <TotalTime>3</TotalTime>
  <ScaleCrop>false</ScaleCrop>
  <LinksUpToDate>false</LinksUpToDate>
  <CharactersWithSpaces>25995</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2025-04-14T03:28:00Z</dcterms:created>
  <dc:creator>user</dc:creator>
  <cp:lastModifiedBy>Jihong Pu</cp:lastModifiedBy>
  <dcterms:modified xsi:type="dcterms:W3CDTF">2025-10-28T13:24:10Z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KSOTemplateDocerSaveRecord">
    <vt:lpwstr>eyJoZGlkIjoiNGYyN2IxYWNmNDM3ZWMzOGNjYzlmMjJhYjNhZDI3MmQiLCJ1c2VySWQiOiIxOTkzNjgxNTIifQ==</vt:lpwstr>
  </property>
  <property fmtid="{D5CDD505-2E9C-101B-9397-08002B2CF9AE}" pid="4" name="ICV">
    <vt:lpwstr>65A1D1678B8C4649B27313A2D8005C70_12</vt:lpwstr>
  </property>
</Properties>
</file>