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3D" w:rsidRDefault="00625E3D" w:rsidP="00625E3D">
      <w:pPr>
        <w:spacing w:before="240"/>
        <w:rPr>
          <w:rStyle w:val="Strong"/>
          <w:b w:val="0"/>
        </w:rPr>
      </w:pPr>
      <w:r>
        <w:rPr>
          <w:b/>
        </w:rPr>
        <w:t>T</w:t>
      </w:r>
      <w:r>
        <w:rPr>
          <w:rStyle w:val="SubtleEmphasis1"/>
          <w:b/>
          <w:bCs/>
        </w:rPr>
        <w:t xml:space="preserve">he </w:t>
      </w:r>
      <w:r>
        <w:rPr>
          <w:b/>
        </w:rPr>
        <w:t xml:space="preserve">differential </w:t>
      </w:r>
      <w:r w:rsidRPr="002A38AD">
        <w:rPr>
          <w:rStyle w:val="SubtleEmphasis1"/>
          <w:b/>
          <w:bCs/>
          <w:i w:val="0"/>
        </w:rPr>
        <w:t>diagnostic role of</w:t>
      </w:r>
      <w:r>
        <w:rPr>
          <w:rStyle w:val="SubtleEmphasis1"/>
          <w:b/>
          <w:bCs/>
        </w:rPr>
        <w:t xml:space="preserve"> </w:t>
      </w:r>
      <w:r>
        <w:rPr>
          <w:b/>
        </w:rPr>
        <w:t xml:space="preserve">complete blood cell count </w:t>
      </w:r>
      <w:r>
        <w:rPr>
          <w:rFonts w:eastAsia="MinionPro-Bold"/>
          <w:b/>
        </w:rPr>
        <w:t xml:space="preserve">parameters </w:t>
      </w:r>
      <w:r w:rsidRPr="002A38AD">
        <w:rPr>
          <w:rStyle w:val="SubtleEmphasis1"/>
          <w:b/>
          <w:bCs/>
          <w:i w:val="0"/>
        </w:rPr>
        <w:t xml:space="preserve">in patients with bacterial pneumonia from non-bacterial pneumonia </w:t>
      </w:r>
    </w:p>
    <w:p w:rsidR="00625E3D" w:rsidRDefault="00625E3D" w:rsidP="00625E3D">
      <w:pPr>
        <w:spacing w:before="240" w:line="480" w:lineRule="auto"/>
        <w:jc w:val="both"/>
        <w:rPr>
          <w:rFonts w:eastAsia="SimSun" w:cs="Times New Roman"/>
          <w:b/>
          <w:bCs/>
          <w:color w:val="1F1F22"/>
          <w:szCs w:val="24"/>
        </w:rPr>
      </w:pPr>
      <w:proofErr w:type="spellStart"/>
      <w:r>
        <w:rPr>
          <w:b/>
        </w:rPr>
        <w:t>Yalweayker</w:t>
      </w:r>
      <w:proofErr w:type="spellEnd"/>
      <w:r>
        <w:rPr>
          <w:b/>
        </w:rPr>
        <w:t xml:space="preserve"> Eyayu</w:t>
      </w:r>
      <w:r>
        <w:rPr>
          <w:rFonts w:cs="Times New Roman"/>
          <w:b/>
          <w:szCs w:val="24"/>
          <w:vertAlign w:val="superscript"/>
        </w:rPr>
        <w:t>1</w:t>
      </w:r>
      <w:r>
        <w:rPr>
          <w:rFonts w:cs="Times New Roman"/>
          <w:b/>
          <w:color w:val="000000" w:themeColor="text1"/>
          <w:szCs w:val="24"/>
          <w:vertAlign w:val="superscript"/>
          <w:lang w:val="en-GB"/>
        </w:rPr>
        <w:t>,</w:t>
      </w:r>
      <w:r>
        <w:rPr>
          <w:rFonts w:eastAsia="Times New Roman" w:cs="Times New Roman"/>
          <w:szCs w:val="24"/>
        </w:rPr>
        <w:t>*</w:t>
      </w:r>
      <w:r>
        <w:rPr>
          <w:rFonts w:cs="Times New Roman"/>
          <w:b/>
          <w:szCs w:val="24"/>
        </w:rPr>
        <w:t xml:space="preserve">, </w:t>
      </w:r>
      <w:proofErr w:type="spellStart"/>
      <w:r>
        <w:rPr>
          <w:b/>
        </w:rPr>
        <w:t>Yemataw</w:t>
      </w:r>
      <w:proofErr w:type="spellEnd"/>
      <w:r>
        <w:rPr>
          <w:b/>
        </w:rPr>
        <w:t xml:space="preserve"> Gelaw</w:t>
      </w:r>
      <w:r>
        <w:rPr>
          <w:rFonts w:cs="Times New Roman"/>
          <w:b/>
          <w:szCs w:val="24"/>
          <w:vertAlign w:val="superscript"/>
        </w:rPr>
        <w:t>1</w:t>
      </w:r>
      <w:r>
        <w:rPr>
          <w:rFonts w:cs="Times New Roman"/>
          <w:b/>
          <w:szCs w:val="24"/>
        </w:rPr>
        <w:t xml:space="preserve">, </w:t>
      </w:r>
      <w:proofErr w:type="spellStart"/>
      <w:r>
        <w:rPr>
          <w:rFonts w:cs="Times New Roman"/>
          <w:b/>
          <w:szCs w:val="24"/>
        </w:rPr>
        <w:t>Aregawi</w:t>
      </w:r>
      <w:proofErr w:type="spellEnd"/>
      <w:r>
        <w:rPr>
          <w:rFonts w:cs="Times New Roman"/>
          <w:b/>
          <w:szCs w:val="24"/>
        </w:rPr>
        <w:t xml:space="preserve"> Yalew</w:t>
      </w:r>
      <w:r>
        <w:rPr>
          <w:rFonts w:cs="Times New Roman"/>
          <w:b/>
          <w:szCs w:val="24"/>
          <w:vertAlign w:val="superscript"/>
        </w:rPr>
        <w:t>1</w:t>
      </w:r>
      <w:r>
        <w:rPr>
          <w:rFonts w:cs="Times New Roman"/>
          <w:b/>
          <w:szCs w:val="24"/>
        </w:rPr>
        <w:t xml:space="preserve">, </w:t>
      </w:r>
      <w:proofErr w:type="spellStart"/>
      <w:r>
        <w:rPr>
          <w:rFonts w:cs="Times New Roman"/>
          <w:b/>
          <w:color w:val="000000" w:themeColor="text1"/>
          <w:szCs w:val="24"/>
          <w:lang w:val="en-GB"/>
        </w:rPr>
        <w:t>Sintayehu</w:t>
      </w:r>
      <w:proofErr w:type="spellEnd"/>
      <w:r>
        <w:rPr>
          <w:rFonts w:cs="Times New Roman"/>
          <w:b/>
          <w:color w:val="000000" w:themeColor="text1"/>
          <w:szCs w:val="24"/>
          <w:lang w:val="en-GB"/>
        </w:rPr>
        <w:t xml:space="preserve"> Admas</w:t>
      </w:r>
      <w:r>
        <w:rPr>
          <w:rFonts w:cs="Times New Roman"/>
          <w:b/>
          <w:color w:val="000000" w:themeColor="text1"/>
          <w:szCs w:val="24"/>
          <w:vertAlign w:val="superscript"/>
          <w:lang w:val="en-GB"/>
        </w:rPr>
        <w:t>1</w:t>
      </w:r>
      <w:r>
        <w:rPr>
          <w:rFonts w:cs="Times New Roman"/>
          <w:b/>
          <w:color w:val="000000" w:themeColor="text1"/>
          <w:szCs w:val="24"/>
          <w:lang w:val="en-GB"/>
        </w:rPr>
        <w:t xml:space="preserve">, </w:t>
      </w:r>
      <w:proofErr w:type="spellStart"/>
      <w:r>
        <w:rPr>
          <w:rFonts w:cs="Times New Roman"/>
          <w:b/>
          <w:color w:val="000000" w:themeColor="text1"/>
          <w:szCs w:val="24"/>
          <w:lang w:val="en-GB"/>
        </w:rPr>
        <w:t>Nigusie</w:t>
      </w:r>
      <w:proofErr w:type="spellEnd"/>
      <w:r>
        <w:rPr>
          <w:rFonts w:cs="Times New Roman"/>
          <w:b/>
          <w:color w:val="000000" w:themeColor="text1"/>
          <w:szCs w:val="24"/>
          <w:lang w:val="en-GB"/>
        </w:rPr>
        <w:t xml:space="preserve"> Alemu</w:t>
      </w:r>
      <w:r>
        <w:rPr>
          <w:rFonts w:cs="Times New Roman"/>
          <w:b/>
          <w:color w:val="000000" w:themeColor="text1"/>
          <w:szCs w:val="24"/>
          <w:vertAlign w:val="superscript"/>
          <w:lang w:val="en-GB"/>
        </w:rPr>
        <w:t>1</w:t>
      </w:r>
      <w:r>
        <w:rPr>
          <w:rStyle w:val="Strong"/>
        </w:rPr>
        <w:t xml:space="preserve">, </w:t>
      </w:r>
      <w:proofErr w:type="spellStart"/>
      <w:r w:rsidRPr="00625E3D">
        <w:rPr>
          <w:rStyle w:val="Strong"/>
        </w:rPr>
        <w:t>Abebe</w:t>
      </w:r>
      <w:proofErr w:type="spellEnd"/>
      <w:r w:rsidRPr="00625E3D">
        <w:rPr>
          <w:rStyle w:val="Strong"/>
        </w:rPr>
        <w:t xml:space="preserve"> Birhanu</w:t>
      </w:r>
      <w:r>
        <w:rPr>
          <w:rFonts w:cs="Times New Roman"/>
          <w:szCs w:val="24"/>
          <w:vertAlign w:val="superscript"/>
        </w:rPr>
        <w:t>2</w:t>
      </w:r>
      <w:r>
        <w:rPr>
          <w:rStyle w:val="Strong"/>
        </w:rPr>
        <w:t xml:space="preserve">, </w:t>
      </w:r>
      <w:proofErr w:type="spellStart"/>
      <w:r>
        <w:rPr>
          <w:rStyle w:val="Strong"/>
        </w:rPr>
        <w:t>Mitkie</w:t>
      </w:r>
      <w:proofErr w:type="spellEnd"/>
      <w:r>
        <w:rPr>
          <w:rStyle w:val="Strong"/>
        </w:rPr>
        <w:t xml:space="preserve"> Tigabie</w:t>
      </w:r>
      <w:r>
        <w:rPr>
          <w:rFonts w:cs="Times New Roman"/>
          <w:szCs w:val="24"/>
          <w:vertAlign w:val="superscript"/>
        </w:rPr>
        <w:t>2</w:t>
      </w:r>
      <w:r>
        <w:rPr>
          <w:rStyle w:val="Strong"/>
        </w:rPr>
        <w:t xml:space="preserve">, </w:t>
      </w:r>
      <w:proofErr w:type="spellStart"/>
      <w:r>
        <w:rPr>
          <w:rStyle w:val="Strong"/>
        </w:rPr>
        <w:t>Lyusera</w:t>
      </w:r>
      <w:proofErr w:type="spellEnd"/>
      <w:r>
        <w:rPr>
          <w:rStyle w:val="Strong"/>
        </w:rPr>
        <w:t xml:space="preserve"> Mar</w:t>
      </w:r>
      <w:r>
        <w:rPr>
          <w:rFonts w:cs="Times New Roman"/>
          <w:b/>
          <w:szCs w:val="24"/>
        </w:rPr>
        <w:t>e</w:t>
      </w:r>
      <w:r>
        <w:rPr>
          <w:rStyle w:val="Strong"/>
        </w:rPr>
        <w:t>lgn</w:t>
      </w:r>
      <w:r>
        <w:rPr>
          <w:rStyle w:val="Strong"/>
          <w:vertAlign w:val="superscript"/>
        </w:rPr>
        <w:t>3</w:t>
      </w:r>
      <w:r>
        <w:rPr>
          <w:rStyle w:val="Strong"/>
        </w:rPr>
        <w:t xml:space="preserve">, </w:t>
      </w:r>
      <w:proofErr w:type="spellStart"/>
      <w:r>
        <w:rPr>
          <w:rFonts w:cs="Times New Roman"/>
          <w:b/>
          <w:szCs w:val="24"/>
        </w:rPr>
        <w:t>Dereje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Mengesha</w:t>
      </w:r>
      <w:proofErr w:type="spellEnd"/>
      <w:r>
        <w:rPr>
          <w:rFonts w:cs="Times New Roman"/>
          <w:b/>
          <w:szCs w:val="24"/>
        </w:rPr>
        <w:t xml:space="preserve"> Berta</w:t>
      </w:r>
      <w:r>
        <w:rPr>
          <w:rFonts w:cs="Times New Roman"/>
          <w:b/>
          <w:szCs w:val="24"/>
          <w:vertAlign w:val="superscript"/>
        </w:rPr>
        <w:t>1</w:t>
      </w:r>
    </w:p>
    <w:p w:rsidR="00625E3D" w:rsidRDefault="00625E3D" w:rsidP="00625E3D">
      <w:pPr>
        <w:spacing w:line="480" w:lineRule="auto"/>
        <w:jc w:val="both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Affiliation</w:t>
      </w:r>
      <w:r>
        <w:rPr>
          <w:rFonts w:cs="Times New Roman"/>
          <w:b/>
          <w:szCs w:val="24"/>
        </w:rPr>
        <w:t>s</w:t>
      </w:r>
      <w:bookmarkStart w:id="0" w:name="_GoBack"/>
      <w:bookmarkEnd w:id="0"/>
    </w:p>
    <w:p w:rsidR="00625E3D" w:rsidRPr="003C3032" w:rsidRDefault="00625E3D" w:rsidP="00625E3D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Cs w:val="24"/>
        </w:rPr>
      </w:pPr>
      <w:r w:rsidRPr="003C3032">
        <w:rPr>
          <w:rFonts w:cs="Times New Roman"/>
          <w:szCs w:val="24"/>
          <w:vertAlign w:val="superscript"/>
        </w:rPr>
        <w:t>1</w:t>
      </w:r>
      <w:r w:rsidRPr="003C3032">
        <w:rPr>
          <w:rFonts w:cs="Times New Roman"/>
          <w:szCs w:val="24"/>
        </w:rPr>
        <w:t>Department of Hematology and Immunohematology, School of Biomedical and Laboratory Sciences, College of Medicine and Health Sciences, University of Gondar ,</w:t>
      </w:r>
      <w:r w:rsidRPr="003C3032">
        <w:rPr>
          <w:rFonts w:cs="Times New Roman"/>
          <w:iCs/>
          <w:color w:val="000000"/>
          <w:sz w:val="22"/>
        </w:rPr>
        <w:t xml:space="preserve">P.O. Box 196, </w:t>
      </w:r>
      <w:r w:rsidRPr="003C3032">
        <w:rPr>
          <w:rFonts w:cs="Times New Roman"/>
          <w:szCs w:val="24"/>
        </w:rPr>
        <w:t xml:space="preserve"> Gondar, Ethiopia</w:t>
      </w:r>
    </w:p>
    <w:p w:rsidR="00625E3D" w:rsidRPr="003C3032" w:rsidRDefault="00625E3D" w:rsidP="00625E3D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Cs w:val="24"/>
        </w:rPr>
      </w:pPr>
      <w:r w:rsidRPr="003C3032">
        <w:rPr>
          <w:rFonts w:cs="Times New Roman"/>
          <w:szCs w:val="24"/>
          <w:vertAlign w:val="superscript"/>
        </w:rPr>
        <w:t>2</w:t>
      </w:r>
      <w:r w:rsidRPr="003C3032">
        <w:rPr>
          <w:rFonts w:cs="Times New Roman"/>
          <w:szCs w:val="24"/>
        </w:rPr>
        <w:t xml:space="preserve">Department of </w:t>
      </w:r>
      <w:r w:rsidRPr="00625E3D">
        <w:rPr>
          <w:rStyle w:val="Strong"/>
          <w:rFonts w:cs="Times New Roman"/>
          <w:b w:val="0"/>
        </w:rPr>
        <w:t>Microbiology</w:t>
      </w:r>
      <w:r w:rsidRPr="00625E3D">
        <w:rPr>
          <w:rFonts w:cs="Times New Roman"/>
          <w:b/>
          <w:szCs w:val="24"/>
        </w:rPr>
        <w:t>,</w:t>
      </w:r>
      <w:r w:rsidRPr="003C3032">
        <w:rPr>
          <w:rFonts w:cs="Times New Roman"/>
          <w:szCs w:val="24"/>
        </w:rPr>
        <w:t xml:space="preserve"> School of Biomedical and Laboratory Sciences, College of Medicine and Health Sciences, University of Gondar, </w:t>
      </w:r>
      <w:r w:rsidRPr="003C3032">
        <w:rPr>
          <w:rFonts w:cs="Times New Roman"/>
          <w:iCs/>
          <w:color w:val="000000"/>
          <w:sz w:val="22"/>
        </w:rPr>
        <w:t xml:space="preserve">P.O. Box 196, </w:t>
      </w:r>
      <w:r w:rsidRPr="003C3032">
        <w:rPr>
          <w:rFonts w:cs="Times New Roman"/>
          <w:szCs w:val="24"/>
        </w:rPr>
        <w:t>Gondar, Ethiopia</w:t>
      </w:r>
    </w:p>
    <w:p w:rsidR="00625E3D" w:rsidRPr="003C3032" w:rsidRDefault="00625E3D" w:rsidP="00625E3D">
      <w:pPr>
        <w:spacing w:line="480" w:lineRule="auto"/>
        <w:rPr>
          <w:rFonts w:cs="Times New Roman"/>
          <w:color w:val="000000"/>
          <w:szCs w:val="24"/>
        </w:rPr>
      </w:pPr>
      <w:r w:rsidRPr="003C3032">
        <w:rPr>
          <w:rFonts w:cs="Times New Roman"/>
          <w:szCs w:val="24"/>
          <w:vertAlign w:val="superscript"/>
        </w:rPr>
        <w:t>3</w:t>
      </w:r>
      <w:r w:rsidRPr="003C3032">
        <w:rPr>
          <w:rFonts w:cs="Times New Roman"/>
          <w:szCs w:val="24"/>
        </w:rPr>
        <w:t xml:space="preserve">Department of </w:t>
      </w:r>
      <w:r>
        <w:rPr>
          <w:rFonts w:cs="Times New Roman"/>
          <w:szCs w:val="24"/>
        </w:rPr>
        <w:t>Medical</w:t>
      </w:r>
      <w:r w:rsidRPr="003C3032">
        <w:rPr>
          <w:rFonts w:cs="Times New Roman"/>
          <w:szCs w:val="24"/>
        </w:rPr>
        <w:t xml:space="preserve"> Laboratory Science, College of Health Science, </w:t>
      </w:r>
      <w:proofErr w:type="spellStart"/>
      <w:r w:rsidRPr="003C3032">
        <w:rPr>
          <w:rFonts w:cs="Times New Roman"/>
          <w:color w:val="000000"/>
          <w:szCs w:val="24"/>
        </w:rPr>
        <w:t>MizanTepi</w:t>
      </w:r>
      <w:proofErr w:type="spellEnd"/>
      <w:r w:rsidRPr="003C3032">
        <w:rPr>
          <w:rFonts w:cs="Times New Roman"/>
          <w:color w:val="000000"/>
          <w:szCs w:val="24"/>
        </w:rPr>
        <w:t xml:space="preserve"> University, </w:t>
      </w:r>
      <w:proofErr w:type="spellStart"/>
      <w:r w:rsidRPr="003C3032">
        <w:rPr>
          <w:rFonts w:cs="Times New Roman"/>
          <w:color w:val="000000"/>
          <w:szCs w:val="24"/>
        </w:rPr>
        <w:t>MizanTepi</w:t>
      </w:r>
      <w:proofErr w:type="spellEnd"/>
      <w:r w:rsidRPr="003C3032">
        <w:rPr>
          <w:rFonts w:cs="Times New Roman"/>
          <w:color w:val="000000"/>
          <w:szCs w:val="24"/>
        </w:rPr>
        <w:t xml:space="preserve">, Ethiopia. </w:t>
      </w:r>
    </w:p>
    <w:p w:rsidR="00625E3D" w:rsidRDefault="00625E3D" w:rsidP="00625E3D">
      <w:pPr>
        <w:spacing w:line="480" w:lineRule="auto"/>
        <w:jc w:val="both"/>
        <w:rPr>
          <w:rFonts w:cs="Times New Roman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Corresponding Author: </w:t>
      </w:r>
      <w:r>
        <w:rPr>
          <w:rStyle w:val="Hyperlink"/>
        </w:rPr>
        <w:t>yalweeyayu@gmail.com</w:t>
      </w:r>
    </w:p>
    <w:p w:rsidR="000B76AF" w:rsidRDefault="00625E3D"/>
    <w:sectPr w:rsidR="000B7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3D"/>
    <w:rsid w:val="00625E3D"/>
    <w:rsid w:val="00AC4FA3"/>
    <w:rsid w:val="00B8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0BF10-9BC4-4FEC-85AB-8B76E68B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E3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625E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25E3D"/>
    <w:rPr>
      <w:b/>
      <w:bCs/>
    </w:rPr>
  </w:style>
  <w:style w:type="character" w:customStyle="1" w:styleId="SubtleEmphasis1">
    <w:name w:val="Subtle Emphasis1"/>
    <w:basedOn w:val="DefaultParagraphFont"/>
    <w:uiPriority w:val="19"/>
    <w:qFormat/>
    <w:rsid w:val="00625E3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</dc:creator>
  <cp:keywords/>
  <dc:description/>
  <cp:lastModifiedBy>Solomon</cp:lastModifiedBy>
  <cp:revision>1</cp:revision>
  <dcterms:created xsi:type="dcterms:W3CDTF">2025-10-28T15:48:00Z</dcterms:created>
  <dcterms:modified xsi:type="dcterms:W3CDTF">2025-10-28T16:01:00Z</dcterms:modified>
</cp:coreProperties>
</file>