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ABB707" w14:textId="1671C18D" w:rsidR="005D3148" w:rsidRPr="002273D4" w:rsidRDefault="002273D4" w:rsidP="00EB2356">
      <w:pPr>
        <w:spacing w:line="480" w:lineRule="auto"/>
        <w:jc w:val="center"/>
      </w:pPr>
      <w:r>
        <w:rPr>
          <w:b/>
          <w:bCs/>
        </w:rPr>
        <w:t>SUPPLEMENTARY MATERIAL</w:t>
      </w:r>
    </w:p>
    <w:p w14:paraId="5941A45C" w14:textId="77777777" w:rsidR="002273D4" w:rsidRDefault="002273D4" w:rsidP="00EB2356">
      <w:pPr>
        <w:spacing w:line="480" w:lineRule="auto"/>
      </w:pPr>
    </w:p>
    <w:p w14:paraId="4D87182F" w14:textId="77777777" w:rsidR="00EB2356" w:rsidRPr="00350420" w:rsidRDefault="00EB2356" w:rsidP="00EB2356">
      <w:pPr>
        <w:spacing w:line="480" w:lineRule="auto"/>
        <w:jc w:val="center"/>
        <w:rPr>
          <w:rFonts w:ascii="Arial" w:hAnsi="Arial" w:cs="Arial"/>
          <w:b/>
          <w:bCs/>
          <w:sz w:val="28"/>
          <w:szCs w:val="28"/>
        </w:rPr>
      </w:pPr>
      <w:r w:rsidRPr="00350420">
        <w:rPr>
          <w:rFonts w:ascii="Arial" w:hAnsi="Arial" w:cs="Arial"/>
          <w:b/>
          <w:bCs/>
          <w:sz w:val="28"/>
          <w:szCs w:val="28"/>
        </w:rPr>
        <w:t xml:space="preserve">Spatial </w:t>
      </w:r>
      <w:r>
        <w:rPr>
          <w:rFonts w:ascii="Arial" w:hAnsi="Arial" w:cs="Arial"/>
          <w:b/>
          <w:bCs/>
          <w:sz w:val="28"/>
          <w:szCs w:val="28"/>
        </w:rPr>
        <w:t>transcriptomics links hepatocyte-macrophage interactions to viral signatures in seronegative hepatitis</w:t>
      </w:r>
    </w:p>
    <w:p w14:paraId="52B7A647" w14:textId="77777777" w:rsidR="00EB2356" w:rsidRPr="00350420" w:rsidRDefault="00EB2356" w:rsidP="00EB2356">
      <w:pPr>
        <w:spacing w:line="480" w:lineRule="auto"/>
        <w:jc w:val="center"/>
        <w:rPr>
          <w:rFonts w:ascii="Arial" w:hAnsi="Arial" w:cs="Arial"/>
          <w:sz w:val="22"/>
          <w:szCs w:val="22"/>
        </w:rPr>
      </w:pPr>
    </w:p>
    <w:p w14:paraId="6E9E5798" w14:textId="0E631EE9" w:rsidR="00FE6D49" w:rsidRPr="00350420" w:rsidRDefault="00FE6D49" w:rsidP="00FE6D49">
      <w:pPr>
        <w:spacing w:line="480" w:lineRule="auto"/>
        <w:rPr>
          <w:rFonts w:ascii="Arial" w:hAnsi="Arial" w:cs="Arial"/>
          <w:sz w:val="22"/>
          <w:szCs w:val="22"/>
          <w:vertAlign w:val="superscript"/>
        </w:rPr>
      </w:pPr>
      <w:r w:rsidRPr="00350420">
        <w:rPr>
          <w:rFonts w:ascii="Arial" w:hAnsi="Arial" w:cs="Arial"/>
          <w:sz w:val="22"/>
          <w:szCs w:val="22"/>
          <w:u w:val="single"/>
        </w:rPr>
        <w:t>Amber G. Bozward</w:t>
      </w:r>
      <w:r w:rsidRPr="00350420">
        <w:rPr>
          <w:rFonts w:ascii="Arial" w:hAnsi="Arial" w:cs="Arial"/>
          <w:sz w:val="22"/>
          <w:szCs w:val="22"/>
          <w:vertAlign w:val="superscript"/>
        </w:rPr>
        <w:t>1,2,3</w:t>
      </w:r>
      <w:r w:rsidR="00922056">
        <w:rPr>
          <w:rFonts w:ascii="Arial" w:hAnsi="Arial" w:cs="Arial"/>
          <w:sz w:val="22"/>
          <w:szCs w:val="22"/>
          <w:vertAlign w:val="superscript"/>
        </w:rPr>
        <w:t>,9</w:t>
      </w:r>
      <w:r>
        <w:rPr>
          <w:rFonts w:ascii="Arial" w:hAnsi="Arial" w:cs="Arial"/>
          <w:sz w:val="22"/>
          <w:szCs w:val="22"/>
          <w:vertAlign w:val="superscript"/>
        </w:rPr>
        <w:t>*</w:t>
      </w:r>
      <w:r w:rsidRPr="00350420">
        <w:rPr>
          <w:rFonts w:ascii="Arial" w:hAnsi="Arial" w:cs="Arial"/>
          <w:sz w:val="22"/>
          <w:szCs w:val="22"/>
        </w:rPr>
        <w:t>, Ma</w:t>
      </w:r>
      <w:r>
        <w:rPr>
          <w:rFonts w:ascii="Arial" w:hAnsi="Arial" w:cs="Arial"/>
          <w:sz w:val="22"/>
          <w:szCs w:val="22"/>
        </w:rPr>
        <w:t>h</w:t>
      </w:r>
      <w:r w:rsidRPr="00350420">
        <w:rPr>
          <w:rFonts w:ascii="Arial" w:hAnsi="Arial" w:cs="Arial"/>
          <w:sz w:val="22"/>
          <w:szCs w:val="22"/>
        </w:rPr>
        <w:t>boobeh Buhruznia</w:t>
      </w:r>
      <w:r w:rsidRPr="00350420">
        <w:rPr>
          <w:rFonts w:ascii="Arial" w:hAnsi="Arial" w:cs="Arial"/>
          <w:sz w:val="22"/>
          <w:szCs w:val="22"/>
          <w:vertAlign w:val="superscript"/>
        </w:rPr>
        <w:t>4</w:t>
      </w:r>
      <w:r w:rsidRPr="00350420">
        <w:rPr>
          <w:rFonts w:ascii="Arial" w:hAnsi="Arial" w:cs="Arial"/>
          <w:sz w:val="22"/>
          <w:szCs w:val="22"/>
        </w:rPr>
        <w:t xml:space="preserve">, </w:t>
      </w:r>
      <w:r w:rsidRPr="00350420">
        <w:rPr>
          <w:rFonts w:ascii="Arial" w:hAnsi="Arial" w:cs="Arial"/>
          <w:color w:val="000000" w:themeColor="text1"/>
          <w:sz w:val="22"/>
          <w:szCs w:val="22"/>
        </w:rPr>
        <w:t>John Cole</w:t>
      </w:r>
      <w:r w:rsidRPr="00350420">
        <w:rPr>
          <w:rFonts w:ascii="Arial" w:hAnsi="Arial" w:cs="Arial"/>
          <w:color w:val="000000" w:themeColor="text1"/>
          <w:sz w:val="22"/>
          <w:szCs w:val="22"/>
          <w:vertAlign w:val="superscript"/>
        </w:rPr>
        <w:t>5</w:t>
      </w:r>
      <w:r w:rsidRPr="00350420">
        <w:rPr>
          <w:rFonts w:ascii="Arial" w:hAnsi="Arial" w:cs="Arial"/>
          <w:color w:val="000000" w:themeColor="text1"/>
          <w:sz w:val="22"/>
          <w:szCs w:val="22"/>
        </w:rPr>
        <w:t xml:space="preserve">, </w:t>
      </w:r>
      <w:r w:rsidRPr="00350420">
        <w:rPr>
          <w:rFonts w:ascii="Arial" w:hAnsi="Arial" w:cs="Arial"/>
          <w:sz w:val="22"/>
          <w:szCs w:val="22"/>
        </w:rPr>
        <w:t>Scott P. Davies</w:t>
      </w:r>
      <w:r w:rsidRPr="00350420">
        <w:rPr>
          <w:rFonts w:ascii="Arial" w:hAnsi="Arial" w:cs="Arial"/>
          <w:sz w:val="22"/>
          <w:szCs w:val="22"/>
          <w:vertAlign w:val="superscript"/>
        </w:rPr>
        <w:t>1,2</w:t>
      </w:r>
      <w:r w:rsidRPr="00350420">
        <w:rPr>
          <w:rFonts w:ascii="Arial" w:hAnsi="Arial" w:cs="Arial"/>
          <w:sz w:val="22"/>
          <w:szCs w:val="22"/>
        </w:rPr>
        <w:t xml:space="preserve">, </w:t>
      </w:r>
      <w:r w:rsidRPr="00350420">
        <w:rPr>
          <w:rFonts w:ascii="Arial" w:hAnsi="Arial" w:cs="Arial"/>
          <w:color w:val="000000" w:themeColor="text1"/>
          <w:sz w:val="22"/>
          <w:szCs w:val="22"/>
        </w:rPr>
        <w:t>Kylie Savoye</w:t>
      </w:r>
      <w:r w:rsidRPr="00350420">
        <w:rPr>
          <w:rFonts w:ascii="Arial" w:hAnsi="Arial" w:cs="Arial"/>
          <w:color w:val="000000" w:themeColor="text1"/>
          <w:sz w:val="21"/>
          <w:szCs w:val="21"/>
          <w:vertAlign w:val="superscript"/>
        </w:rPr>
        <w:t>6</w:t>
      </w:r>
      <w:r w:rsidRPr="00350420">
        <w:rPr>
          <w:rFonts w:ascii="Arial" w:hAnsi="Arial" w:cs="Arial"/>
          <w:color w:val="000000" w:themeColor="text1"/>
          <w:sz w:val="22"/>
          <w:szCs w:val="22"/>
        </w:rPr>
        <w:t xml:space="preserve">, </w:t>
      </w:r>
      <w:r w:rsidRPr="00350420">
        <w:rPr>
          <w:rFonts w:ascii="Arial" w:hAnsi="Arial" w:cs="Arial"/>
          <w:sz w:val="22"/>
          <w:szCs w:val="22"/>
        </w:rPr>
        <w:t>Chiranjit Das</w:t>
      </w:r>
      <w:r w:rsidRPr="00350420">
        <w:rPr>
          <w:rFonts w:ascii="Arial" w:hAnsi="Arial" w:cs="Arial"/>
          <w:sz w:val="22"/>
          <w:szCs w:val="22"/>
          <w:vertAlign w:val="superscript"/>
        </w:rPr>
        <w:t>1</w:t>
      </w:r>
      <w:r w:rsidR="00922056">
        <w:rPr>
          <w:rFonts w:ascii="Arial" w:hAnsi="Arial" w:cs="Arial"/>
          <w:sz w:val="22"/>
          <w:szCs w:val="22"/>
          <w:vertAlign w:val="superscript"/>
        </w:rPr>
        <w:t>,2</w:t>
      </w:r>
      <w:r w:rsidRPr="00350420">
        <w:rPr>
          <w:rFonts w:ascii="Arial" w:hAnsi="Arial" w:cs="Arial"/>
          <w:sz w:val="22"/>
          <w:szCs w:val="22"/>
        </w:rPr>
        <w:t>, Matthew Pugh</w:t>
      </w:r>
      <w:r w:rsidRPr="00350420">
        <w:rPr>
          <w:rFonts w:ascii="Arial" w:hAnsi="Arial" w:cs="Arial"/>
          <w:sz w:val="22"/>
          <w:szCs w:val="22"/>
          <w:vertAlign w:val="superscript"/>
        </w:rPr>
        <w:t>1</w:t>
      </w:r>
      <w:r w:rsidRPr="00350420">
        <w:rPr>
          <w:rFonts w:ascii="Arial" w:hAnsi="Arial" w:cs="Arial"/>
          <w:sz w:val="22"/>
          <w:szCs w:val="22"/>
        </w:rPr>
        <w:t>, Grace Wootton</w:t>
      </w:r>
      <w:r w:rsidRPr="00350420">
        <w:rPr>
          <w:rFonts w:ascii="Arial" w:hAnsi="Arial" w:cs="Arial"/>
          <w:sz w:val="22"/>
          <w:szCs w:val="22"/>
          <w:vertAlign w:val="superscript"/>
        </w:rPr>
        <w:t>1</w:t>
      </w:r>
      <w:r w:rsidRPr="00350420">
        <w:rPr>
          <w:rFonts w:ascii="Arial" w:hAnsi="Arial" w:cs="Arial"/>
          <w:sz w:val="22"/>
          <w:szCs w:val="22"/>
        </w:rPr>
        <w:t>, Patricia Reis Nisa</w:t>
      </w:r>
      <w:r w:rsidRPr="00350420">
        <w:rPr>
          <w:rFonts w:ascii="Arial" w:hAnsi="Arial" w:cs="Arial"/>
          <w:sz w:val="22"/>
          <w:szCs w:val="22"/>
          <w:vertAlign w:val="superscript"/>
        </w:rPr>
        <w:t>7</w:t>
      </w:r>
      <w:r w:rsidRPr="00350420">
        <w:rPr>
          <w:rFonts w:ascii="Arial" w:hAnsi="Arial" w:cs="Arial"/>
          <w:sz w:val="22"/>
          <w:szCs w:val="22"/>
        </w:rPr>
        <w:t>, Fabian Spill</w:t>
      </w:r>
      <w:r w:rsidRPr="00350420">
        <w:rPr>
          <w:rFonts w:ascii="Arial" w:hAnsi="Arial" w:cs="Arial"/>
          <w:sz w:val="22"/>
          <w:szCs w:val="22"/>
          <w:vertAlign w:val="superscript"/>
        </w:rPr>
        <w:t>6</w:t>
      </w:r>
      <w:r w:rsidRPr="00350420">
        <w:rPr>
          <w:rFonts w:ascii="Arial" w:hAnsi="Arial" w:cs="Arial"/>
          <w:sz w:val="22"/>
          <w:szCs w:val="22"/>
        </w:rPr>
        <w:t>, Owen Cain</w:t>
      </w:r>
      <w:r>
        <w:rPr>
          <w:rFonts w:ascii="Arial" w:hAnsi="Arial" w:cs="Arial"/>
          <w:sz w:val="22"/>
          <w:szCs w:val="22"/>
          <w:vertAlign w:val="superscript"/>
        </w:rPr>
        <w:t>7</w:t>
      </w:r>
      <w:r w:rsidRPr="00350420">
        <w:rPr>
          <w:rFonts w:ascii="Arial" w:hAnsi="Arial" w:cs="Arial"/>
          <w:sz w:val="22"/>
          <w:szCs w:val="22"/>
        </w:rPr>
        <w:t xml:space="preserve">, Adam </w:t>
      </w:r>
      <w:r>
        <w:rPr>
          <w:rFonts w:ascii="Arial" w:hAnsi="Arial" w:cs="Arial"/>
          <w:sz w:val="22"/>
          <w:szCs w:val="22"/>
        </w:rPr>
        <w:t xml:space="preserve">P. </w:t>
      </w:r>
      <w:r w:rsidRPr="00350420">
        <w:rPr>
          <w:rFonts w:ascii="Arial" w:hAnsi="Arial" w:cs="Arial"/>
          <w:sz w:val="22"/>
          <w:szCs w:val="22"/>
        </w:rPr>
        <w:t>Croft</w:t>
      </w:r>
      <w:r>
        <w:rPr>
          <w:rFonts w:ascii="Arial" w:hAnsi="Arial" w:cs="Arial"/>
          <w:sz w:val="22"/>
          <w:szCs w:val="22"/>
          <w:vertAlign w:val="superscript"/>
        </w:rPr>
        <w:t>8,9</w:t>
      </w:r>
      <w:r w:rsidRPr="00350420">
        <w:rPr>
          <w:rFonts w:ascii="Arial" w:hAnsi="Arial" w:cs="Arial"/>
          <w:sz w:val="22"/>
          <w:szCs w:val="22"/>
        </w:rPr>
        <w:t>, Alan McNally</w:t>
      </w:r>
      <w:r w:rsidRPr="00350420">
        <w:rPr>
          <w:rFonts w:ascii="Arial" w:hAnsi="Arial" w:cs="Arial"/>
          <w:sz w:val="22"/>
          <w:szCs w:val="22"/>
          <w:vertAlign w:val="superscript"/>
        </w:rPr>
        <w:t>4</w:t>
      </w:r>
      <w:r w:rsidRPr="00350420">
        <w:rPr>
          <w:rFonts w:ascii="Arial" w:hAnsi="Arial" w:cs="Arial"/>
          <w:sz w:val="22"/>
          <w:szCs w:val="22"/>
        </w:rPr>
        <w:t>, Ye H. Oo</w:t>
      </w:r>
      <w:r w:rsidRPr="00350420">
        <w:rPr>
          <w:rFonts w:ascii="Arial" w:hAnsi="Arial" w:cs="Arial"/>
          <w:sz w:val="22"/>
          <w:szCs w:val="22"/>
          <w:vertAlign w:val="superscript"/>
        </w:rPr>
        <w:t>1,2,3</w:t>
      </w:r>
      <w:r>
        <w:rPr>
          <w:rFonts w:ascii="Arial" w:hAnsi="Arial" w:cs="Arial"/>
          <w:sz w:val="22"/>
          <w:szCs w:val="22"/>
          <w:vertAlign w:val="superscript"/>
        </w:rPr>
        <w:t>,</w:t>
      </w:r>
      <w:r w:rsidR="00922056">
        <w:rPr>
          <w:rFonts w:ascii="Arial" w:hAnsi="Arial" w:cs="Arial"/>
          <w:sz w:val="22"/>
          <w:szCs w:val="22"/>
          <w:vertAlign w:val="superscript"/>
        </w:rPr>
        <w:t>9,</w:t>
      </w:r>
      <w:r>
        <w:rPr>
          <w:rFonts w:ascii="Arial" w:hAnsi="Arial" w:cs="Arial"/>
          <w:sz w:val="22"/>
          <w:szCs w:val="22"/>
          <w:vertAlign w:val="superscript"/>
        </w:rPr>
        <w:t>10</w:t>
      </w:r>
    </w:p>
    <w:p w14:paraId="4B9343ED" w14:textId="77777777" w:rsidR="00FE6D49" w:rsidRPr="00350420" w:rsidRDefault="00FE6D49" w:rsidP="00FE6D49">
      <w:pPr>
        <w:spacing w:line="480" w:lineRule="auto"/>
        <w:rPr>
          <w:rFonts w:ascii="Arial" w:hAnsi="Arial" w:cs="Arial"/>
          <w:sz w:val="22"/>
          <w:szCs w:val="22"/>
        </w:rPr>
      </w:pPr>
    </w:p>
    <w:p w14:paraId="6BA1AF8A" w14:textId="77777777" w:rsidR="00FE6D49" w:rsidRPr="00350420" w:rsidRDefault="00FE6D49" w:rsidP="00FE6D49">
      <w:pPr>
        <w:spacing w:line="480" w:lineRule="auto"/>
        <w:jc w:val="both"/>
        <w:rPr>
          <w:rFonts w:ascii="Arial" w:hAnsi="Arial" w:cs="Arial"/>
          <w:sz w:val="22"/>
          <w:szCs w:val="22"/>
        </w:rPr>
      </w:pPr>
      <w:r w:rsidRPr="00350420">
        <w:rPr>
          <w:rFonts w:ascii="Arial" w:hAnsi="Arial" w:cs="Arial"/>
          <w:sz w:val="22"/>
          <w:szCs w:val="22"/>
          <w:vertAlign w:val="superscript"/>
        </w:rPr>
        <w:t>1</w:t>
      </w:r>
      <w:r w:rsidRPr="00350420">
        <w:rPr>
          <w:rStyle w:val="outlook-search-highlight"/>
          <w:rFonts w:ascii="Arial" w:hAnsi="Arial" w:cs="Arial"/>
          <w:color w:val="212121"/>
          <w:sz w:val="22"/>
          <w:szCs w:val="22"/>
        </w:rPr>
        <w:t>Department</w:t>
      </w:r>
      <w:r w:rsidRPr="00350420">
        <w:rPr>
          <w:rStyle w:val="apple-converted-space"/>
          <w:rFonts w:ascii="Arial" w:hAnsi="Arial" w:cs="Arial"/>
          <w:color w:val="212121"/>
          <w:sz w:val="22"/>
          <w:szCs w:val="22"/>
        </w:rPr>
        <w:t xml:space="preserve"> </w:t>
      </w:r>
      <w:r w:rsidRPr="00350420">
        <w:rPr>
          <w:rStyle w:val="outlook-search-highlight"/>
          <w:rFonts w:ascii="Arial" w:hAnsi="Arial" w:cs="Arial"/>
          <w:color w:val="212121"/>
          <w:sz w:val="22"/>
          <w:szCs w:val="22"/>
        </w:rPr>
        <w:t>of</w:t>
      </w:r>
      <w:r w:rsidRPr="00350420">
        <w:rPr>
          <w:rStyle w:val="apple-converted-space"/>
          <w:rFonts w:ascii="Arial" w:hAnsi="Arial" w:cs="Arial"/>
          <w:color w:val="212121"/>
          <w:sz w:val="22"/>
          <w:szCs w:val="22"/>
        </w:rPr>
        <w:t xml:space="preserve"> </w:t>
      </w:r>
      <w:r w:rsidRPr="00350420">
        <w:rPr>
          <w:rFonts w:ascii="Arial" w:hAnsi="Arial" w:cs="Arial"/>
          <w:color w:val="212121"/>
          <w:sz w:val="22"/>
          <w:szCs w:val="22"/>
        </w:rPr>
        <w:t>Immunology and Immunotherapy, School</w:t>
      </w:r>
      <w:r w:rsidRPr="00350420">
        <w:rPr>
          <w:rStyle w:val="apple-converted-space"/>
          <w:rFonts w:ascii="Arial" w:hAnsi="Arial" w:cs="Arial"/>
          <w:color w:val="212121"/>
          <w:sz w:val="22"/>
          <w:szCs w:val="22"/>
        </w:rPr>
        <w:t xml:space="preserve"> </w:t>
      </w:r>
      <w:r w:rsidRPr="00350420">
        <w:rPr>
          <w:rStyle w:val="outlook-search-highlight"/>
          <w:rFonts w:ascii="Arial" w:hAnsi="Arial" w:cs="Arial"/>
          <w:color w:val="212121"/>
          <w:sz w:val="22"/>
          <w:szCs w:val="22"/>
        </w:rPr>
        <w:t>of</w:t>
      </w:r>
      <w:r w:rsidRPr="00350420">
        <w:rPr>
          <w:rStyle w:val="apple-converted-space"/>
          <w:rFonts w:ascii="Arial" w:hAnsi="Arial" w:cs="Arial"/>
          <w:color w:val="212121"/>
          <w:sz w:val="22"/>
          <w:szCs w:val="22"/>
        </w:rPr>
        <w:t xml:space="preserve"> </w:t>
      </w:r>
      <w:r w:rsidRPr="00350420">
        <w:rPr>
          <w:rFonts w:ascii="Arial" w:hAnsi="Arial" w:cs="Arial"/>
          <w:color w:val="212121"/>
          <w:sz w:val="22"/>
          <w:szCs w:val="22"/>
        </w:rPr>
        <w:t>Infection, Inflammation and Immunology, College</w:t>
      </w:r>
      <w:r w:rsidRPr="00350420">
        <w:rPr>
          <w:rStyle w:val="apple-converted-space"/>
          <w:rFonts w:ascii="Arial" w:hAnsi="Arial" w:cs="Arial"/>
          <w:color w:val="212121"/>
          <w:sz w:val="22"/>
          <w:szCs w:val="22"/>
        </w:rPr>
        <w:t xml:space="preserve"> </w:t>
      </w:r>
      <w:r w:rsidRPr="00350420">
        <w:rPr>
          <w:rStyle w:val="outlook-search-highlight"/>
          <w:rFonts w:ascii="Arial" w:hAnsi="Arial" w:cs="Arial"/>
          <w:color w:val="212121"/>
          <w:sz w:val="22"/>
          <w:szCs w:val="22"/>
        </w:rPr>
        <w:t>of</w:t>
      </w:r>
      <w:r w:rsidRPr="00350420">
        <w:rPr>
          <w:rStyle w:val="apple-converted-space"/>
          <w:rFonts w:ascii="Arial" w:hAnsi="Arial" w:cs="Arial"/>
          <w:color w:val="212121"/>
          <w:sz w:val="22"/>
          <w:szCs w:val="22"/>
        </w:rPr>
        <w:t xml:space="preserve"> </w:t>
      </w:r>
      <w:r w:rsidRPr="00350420">
        <w:rPr>
          <w:rFonts w:ascii="Arial" w:hAnsi="Arial" w:cs="Arial"/>
          <w:color w:val="212121"/>
          <w:sz w:val="22"/>
          <w:szCs w:val="22"/>
        </w:rPr>
        <w:t>Medicine and Health, University</w:t>
      </w:r>
      <w:r w:rsidRPr="00350420">
        <w:rPr>
          <w:rStyle w:val="apple-converted-space"/>
          <w:rFonts w:ascii="Arial" w:hAnsi="Arial" w:cs="Arial"/>
          <w:color w:val="212121"/>
          <w:sz w:val="22"/>
          <w:szCs w:val="22"/>
        </w:rPr>
        <w:t xml:space="preserve"> </w:t>
      </w:r>
      <w:r w:rsidRPr="00350420">
        <w:rPr>
          <w:rStyle w:val="outlook-search-highlight"/>
          <w:rFonts w:ascii="Arial" w:hAnsi="Arial" w:cs="Arial"/>
          <w:color w:val="212121"/>
          <w:sz w:val="22"/>
          <w:szCs w:val="22"/>
        </w:rPr>
        <w:t>of</w:t>
      </w:r>
      <w:r w:rsidRPr="00350420">
        <w:rPr>
          <w:rStyle w:val="apple-converted-space"/>
          <w:rFonts w:ascii="Arial" w:hAnsi="Arial" w:cs="Arial"/>
          <w:color w:val="212121"/>
          <w:sz w:val="22"/>
          <w:szCs w:val="22"/>
        </w:rPr>
        <w:t xml:space="preserve"> </w:t>
      </w:r>
      <w:r w:rsidRPr="00350420">
        <w:rPr>
          <w:rFonts w:ascii="Arial" w:hAnsi="Arial" w:cs="Arial"/>
          <w:color w:val="212121"/>
          <w:sz w:val="22"/>
          <w:szCs w:val="22"/>
        </w:rPr>
        <w:t>Birmingham, Birmingham, United Kingdom</w:t>
      </w:r>
    </w:p>
    <w:p w14:paraId="34D8362C" w14:textId="77777777" w:rsidR="00FE6D49" w:rsidRPr="00350420" w:rsidRDefault="00FE6D49" w:rsidP="00FE6D49">
      <w:pPr>
        <w:spacing w:line="480" w:lineRule="auto"/>
        <w:jc w:val="both"/>
        <w:rPr>
          <w:rFonts w:ascii="Arial" w:hAnsi="Arial" w:cs="Arial"/>
          <w:sz w:val="22"/>
          <w:szCs w:val="22"/>
        </w:rPr>
      </w:pPr>
      <w:r w:rsidRPr="00350420">
        <w:rPr>
          <w:rFonts w:ascii="Arial" w:hAnsi="Arial" w:cs="Arial"/>
          <w:sz w:val="22"/>
          <w:szCs w:val="22"/>
          <w:vertAlign w:val="superscript"/>
        </w:rPr>
        <w:t>2</w:t>
      </w:r>
      <w:r>
        <w:rPr>
          <w:rFonts w:ascii="Arial" w:hAnsi="Arial" w:cs="Arial"/>
          <w:sz w:val="22"/>
          <w:szCs w:val="22"/>
        </w:rPr>
        <w:t xml:space="preserve">Centre for Liver Research, </w:t>
      </w:r>
      <w:r w:rsidRPr="00350420">
        <w:rPr>
          <w:rFonts w:ascii="Arial" w:hAnsi="Arial" w:cs="Arial"/>
          <w:sz w:val="22"/>
          <w:szCs w:val="22"/>
        </w:rPr>
        <w:t>University of Birmingham and University Hospital Birmingham NHS Foundation Trust, Birmingham, UK</w:t>
      </w:r>
    </w:p>
    <w:p w14:paraId="65A3052E" w14:textId="77777777" w:rsidR="00FE6D49" w:rsidRPr="00350420" w:rsidRDefault="00FE6D49" w:rsidP="00FE6D49">
      <w:pPr>
        <w:spacing w:line="480" w:lineRule="auto"/>
        <w:jc w:val="both"/>
        <w:rPr>
          <w:rFonts w:ascii="Arial" w:hAnsi="Arial" w:cs="Arial"/>
          <w:sz w:val="22"/>
          <w:szCs w:val="22"/>
        </w:rPr>
      </w:pPr>
      <w:r w:rsidRPr="00350420">
        <w:rPr>
          <w:rFonts w:ascii="Arial" w:hAnsi="Arial" w:cs="Arial"/>
          <w:sz w:val="22"/>
          <w:szCs w:val="22"/>
          <w:vertAlign w:val="superscript"/>
        </w:rPr>
        <w:t>3</w:t>
      </w:r>
      <w:r w:rsidRPr="00350420">
        <w:rPr>
          <w:rFonts w:ascii="Arial" w:hAnsi="Arial" w:cs="Arial"/>
          <w:sz w:val="22"/>
          <w:szCs w:val="22"/>
        </w:rPr>
        <w:t>Centre for Rare Diseases, European Reference Network on Hepatological Diseases (ERN-RARE-LIVER) centre, Birmingham, UK</w:t>
      </w:r>
    </w:p>
    <w:p w14:paraId="3A0AB5B0" w14:textId="77777777" w:rsidR="00FE6D49" w:rsidRPr="004D20EC" w:rsidRDefault="00FE6D49" w:rsidP="00FE6D49">
      <w:pPr>
        <w:spacing w:line="480" w:lineRule="auto"/>
        <w:jc w:val="both"/>
        <w:rPr>
          <w:rFonts w:ascii="Arial" w:hAnsi="Arial" w:cs="Arial"/>
          <w:sz w:val="22"/>
          <w:szCs w:val="22"/>
        </w:rPr>
      </w:pPr>
      <w:r w:rsidRPr="004D20EC">
        <w:rPr>
          <w:rFonts w:ascii="Arial" w:hAnsi="Arial" w:cs="Arial"/>
          <w:sz w:val="22"/>
          <w:szCs w:val="22"/>
          <w:vertAlign w:val="superscript"/>
        </w:rPr>
        <w:t>4</w:t>
      </w:r>
      <w:r w:rsidRPr="004D20EC">
        <w:rPr>
          <w:rStyle w:val="outlook-search-highlight"/>
          <w:rFonts w:ascii="Arial" w:hAnsi="Arial" w:cs="Arial"/>
          <w:color w:val="212121"/>
          <w:sz w:val="22"/>
          <w:szCs w:val="22"/>
        </w:rPr>
        <w:t>Department</w:t>
      </w:r>
      <w:r w:rsidRPr="004D20EC">
        <w:rPr>
          <w:rStyle w:val="apple-converted-space"/>
          <w:rFonts w:ascii="Arial" w:hAnsi="Arial" w:cs="Arial"/>
          <w:color w:val="212121"/>
          <w:sz w:val="22"/>
          <w:szCs w:val="22"/>
        </w:rPr>
        <w:t xml:space="preserve"> </w:t>
      </w:r>
      <w:r w:rsidRPr="004D20EC">
        <w:rPr>
          <w:rStyle w:val="outlook-search-highlight"/>
          <w:rFonts w:ascii="Arial" w:hAnsi="Arial" w:cs="Arial"/>
          <w:color w:val="212121"/>
          <w:sz w:val="22"/>
          <w:szCs w:val="22"/>
        </w:rPr>
        <w:t>of</w:t>
      </w:r>
      <w:r w:rsidRPr="004D20EC">
        <w:rPr>
          <w:rStyle w:val="apple-converted-space"/>
          <w:rFonts w:ascii="Arial" w:hAnsi="Arial" w:cs="Arial"/>
          <w:color w:val="212121"/>
          <w:sz w:val="22"/>
          <w:szCs w:val="22"/>
        </w:rPr>
        <w:t xml:space="preserve"> </w:t>
      </w:r>
      <w:r w:rsidRPr="004D20EC">
        <w:rPr>
          <w:rFonts w:ascii="Arial" w:hAnsi="Arial" w:cs="Arial"/>
          <w:color w:val="212121"/>
          <w:sz w:val="22"/>
          <w:szCs w:val="22"/>
        </w:rPr>
        <w:t>Microb</w:t>
      </w:r>
      <w:r>
        <w:rPr>
          <w:rFonts w:ascii="Arial" w:hAnsi="Arial" w:cs="Arial"/>
          <w:color w:val="212121"/>
          <w:sz w:val="22"/>
          <w:szCs w:val="22"/>
        </w:rPr>
        <w:t>es, Infection and Microbiome</w:t>
      </w:r>
      <w:r w:rsidRPr="004D20EC">
        <w:rPr>
          <w:rFonts w:ascii="Arial" w:hAnsi="Arial" w:cs="Arial"/>
          <w:color w:val="212121"/>
          <w:sz w:val="22"/>
          <w:szCs w:val="22"/>
        </w:rPr>
        <w:t>, School</w:t>
      </w:r>
      <w:r w:rsidRPr="004D20EC">
        <w:rPr>
          <w:rStyle w:val="apple-converted-space"/>
          <w:rFonts w:ascii="Arial" w:hAnsi="Arial" w:cs="Arial"/>
          <w:color w:val="212121"/>
          <w:sz w:val="22"/>
          <w:szCs w:val="22"/>
        </w:rPr>
        <w:t xml:space="preserve"> </w:t>
      </w:r>
      <w:r w:rsidRPr="004D20EC">
        <w:rPr>
          <w:rStyle w:val="outlook-search-highlight"/>
          <w:rFonts w:ascii="Arial" w:hAnsi="Arial" w:cs="Arial"/>
          <w:color w:val="212121"/>
          <w:sz w:val="22"/>
          <w:szCs w:val="22"/>
        </w:rPr>
        <w:t>of</w:t>
      </w:r>
      <w:r w:rsidRPr="004D20EC">
        <w:rPr>
          <w:rStyle w:val="apple-converted-space"/>
          <w:rFonts w:ascii="Arial" w:hAnsi="Arial" w:cs="Arial"/>
          <w:color w:val="212121"/>
          <w:sz w:val="22"/>
          <w:szCs w:val="22"/>
        </w:rPr>
        <w:t xml:space="preserve"> </w:t>
      </w:r>
      <w:r w:rsidRPr="004D20EC">
        <w:rPr>
          <w:rFonts w:ascii="Arial" w:hAnsi="Arial" w:cs="Arial"/>
          <w:color w:val="212121"/>
          <w:sz w:val="22"/>
          <w:szCs w:val="22"/>
        </w:rPr>
        <w:t>Infection, Inflammation and Immunology, College</w:t>
      </w:r>
      <w:r w:rsidRPr="004D20EC">
        <w:rPr>
          <w:rStyle w:val="apple-converted-space"/>
          <w:rFonts w:ascii="Arial" w:hAnsi="Arial" w:cs="Arial"/>
          <w:color w:val="212121"/>
          <w:sz w:val="22"/>
          <w:szCs w:val="22"/>
        </w:rPr>
        <w:t xml:space="preserve"> </w:t>
      </w:r>
      <w:r w:rsidRPr="004D20EC">
        <w:rPr>
          <w:rStyle w:val="outlook-search-highlight"/>
          <w:rFonts w:ascii="Arial" w:hAnsi="Arial" w:cs="Arial"/>
          <w:color w:val="212121"/>
          <w:sz w:val="22"/>
          <w:szCs w:val="22"/>
        </w:rPr>
        <w:t>of</w:t>
      </w:r>
      <w:r w:rsidRPr="004D20EC">
        <w:rPr>
          <w:rStyle w:val="apple-converted-space"/>
          <w:rFonts w:ascii="Arial" w:hAnsi="Arial" w:cs="Arial"/>
          <w:color w:val="212121"/>
          <w:sz w:val="22"/>
          <w:szCs w:val="22"/>
        </w:rPr>
        <w:t xml:space="preserve"> </w:t>
      </w:r>
      <w:r w:rsidRPr="004D20EC">
        <w:rPr>
          <w:rFonts w:ascii="Arial" w:hAnsi="Arial" w:cs="Arial"/>
          <w:color w:val="212121"/>
          <w:sz w:val="22"/>
          <w:szCs w:val="22"/>
        </w:rPr>
        <w:t>Medicine and Health, University</w:t>
      </w:r>
      <w:r w:rsidRPr="004D20EC">
        <w:rPr>
          <w:rStyle w:val="apple-converted-space"/>
          <w:rFonts w:ascii="Arial" w:hAnsi="Arial" w:cs="Arial"/>
          <w:color w:val="212121"/>
          <w:sz w:val="22"/>
          <w:szCs w:val="22"/>
        </w:rPr>
        <w:t xml:space="preserve"> </w:t>
      </w:r>
      <w:r w:rsidRPr="004D20EC">
        <w:rPr>
          <w:rStyle w:val="outlook-search-highlight"/>
          <w:rFonts w:ascii="Arial" w:hAnsi="Arial" w:cs="Arial"/>
          <w:color w:val="212121"/>
          <w:sz w:val="22"/>
          <w:szCs w:val="22"/>
        </w:rPr>
        <w:t>of</w:t>
      </w:r>
      <w:r w:rsidRPr="004D20EC">
        <w:rPr>
          <w:rStyle w:val="apple-converted-space"/>
          <w:rFonts w:ascii="Arial" w:hAnsi="Arial" w:cs="Arial"/>
          <w:color w:val="212121"/>
          <w:sz w:val="22"/>
          <w:szCs w:val="22"/>
        </w:rPr>
        <w:t xml:space="preserve"> </w:t>
      </w:r>
      <w:r w:rsidRPr="004D20EC">
        <w:rPr>
          <w:rFonts w:ascii="Arial" w:hAnsi="Arial" w:cs="Arial"/>
          <w:color w:val="212121"/>
          <w:sz w:val="22"/>
          <w:szCs w:val="22"/>
        </w:rPr>
        <w:t>Birmingham, Birmingham, United Kingdom</w:t>
      </w:r>
    </w:p>
    <w:p w14:paraId="47E90411" w14:textId="77777777" w:rsidR="00FE6D49" w:rsidRPr="004D20EC" w:rsidRDefault="00FE6D49" w:rsidP="00FE6D49">
      <w:pPr>
        <w:spacing w:line="480" w:lineRule="auto"/>
        <w:jc w:val="both"/>
        <w:rPr>
          <w:rFonts w:ascii="Arial" w:hAnsi="Arial" w:cs="Arial"/>
          <w:sz w:val="22"/>
          <w:szCs w:val="22"/>
        </w:rPr>
      </w:pPr>
      <w:r w:rsidRPr="004D20EC">
        <w:rPr>
          <w:rFonts w:ascii="Arial" w:hAnsi="Arial" w:cs="Arial"/>
          <w:sz w:val="22"/>
          <w:szCs w:val="22"/>
          <w:vertAlign w:val="superscript"/>
        </w:rPr>
        <w:t>5</w:t>
      </w:r>
      <w:r w:rsidRPr="004D20EC">
        <w:rPr>
          <w:rFonts w:ascii="Arial" w:hAnsi="Arial" w:cs="Arial"/>
          <w:sz w:val="22"/>
          <w:szCs w:val="22"/>
        </w:rPr>
        <w:t>University of Glasgow, Bioinformatics facility, Glasgow, UK</w:t>
      </w:r>
    </w:p>
    <w:p w14:paraId="514DE5ED" w14:textId="77777777" w:rsidR="00FE6D49" w:rsidRPr="004D20EC" w:rsidRDefault="00FE6D49" w:rsidP="00FE6D49">
      <w:pPr>
        <w:spacing w:line="480" w:lineRule="auto"/>
        <w:jc w:val="both"/>
        <w:rPr>
          <w:rFonts w:ascii="Arial" w:hAnsi="Arial" w:cs="Arial"/>
          <w:sz w:val="22"/>
          <w:szCs w:val="22"/>
        </w:rPr>
      </w:pPr>
      <w:r w:rsidRPr="004D20EC">
        <w:rPr>
          <w:rFonts w:ascii="Arial" w:hAnsi="Arial" w:cs="Arial"/>
          <w:sz w:val="22"/>
          <w:szCs w:val="22"/>
          <w:vertAlign w:val="superscript"/>
        </w:rPr>
        <w:t>6</w:t>
      </w:r>
      <w:r w:rsidRPr="004D20EC">
        <w:rPr>
          <w:rFonts w:ascii="Arial" w:hAnsi="Arial" w:cs="Arial"/>
          <w:sz w:val="22"/>
          <w:szCs w:val="22"/>
        </w:rPr>
        <w:t>School of Mathematics, College of Engineering and Physical Sciences, University of Birmingham, UK</w:t>
      </w:r>
    </w:p>
    <w:p w14:paraId="347AA890" w14:textId="5852056A" w:rsidR="00FE6D49" w:rsidRPr="004D20EC" w:rsidRDefault="00FE6D49" w:rsidP="00FE6D49">
      <w:pPr>
        <w:spacing w:line="480" w:lineRule="auto"/>
        <w:jc w:val="both"/>
        <w:rPr>
          <w:rFonts w:ascii="Arial" w:hAnsi="Arial" w:cs="Arial"/>
          <w:sz w:val="22"/>
          <w:szCs w:val="22"/>
        </w:rPr>
      </w:pPr>
      <w:r w:rsidRPr="004D20EC">
        <w:rPr>
          <w:rFonts w:ascii="Arial" w:hAnsi="Arial" w:cs="Arial"/>
          <w:sz w:val="22"/>
          <w:szCs w:val="22"/>
          <w:vertAlign w:val="superscript"/>
        </w:rPr>
        <w:t>7</w:t>
      </w:r>
      <w:r w:rsidRPr="004D20EC">
        <w:rPr>
          <w:rFonts w:ascii="Arial" w:hAnsi="Arial" w:cs="Arial"/>
          <w:sz w:val="22"/>
          <w:szCs w:val="22"/>
        </w:rPr>
        <w:t xml:space="preserve">Pathology department, </w:t>
      </w:r>
      <w:r w:rsidR="00922056">
        <w:rPr>
          <w:rFonts w:ascii="Arial" w:hAnsi="Arial" w:cs="Arial"/>
          <w:sz w:val="22"/>
          <w:szCs w:val="22"/>
        </w:rPr>
        <w:t xml:space="preserve">Liver Unit, </w:t>
      </w:r>
      <w:r w:rsidRPr="004D20EC">
        <w:rPr>
          <w:rFonts w:ascii="Arial" w:hAnsi="Arial" w:cs="Arial"/>
          <w:sz w:val="22"/>
          <w:szCs w:val="22"/>
        </w:rPr>
        <w:t>Queen Elizabeth Hospital, Birmingham, UK</w:t>
      </w:r>
    </w:p>
    <w:p w14:paraId="60A172A1" w14:textId="77777777" w:rsidR="00FE6D49" w:rsidRPr="004D20EC" w:rsidRDefault="00FE6D49" w:rsidP="00FE6D49">
      <w:pPr>
        <w:shd w:val="clear" w:color="auto" w:fill="FFFFFF"/>
        <w:spacing w:line="480" w:lineRule="auto"/>
        <w:jc w:val="both"/>
        <w:rPr>
          <w:rFonts w:ascii="Arial" w:hAnsi="Arial" w:cs="Arial"/>
          <w:color w:val="000000"/>
          <w:sz w:val="22"/>
          <w:szCs w:val="22"/>
        </w:rPr>
      </w:pPr>
      <w:r w:rsidRPr="004D20EC">
        <w:rPr>
          <w:rFonts w:ascii="Arial" w:hAnsi="Arial" w:cs="Arial"/>
          <w:color w:val="000000"/>
          <w:sz w:val="22"/>
          <w:szCs w:val="22"/>
          <w:shd w:val="clear" w:color="auto" w:fill="FFFFFF"/>
          <w:vertAlign w:val="superscript"/>
        </w:rPr>
        <w:t>8</w:t>
      </w:r>
      <w:r w:rsidRPr="004D20EC">
        <w:rPr>
          <w:rFonts w:ascii="Arial" w:hAnsi="Arial" w:cs="Arial"/>
          <w:color w:val="000000"/>
          <w:sz w:val="22"/>
          <w:szCs w:val="22"/>
          <w:shd w:val="clear" w:color="auto" w:fill="FFFFFF"/>
        </w:rPr>
        <w:t>Rheumatology Research Group, Department of Inflammation and Ageing, College of Medicine and Health, University of Birmingham, Birmingham, UK.</w:t>
      </w:r>
    </w:p>
    <w:p w14:paraId="2CB76DEB" w14:textId="77777777" w:rsidR="00FE6D49" w:rsidRPr="004D20EC" w:rsidRDefault="00FE6D49" w:rsidP="00FE6D49">
      <w:pPr>
        <w:shd w:val="clear" w:color="auto" w:fill="FFFFFF"/>
        <w:spacing w:line="480" w:lineRule="auto"/>
        <w:jc w:val="both"/>
        <w:rPr>
          <w:rFonts w:ascii="Arial" w:hAnsi="Arial" w:cs="Arial"/>
          <w:color w:val="000000"/>
          <w:sz w:val="22"/>
          <w:szCs w:val="22"/>
        </w:rPr>
      </w:pPr>
      <w:r w:rsidRPr="004D20EC">
        <w:rPr>
          <w:rFonts w:ascii="Arial" w:hAnsi="Arial" w:cs="Arial"/>
          <w:color w:val="000000"/>
          <w:sz w:val="22"/>
          <w:szCs w:val="22"/>
          <w:vertAlign w:val="superscript"/>
        </w:rPr>
        <w:t>9</w:t>
      </w:r>
      <w:r w:rsidRPr="004D20EC">
        <w:rPr>
          <w:rFonts w:ascii="Arial" w:hAnsi="Arial" w:cs="Arial"/>
          <w:color w:val="000000"/>
          <w:sz w:val="22"/>
          <w:szCs w:val="22"/>
        </w:rPr>
        <w:t>National Institute for Health and Care Research (NIHR) Birmingham Biomedical Research Centre, UK</w:t>
      </w:r>
    </w:p>
    <w:p w14:paraId="1400ABA3" w14:textId="77777777" w:rsidR="00FE6D49" w:rsidRPr="00350420" w:rsidRDefault="00FE6D49" w:rsidP="00FE6D49">
      <w:pPr>
        <w:spacing w:line="480" w:lineRule="auto"/>
        <w:jc w:val="both"/>
        <w:rPr>
          <w:rFonts w:ascii="Arial" w:hAnsi="Arial" w:cs="Arial"/>
          <w:sz w:val="22"/>
          <w:szCs w:val="22"/>
        </w:rPr>
      </w:pPr>
      <w:r w:rsidRPr="004D20EC">
        <w:rPr>
          <w:rFonts w:ascii="Arial" w:hAnsi="Arial" w:cs="Arial"/>
          <w:sz w:val="22"/>
          <w:szCs w:val="22"/>
          <w:vertAlign w:val="superscript"/>
        </w:rPr>
        <w:lastRenderedPageBreak/>
        <w:t>10</w:t>
      </w:r>
      <w:r w:rsidRPr="004D20EC">
        <w:rPr>
          <w:rFonts w:ascii="Arial" w:hAnsi="Arial" w:cs="Arial"/>
          <w:sz w:val="22"/>
          <w:szCs w:val="22"/>
        </w:rPr>
        <w:t>Liver Transplant and Hepatobiliary Unit, Queen Elizabeth Hospital, UHB NHS Foundation Trust, Birmingha</w:t>
      </w:r>
      <w:r>
        <w:rPr>
          <w:rFonts w:ascii="Arial" w:hAnsi="Arial" w:cs="Arial"/>
          <w:sz w:val="22"/>
          <w:szCs w:val="22"/>
        </w:rPr>
        <w:t>m, UK</w:t>
      </w:r>
    </w:p>
    <w:p w14:paraId="473433B7" w14:textId="77777777" w:rsidR="00EB2356" w:rsidRPr="00350420" w:rsidRDefault="00EB2356" w:rsidP="00EB2356">
      <w:pPr>
        <w:spacing w:line="480" w:lineRule="auto"/>
        <w:rPr>
          <w:rFonts w:ascii="Arial" w:hAnsi="Arial" w:cs="Arial"/>
          <w:sz w:val="22"/>
          <w:szCs w:val="22"/>
        </w:rPr>
      </w:pPr>
    </w:p>
    <w:p w14:paraId="38B0DC4E" w14:textId="77777777" w:rsidR="00EB2356" w:rsidRPr="00350420" w:rsidRDefault="00EB2356" w:rsidP="00EB2356">
      <w:pPr>
        <w:spacing w:line="480" w:lineRule="auto"/>
        <w:jc w:val="both"/>
        <w:rPr>
          <w:rFonts w:ascii="Arial" w:hAnsi="Arial" w:cs="Arial"/>
          <w:sz w:val="22"/>
          <w:szCs w:val="22"/>
        </w:rPr>
      </w:pPr>
      <w:r w:rsidRPr="00350420">
        <w:rPr>
          <w:rFonts w:ascii="Arial" w:hAnsi="Arial" w:cs="Arial"/>
          <w:sz w:val="22"/>
          <w:szCs w:val="22"/>
        </w:rPr>
        <w:t xml:space="preserve">Corresponding </w:t>
      </w:r>
      <w:proofErr w:type="gramStart"/>
      <w:r w:rsidRPr="00350420">
        <w:rPr>
          <w:rFonts w:ascii="Arial" w:hAnsi="Arial" w:cs="Arial"/>
          <w:sz w:val="22"/>
          <w:szCs w:val="22"/>
        </w:rPr>
        <w:t>authors</w:t>
      </w:r>
      <w:r>
        <w:rPr>
          <w:rFonts w:ascii="Arial" w:hAnsi="Arial" w:cs="Arial"/>
          <w:sz w:val="22"/>
          <w:szCs w:val="22"/>
        </w:rPr>
        <w:t>(</w:t>
      </w:r>
      <w:proofErr w:type="gramEnd"/>
      <w:r>
        <w:rPr>
          <w:rFonts w:ascii="Arial" w:hAnsi="Arial" w:cs="Arial"/>
          <w:sz w:val="22"/>
          <w:szCs w:val="22"/>
        </w:rPr>
        <w:t>*)</w:t>
      </w:r>
      <w:r w:rsidRPr="00350420">
        <w:rPr>
          <w:rFonts w:ascii="Arial" w:hAnsi="Arial" w:cs="Arial"/>
          <w:sz w:val="22"/>
          <w:szCs w:val="22"/>
        </w:rPr>
        <w:t xml:space="preserve">: </w:t>
      </w:r>
    </w:p>
    <w:p w14:paraId="74007A98" w14:textId="77777777" w:rsidR="00EB2356" w:rsidRPr="00350420" w:rsidRDefault="00EB2356" w:rsidP="00EB2356">
      <w:pPr>
        <w:spacing w:line="480" w:lineRule="auto"/>
        <w:jc w:val="both"/>
        <w:rPr>
          <w:rStyle w:val="Hyperlink"/>
          <w:rFonts w:ascii="Arial" w:hAnsi="Arial" w:cs="Arial"/>
          <w:sz w:val="22"/>
          <w:szCs w:val="22"/>
        </w:rPr>
      </w:pPr>
      <w:r w:rsidRPr="00350420">
        <w:rPr>
          <w:rFonts w:ascii="Arial" w:hAnsi="Arial" w:cs="Arial"/>
          <w:sz w:val="22"/>
          <w:szCs w:val="22"/>
        </w:rPr>
        <w:t xml:space="preserve">Dr Amber G. Bozward - </w:t>
      </w:r>
      <w:hyperlink r:id="rId4" w:history="1">
        <w:r w:rsidRPr="00350420">
          <w:rPr>
            <w:rStyle w:val="Hyperlink"/>
            <w:rFonts w:ascii="Arial" w:hAnsi="Arial" w:cs="Arial"/>
            <w:sz w:val="22"/>
            <w:szCs w:val="22"/>
          </w:rPr>
          <w:t>a.g.bozward@bham.ac.uk</w:t>
        </w:r>
      </w:hyperlink>
      <w:r w:rsidRPr="00350420">
        <w:rPr>
          <w:rStyle w:val="Hyperlink"/>
          <w:rFonts w:ascii="Arial" w:hAnsi="Arial" w:cs="Arial"/>
          <w:sz w:val="22"/>
          <w:szCs w:val="22"/>
        </w:rPr>
        <w:t>;</w:t>
      </w:r>
    </w:p>
    <w:p w14:paraId="516C0663" w14:textId="77777777" w:rsidR="00EB2356" w:rsidRPr="00350420" w:rsidRDefault="00EB2356" w:rsidP="00EB2356">
      <w:pPr>
        <w:spacing w:line="480" w:lineRule="auto"/>
        <w:jc w:val="both"/>
        <w:rPr>
          <w:rFonts w:ascii="Arial" w:hAnsi="Arial" w:cs="Arial"/>
          <w:color w:val="000000" w:themeColor="text1"/>
          <w:sz w:val="22"/>
          <w:szCs w:val="22"/>
        </w:rPr>
      </w:pPr>
      <w:r w:rsidRPr="00350420">
        <w:rPr>
          <w:rStyle w:val="Hyperlink"/>
          <w:rFonts w:ascii="Arial" w:hAnsi="Arial" w:cs="Arial"/>
          <w:color w:val="000000" w:themeColor="text1"/>
          <w:sz w:val="22"/>
          <w:szCs w:val="22"/>
          <w:u w:val="none"/>
        </w:rPr>
        <w:t xml:space="preserve">Professor Ye H. Oo - </w:t>
      </w:r>
      <w:r w:rsidRPr="00350420">
        <w:rPr>
          <w:rStyle w:val="Hyperlink"/>
          <w:rFonts w:ascii="Arial" w:hAnsi="Arial" w:cs="Arial"/>
          <w:sz w:val="22"/>
          <w:szCs w:val="22"/>
        </w:rPr>
        <w:t>y.h.oo@bham.ac.uk</w:t>
      </w:r>
    </w:p>
    <w:p w14:paraId="383DF6D5" w14:textId="77777777" w:rsidR="00EB2356" w:rsidRPr="00350420" w:rsidRDefault="00EB2356" w:rsidP="00EB2356">
      <w:pPr>
        <w:spacing w:line="480" w:lineRule="auto"/>
        <w:rPr>
          <w:rFonts w:ascii="Arial" w:hAnsi="Arial" w:cs="Arial"/>
          <w:sz w:val="22"/>
          <w:szCs w:val="22"/>
        </w:rPr>
      </w:pPr>
    </w:p>
    <w:p w14:paraId="3C330E50" w14:textId="77777777" w:rsidR="00EB2356" w:rsidRPr="00350420" w:rsidRDefault="00EB2356" w:rsidP="00EB2356">
      <w:pPr>
        <w:spacing w:line="480" w:lineRule="auto"/>
        <w:rPr>
          <w:rFonts w:ascii="Arial" w:hAnsi="Arial" w:cs="Arial"/>
          <w:sz w:val="22"/>
          <w:szCs w:val="22"/>
        </w:rPr>
      </w:pPr>
      <w:r w:rsidRPr="00350420">
        <w:rPr>
          <w:rFonts w:ascii="Arial" w:hAnsi="Arial" w:cs="Arial"/>
          <w:sz w:val="22"/>
          <w:szCs w:val="22"/>
        </w:rPr>
        <w:t xml:space="preserve">Keywords: </w:t>
      </w:r>
      <w:r>
        <w:rPr>
          <w:rFonts w:ascii="Arial" w:hAnsi="Arial" w:cs="Arial"/>
          <w:sz w:val="22"/>
          <w:szCs w:val="22"/>
        </w:rPr>
        <w:t>Autoimmune hepatitis, seronegative hepatitis, spatial transcriptome</w:t>
      </w:r>
      <w:r w:rsidRPr="00350420">
        <w:rPr>
          <w:rFonts w:ascii="Arial" w:hAnsi="Arial" w:cs="Arial"/>
          <w:sz w:val="22"/>
          <w:szCs w:val="22"/>
        </w:rPr>
        <w:t>, meta</w:t>
      </w:r>
      <w:r>
        <w:rPr>
          <w:rFonts w:ascii="Arial" w:hAnsi="Arial" w:cs="Arial"/>
          <w:sz w:val="22"/>
          <w:szCs w:val="22"/>
        </w:rPr>
        <w:t>-</w:t>
      </w:r>
      <w:r w:rsidRPr="00350420">
        <w:rPr>
          <w:rFonts w:ascii="Arial" w:hAnsi="Arial" w:cs="Arial"/>
          <w:sz w:val="22"/>
          <w:szCs w:val="22"/>
        </w:rPr>
        <w:t>transcripto</w:t>
      </w:r>
      <w:r>
        <w:rPr>
          <w:rFonts w:ascii="Arial" w:hAnsi="Arial" w:cs="Arial"/>
          <w:sz w:val="22"/>
          <w:szCs w:val="22"/>
        </w:rPr>
        <w:t>me</w:t>
      </w:r>
      <w:r w:rsidRPr="00350420">
        <w:rPr>
          <w:rFonts w:ascii="Arial" w:hAnsi="Arial" w:cs="Arial"/>
          <w:sz w:val="22"/>
          <w:szCs w:val="22"/>
        </w:rPr>
        <w:t>, CD63, macrophage, vir</w:t>
      </w:r>
      <w:r>
        <w:rPr>
          <w:rFonts w:ascii="Arial" w:hAnsi="Arial" w:cs="Arial"/>
          <w:sz w:val="22"/>
          <w:szCs w:val="22"/>
        </w:rPr>
        <w:t>us</w:t>
      </w:r>
      <w:r w:rsidRPr="00350420">
        <w:rPr>
          <w:rFonts w:ascii="Arial" w:hAnsi="Arial" w:cs="Arial"/>
          <w:sz w:val="22"/>
          <w:szCs w:val="22"/>
        </w:rPr>
        <w:t xml:space="preserve">, </w:t>
      </w:r>
      <w:r>
        <w:rPr>
          <w:rFonts w:ascii="Arial" w:hAnsi="Arial" w:cs="Arial"/>
          <w:sz w:val="22"/>
          <w:szCs w:val="22"/>
        </w:rPr>
        <w:t>TNF receptor superfamily</w:t>
      </w:r>
    </w:p>
    <w:p w14:paraId="0DB8F11A" w14:textId="77777777" w:rsidR="00EB2356" w:rsidRPr="00350420" w:rsidRDefault="00EB2356" w:rsidP="00EB2356">
      <w:pPr>
        <w:spacing w:line="480" w:lineRule="auto"/>
        <w:rPr>
          <w:rFonts w:ascii="Arial" w:hAnsi="Arial" w:cs="Arial"/>
          <w:sz w:val="22"/>
          <w:szCs w:val="22"/>
        </w:rPr>
      </w:pPr>
    </w:p>
    <w:p w14:paraId="0B06245A" w14:textId="77777777" w:rsidR="00EB2356" w:rsidRPr="00350420" w:rsidRDefault="00EB2356" w:rsidP="00EB2356">
      <w:pPr>
        <w:spacing w:line="480" w:lineRule="auto"/>
        <w:jc w:val="both"/>
        <w:rPr>
          <w:rFonts w:ascii="Arial" w:hAnsi="Arial" w:cs="Arial"/>
          <w:sz w:val="22"/>
          <w:szCs w:val="22"/>
        </w:rPr>
      </w:pPr>
      <w:r w:rsidRPr="00350420">
        <w:rPr>
          <w:rFonts w:ascii="Arial" w:hAnsi="Arial" w:cs="Arial"/>
          <w:sz w:val="22"/>
          <w:szCs w:val="22"/>
        </w:rPr>
        <w:t>Conflict of interest statement: The authors have nothing to declare.</w:t>
      </w:r>
    </w:p>
    <w:p w14:paraId="05AD4320" w14:textId="77777777" w:rsidR="00EB2356" w:rsidRPr="00350420" w:rsidRDefault="00EB2356" w:rsidP="00EB2356">
      <w:pPr>
        <w:spacing w:line="480" w:lineRule="auto"/>
        <w:rPr>
          <w:rFonts w:ascii="Arial" w:hAnsi="Arial" w:cs="Arial"/>
          <w:sz w:val="22"/>
          <w:szCs w:val="22"/>
        </w:rPr>
      </w:pPr>
    </w:p>
    <w:p w14:paraId="62F4DF77" w14:textId="77777777" w:rsidR="00EB2356" w:rsidRDefault="00EB2356" w:rsidP="00EB2356">
      <w:pPr>
        <w:spacing w:line="480" w:lineRule="auto"/>
        <w:rPr>
          <w:rFonts w:ascii="Arial" w:hAnsi="Arial" w:cs="Arial"/>
          <w:sz w:val="22"/>
          <w:szCs w:val="22"/>
        </w:rPr>
      </w:pPr>
      <w:r w:rsidRPr="00350420">
        <w:rPr>
          <w:rFonts w:ascii="Arial" w:hAnsi="Arial" w:cs="Arial"/>
          <w:sz w:val="22"/>
          <w:szCs w:val="22"/>
        </w:rPr>
        <w:t>Financial support statement: The authors thank Sir Jules Thorn Charitable Trust Programme Grant, Medical Research Foundation</w:t>
      </w:r>
      <w:r>
        <w:rPr>
          <w:rFonts w:ascii="Arial" w:hAnsi="Arial" w:cs="Arial"/>
          <w:sz w:val="22"/>
          <w:szCs w:val="22"/>
        </w:rPr>
        <w:t>,</w:t>
      </w:r>
      <w:r w:rsidRPr="00350420">
        <w:rPr>
          <w:rFonts w:ascii="Arial" w:hAnsi="Arial" w:cs="Arial"/>
          <w:sz w:val="22"/>
          <w:szCs w:val="22"/>
        </w:rPr>
        <w:t xml:space="preserve"> Whitney Wood Fellowship grant from Royal College of Physicians (London) and QEHB Charity for their financial support</w:t>
      </w:r>
      <w:r>
        <w:rPr>
          <w:rFonts w:ascii="Arial" w:hAnsi="Arial" w:cs="Arial"/>
          <w:sz w:val="22"/>
          <w:szCs w:val="22"/>
        </w:rPr>
        <w:t>.</w:t>
      </w:r>
    </w:p>
    <w:p w14:paraId="6BDC1E48" w14:textId="76829D53" w:rsidR="00EB2356" w:rsidRPr="00350420" w:rsidRDefault="00EB2356" w:rsidP="00EB2356">
      <w:pPr>
        <w:spacing w:line="480" w:lineRule="auto"/>
        <w:rPr>
          <w:rFonts w:ascii="Arial" w:hAnsi="Arial" w:cs="Arial"/>
          <w:sz w:val="22"/>
          <w:szCs w:val="22"/>
        </w:rPr>
      </w:pPr>
      <w:r>
        <w:rPr>
          <w:rFonts w:ascii="Arial" w:hAnsi="Arial" w:cs="Arial"/>
          <w:sz w:val="22"/>
          <w:szCs w:val="22"/>
        </w:rPr>
        <w:br w:type="page"/>
      </w:r>
    </w:p>
    <w:p w14:paraId="0D54D236" w14:textId="77777777" w:rsidR="00433D9B" w:rsidRDefault="00433D9B" w:rsidP="00EB2356">
      <w:pPr>
        <w:spacing w:line="480" w:lineRule="auto"/>
        <w:rPr>
          <w:rFonts w:ascii="Arial" w:hAnsi="Arial" w:cs="Arial"/>
          <w:b/>
          <w:bCs/>
          <w:sz w:val="22"/>
          <w:szCs w:val="22"/>
        </w:rPr>
      </w:pPr>
      <w:r>
        <w:rPr>
          <w:rFonts w:ascii="Arial" w:hAnsi="Arial" w:cs="Arial"/>
          <w:b/>
          <w:bCs/>
          <w:noProof/>
          <w:sz w:val="22"/>
          <w:szCs w:val="22"/>
        </w:rPr>
        <w:lastRenderedPageBreak/>
        <w:drawing>
          <wp:inline distT="0" distB="0" distL="0" distR="0" wp14:anchorId="602DDFC0" wp14:editId="7005A795">
            <wp:extent cx="5731510" cy="3645535"/>
            <wp:effectExtent l="0" t="0" r="0" b="0"/>
            <wp:docPr id="1553579450" name="Picture 2" descr="A collage of graphs and diagra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579450" name="Picture 2" descr="A collage of graphs and diagrams&#10;&#10;AI-generated content may be incorrect."/>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31510" cy="3645535"/>
                    </a:xfrm>
                    <a:prstGeom prst="rect">
                      <a:avLst/>
                    </a:prstGeom>
                  </pic:spPr>
                </pic:pic>
              </a:graphicData>
            </a:graphic>
          </wp:inline>
        </w:drawing>
      </w:r>
    </w:p>
    <w:p w14:paraId="76ED3B18" w14:textId="715A59E9" w:rsidR="00433D9B" w:rsidRDefault="00433D9B" w:rsidP="00EB2356">
      <w:pPr>
        <w:spacing w:line="480" w:lineRule="auto"/>
        <w:rPr>
          <w:rFonts w:ascii="Arial" w:hAnsi="Arial" w:cs="Arial"/>
          <w:b/>
          <w:bCs/>
          <w:sz w:val="22"/>
          <w:szCs w:val="22"/>
        </w:rPr>
      </w:pPr>
      <w:r w:rsidRPr="002273D4">
        <w:rPr>
          <w:rFonts w:ascii="Arial" w:hAnsi="Arial" w:cs="Arial"/>
          <w:b/>
          <w:bCs/>
          <w:sz w:val="22"/>
          <w:szCs w:val="22"/>
        </w:rPr>
        <w:t>Supplementary Fig.</w:t>
      </w:r>
      <w:r>
        <w:rPr>
          <w:rFonts w:ascii="Arial" w:hAnsi="Arial" w:cs="Arial"/>
          <w:b/>
          <w:bCs/>
          <w:sz w:val="22"/>
          <w:szCs w:val="22"/>
        </w:rPr>
        <w:t xml:space="preserve">1| </w:t>
      </w:r>
      <w:r w:rsidR="00B76953">
        <w:rPr>
          <w:rFonts w:ascii="Arial" w:hAnsi="Arial" w:cs="Arial"/>
          <w:b/>
          <w:bCs/>
          <w:sz w:val="22"/>
          <w:szCs w:val="22"/>
        </w:rPr>
        <w:t xml:space="preserve">Quality control and integration of </w:t>
      </w:r>
      <w:proofErr w:type="spellStart"/>
      <w:r w:rsidR="00B76953">
        <w:rPr>
          <w:rFonts w:ascii="Arial" w:hAnsi="Arial" w:cs="Arial"/>
          <w:b/>
          <w:bCs/>
          <w:sz w:val="22"/>
          <w:szCs w:val="22"/>
        </w:rPr>
        <w:t>CosMx</w:t>
      </w:r>
      <w:proofErr w:type="spellEnd"/>
      <w:r w:rsidR="00B76953">
        <w:rPr>
          <w:rFonts w:ascii="Arial" w:hAnsi="Arial" w:cs="Arial"/>
          <w:b/>
          <w:bCs/>
          <w:sz w:val="22"/>
          <w:szCs w:val="22"/>
        </w:rPr>
        <w:t xml:space="preserve"> spatial transcriptomics dataset</w:t>
      </w:r>
    </w:p>
    <w:p w14:paraId="4C9C9EA3" w14:textId="4EF99B10" w:rsidR="00433D9B" w:rsidRPr="00B76953" w:rsidRDefault="00D37B23" w:rsidP="00EB2356">
      <w:pPr>
        <w:spacing w:line="480" w:lineRule="auto"/>
        <w:rPr>
          <w:rFonts w:ascii="Arial" w:hAnsi="Arial" w:cs="Arial"/>
          <w:sz w:val="22"/>
          <w:szCs w:val="22"/>
        </w:rPr>
      </w:pPr>
      <w:r>
        <w:rPr>
          <w:rFonts w:ascii="Arial" w:hAnsi="Arial" w:cs="Arial"/>
          <w:b/>
          <w:bCs/>
          <w:sz w:val="22"/>
          <w:szCs w:val="22"/>
        </w:rPr>
        <w:t>A</w:t>
      </w:r>
      <w:r w:rsidR="00B76953">
        <w:rPr>
          <w:rFonts w:ascii="Arial" w:hAnsi="Arial" w:cs="Arial"/>
          <w:b/>
          <w:bCs/>
          <w:sz w:val="22"/>
          <w:szCs w:val="22"/>
        </w:rPr>
        <w:t xml:space="preserve"> </w:t>
      </w:r>
      <w:r w:rsidR="00B76953" w:rsidRPr="00B76953">
        <w:rPr>
          <w:rFonts w:ascii="Arial" w:hAnsi="Arial" w:cs="Arial"/>
          <w:sz w:val="22"/>
          <w:szCs w:val="22"/>
        </w:rPr>
        <w:t>Violin plot showing distribution of total transcript counts (</w:t>
      </w:r>
      <w:proofErr w:type="spellStart"/>
      <w:r w:rsidR="00B76953" w:rsidRPr="00B76953">
        <w:rPr>
          <w:rFonts w:ascii="Arial" w:hAnsi="Arial" w:cs="Arial"/>
          <w:sz w:val="22"/>
          <w:szCs w:val="22"/>
        </w:rPr>
        <w:t>nCount_RNA</w:t>
      </w:r>
      <w:proofErr w:type="spellEnd"/>
      <w:r w:rsidR="00B76953" w:rsidRPr="00B76953">
        <w:rPr>
          <w:rFonts w:ascii="Arial" w:hAnsi="Arial" w:cs="Arial"/>
          <w:sz w:val="22"/>
          <w:szCs w:val="22"/>
        </w:rPr>
        <w:t>) per cell across samples</w:t>
      </w:r>
      <w:r w:rsidR="00B76953">
        <w:rPr>
          <w:rFonts w:ascii="Arial" w:hAnsi="Arial" w:cs="Arial"/>
          <w:sz w:val="22"/>
          <w:szCs w:val="22"/>
        </w:rPr>
        <w:t xml:space="preserve">. </w:t>
      </w:r>
      <w:r>
        <w:rPr>
          <w:rFonts w:ascii="Arial" w:hAnsi="Arial" w:cs="Arial"/>
          <w:b/>
          <w:bCs/>
          <w:sz w:val="22"/>
          <w:szCs w:val="22"/>
        </w:rPr>
        <w:t>B</w:t>
      </w:r>
      <w:r w:rsidR="00B76953">
        <w:rPr>
          <w:rFonts w:ascii="Arial" w:hAnsi="Arial" w:cs="Arial"/>
          <w:sz w:val="22"/>
          <w:szCs w:val="22"/>
        </w:rPr>
        <w:t xml:space="preserve"> Violin plot showing the distribution of detected features (</w:t>
      </w:r>
      <w:proofErr w:type="spellStart"/>
      <w:r w:rsidR="00B76953">
        <w:rPr>
          <w:rFonts w:ascii="Arial" w:hAnsi="Arial" w:cs="Arial"/>
          <w:sz w:val="22"/>
          <w:szCs w:val="22"/>
        </w:rPr>
        <w:t>nFeature_RNA</w:t>
      </w:r>
      <w:proofErr w:type="spellEnd"/>
      <w:r w:rsidR="00B76953">
        <w:rPr>
          <w:rFonts w:ascii="Arial" w:hAnsi="Arial" w:cs="Arial"/>
          <w:sz w:val="22"/>
          <w:szCs w:val="22"/>
        </w:rPr>
        <w:t xml:space="preserve">) per cell across samples. </w:t>
      </w:r>
      <w:r>
        <w:rPr>
          <w:rFonts w:ascii="Arial" w:hAnsi="Arial" w:cs="Arial"/>
          <w:b/>
          <w:bCs/>
          <w:sz w:val="22"/>
          <w:szCs w:val="22"/>
        </w:rPr>
        <w:t>C</w:t>
      </w:r>
      <w:r w:rsidR="00B76953">
        <w:rPr>
          <w:rFonts w:ascii="Arial" w:hAnsi="Arial" w:cs="Arial"/>
          <w:sz w:val="22"/>
          <w:szCs w:val="22"/>
        </w:rPr>
        <w:t xml:space="preserve"> Scatterplot of </w:t>
      </w:r>
      <w:proofErr w:type="spellStart"/>
      <w:r w:rsidR="00B76953">
        <w:rPr>
          <w:rFonts w:ascii="Arial" w:hAnsi="Arial" w:cs="Arial"/>
          <w:sz w:val="22"/>
          <w:szCs w:val="22"/>
        </w:rPr>
        <w:t>nFeature_RNA</w:t>
      </w:r>
      <w:proofErr w:type="spellEnd"/>
      <w:r w:rsidR="00B76953">
        <w:rPr>
          <w:rFonts w:ascii="Arial" w:hAnsi="Arial" w:cs="Arial"/>
          <w:sz w:val="22"/>
          <w:szCs w:val="22"/>
        </w:rPr>
        <w:t xml:space="preserve"> vs </w:t>
      </w:r>
      <w:proofErr w:type="spellStart"/>
      <w:r w:rsidR="00B76953">
        <w:rPr>
          <w:rFonts w:ascii="Arial" w:hAnsi="Arial" w:cs="Arial"/>
          <w:sz w:val="22"/>
          <w:szCs w:val="22"/>
        </w:rPr>
        <w:t>nCount_RNA</w:t>
      </w:r>
      <w:proofErr w:type="spellEnd"/>
      <w:r w:rsidR="00B76953">
        <w:rPr>
          <w:rFonts w:ascii="Arial" w:hAnsi="Arial" w:cs="Arial"/>
          <w:sz w:val="22"/>
          <w:szCs w:val="22"/>
        </w:rPr>
        <w:t xml:space="preserve"> with Pearson correlation coefficient displayed. </w:t>
      </w:r>
      <w:r>
        <w:rPr>
          <w:rFonts w:ascii="Arial" w:hAnsi="Arial" w:cs="Arial"/>
          <w:b/>
          <w:bCs/>
          <w:sz w:val="22"/>
          <w:szCs w:val="22"/>
        </w:rPr>
        <w:t>D</w:t>
      </w:r>
      <w:r w:rsidR="00B76953">
        <w:rPr>
          <w:rFonts w:ascii="Arial" w:hAnsi="Arial" w:cs="Arial"/>
          <w:sz w:val="22"/>
          <w:szCs w:val="22"/>
        </w:rPr>
        <w:t xml:space="preserve"> Elbow plot showing standard deviation explained by the first 20 principal components (PCs). </w:t>
      </w:r>
      <w:r>
        <w:rPr>
          <w:rFonts w:ascii="Arial" w:hAnsi="Arial" w:cs="Arial"/>
          <w:b/>
          <w:bCs/>
          <w:sz w:val="22"/>
          <w:szCs w:val="22"/>
        </w:rPr>
        <w:t>E</w:t>
      </w:r>
      <w:r w:rsidR="00B76953">
        <w:rPr>
          <w:rFonts w:ascii="Arial" w:hAnsi="Arial" w:cs="Arial"/>
          <w:sz w:val="22"/>
          <w:szCs w:val="22"/>
        </w:rPr>
        <w:t xml:space="preserve"> UMAP visualisation of individual cells coloured by sample before integration. </w:t>
      </w:r>
      <w:r w:rsidR="00B76953">
        <w:rPr>
          <w:rFonts w:ascii="Arial" w:hAnsi="Arial" w:cs="Arial"/>
          <w:b/>
          <w:bCs/>
          <w:sz w:val="22"/>
          <w:szCs w:val="22"/>
        </w:rPr>
        <w:t>F</w:t>
      </w:r>
      <w:r w:rsidR="00B76953">
        <w:rPr>
          <w:rFonts w:ascii="Arial" w:hAnsi="Arial" w:cs="Arial"/>
          <w:sz w:val="22"/>
          <w:szCs w:val="22"/>
        </w:rPr>
        <w:t xml:space="preserve"> UMAP visualisation of individual cells coloured by sample after dataset integration.</w:t>
      </w:r>
    </w:p>
    <w:p w14:paraId="217BBE06" w14:textId="77777777" w:rsidR="00B76953" w:rsidRDefault="00B76953" w:rsidP="00EB2356">
      <w:pPr>
        <w:spacing w:line="480" w:lineRule="auto"/>
        <w:rPr>
          <w:rFonts w:ascii="Arial" w:hAnsi="Arial" w:cs="Arial"/>
          <w:b/>
          <w:bCs/>
          <w:sz w:val="22"/>
          <w:szCs w:val="22"/>
        </w:rPr>
      </w:pPr>
    </w:p>
    <w:p w14:paraId="43B922F8" w14:textId="3D1AEA55" w:rsidR="00433D9B" w:rsidRDefault="00433D9B" w:rsidP="00EB2356">
      <w:pPr>
        <w:spacing w:line="480" w:lineRule="auto"/>
        <w:rPr>
          <w:rFonts w:ascii="Arial" w:hAnsi="Arial" w:cs="Arial"/>
          <w:b/>
          <w:bCs/>
          <w:sz w:val="22"/>
          <w:szCs w:val="22"/>
        </w:rPr>
      </w:pPr>
      <w:r>
        <w:rPr>
          <w:rFonts w:ascii="Arial" w:hAnsi="Arial" w:cs="Arial"/>
          <w:b/>
          <w:bCs/>
          <w:noProof/>
          <w:sz w:val="22"/>
          <w:szCs w:val="22"/>
        </w:rPr>
        <w:lastRenderedPageBreak/>
        <w:drawing>
          <wp:inline distT="0" distB="0" distL="0" distR="0" wp14:anchorId="3A9CF69D" wp14:editId="03D72727">
            <wp:extent cx="5731510" cy="4967605"/>
            <wp:effectExtent l="0" t="0" r="0" b="0"/>
            <wp:docPr id="1636570468" name="Picture 3" descr="A screenshot of a computer generated im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570468" name="Picture 3" descr="A screenshot of a computer generated image&#10;&#10;AI-generated content may be incorrect."/>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31510" cy="4967605"/>
                    </a:xfrm>
                    <a:prstGeom prst="rect">
                      <a:avLst/>
                    </a:prstGeom>
                  </pic:spPr>
                </pic:pic>
              </a:graphicData>
            </a:graphic>
          </wp:inline>
        </w:drawing>
      </w:r>
    </w:p>
    <w:p w14:paraId="2A8AFAB5" w14:textId="731620EF" w:rsidR="00433D9B" w:rsidRDefault="00433D9B" w:rsidP="00EB2356">
      <w:pPr>
        <w:spacing w:line="480" w:lineRule="auto"/>
        <w:rPr>
          <w:rFonts w:ascii="Arial" w:hAnsi="Arial" w:cs="Arial"/>
          <w:b/>
          <w:bCs/>
          <w:sz w:val="22"/>
          <w:szCs w:val="22"/>
        </w:rPr>
      </w:pPr>
      <w:r>
        <w:rPr>
          <w:rFonts w:ascii="Arial" w:hAnsi="Arial" w:cs="Arial"/>
          <w:b/>
          <w:bCs/>
          <w:sz w:val="22"/>
          <w:szCs w:val="22"/>
        </w:rPr>
        <w:t xml:space="preserve">Supplementary Fig.2| </w:t>
      </w:r>
      <w:r w:rsidR="00962918">
        <w:rPr>
          <w:rFonts w:ascii="Arial" w:hAnsi="Arial" w:cs="Arial"/>
          <w:b/>
          <w:bCs/>
          <w:sz w:val="22"/>
          <w:szCs w:val="22"/>
        </w:rPr>
        <w:t xml:space="preserve">Defining areas of parenchyma and non-parenchyma on </w:t>
      </w:r>
      <w:proofErr w:type="spellStart"/>
      <w:r w:rsidR="00962918">
        <w:rPr>
          <w:rFonts w:ascii="Arial" w:hAnsi="Arial" w:cs="Arial"/>
          <w:b/>
          <w:bCs/>
          <w:sz w:val="22"/>
          <w:szCs w:val="22"/>
        </w:rPr>
        <w:t>CosMx</w:t>
      </w:r>
      <w:proofErr w:type="spellEnd"/>
      <w:r w:rsidR="00962918">
        <w:rPr>
          <w:rFonts w:ascii="Arial" w:hAnsi="Arial" w:cs="Arial"/>
          <w:b/>
          <w:bCs/>
          <w:sz w:val="22"/>
          <w:szCs w:val="22"/>
        </w:rPr>
        <w:t xml:space="preserve"> images using </w:t>
      </w:r>
      <w:r w:rsidR="00F3771D">
        <w:rPr>
          <w:rFonts w:ascii="Arial" w:hAnsi="Arial" w:cs="Arial"/>
          <w:b/>
          <w:bCs/>
          <w:sz w:val="22"/>
          <w:szCs w:val="22"/>
        </w:rPr>
        <w:t xml:space="preserve">a </w:t>
      </w:r>
      <w:r w:rsidR="00962918">
        <w:rPr>
          <w:rFonts w:ascii="Arial" w:hAnsi="Arial" w:cs="Arial"/>
          <w:b/>
          <w:bCs/>
          <w:sz w:val="22"/>
          <w:szCs w:val="22"/>
        </w:rPr>
        <w:t>custom Python tool.</w:t>
      </w:r>
    </w:p>
    <w:p w14:paraId="54F47603" w14:textId="1F0B81B2" w:rsidR="00433D9B" w:rsidRPr="00EB2356" w:rsidRDefault="00D37B23" w:rsidP="00EB2356">
      <w:pPr>
        <w:spacing w:line="480" w:lineRule="auto"/>
        <w:rPr>
          <w:rFonts w:ascii="Arial" w:hAnsi="Arial" w:cs="Arial"/>
          <w:sz w:val="22"/>
          <w:szCs w:val="22"/>
        </w:rPr>
      </w:pPr>
      <w:r>
        <w:rPr>
          <w:rFonts w:ascii="Arial" w:hAnsi="Arial" w:cs="Arial"/>
          <w:b/>
          <w:bCs/>
          <w:sz w:val="22"/>
          <w:szCs w:val="22"/>
        </w:rPr>
        <w:t>A</w:t>
      </w:r>
      <w:r w:rsidR="00962918">
        <w:rPr>
          <w:rFonts w:ascii="Arial" w:hAnsi="Arial" w:cs="Arial"/>
          <w:sz w:val="22"/>
          <w:szCs w:val="22"/>
        </w:rPr>
        <w:t xml:space="preserve"> </w:t>
      </w:r>
      <w:proofErr w:type="gramStart"/>
      <w:r w:rsidR="00F3771D">
        <w:rPr>
          <w:rFonts w:ascii="Arial" w:hAnsi="Arial" w:cs="Arial"/>
          <w:sz w:val="22"/>
          <w:szCs w:val="22"/>
        </w:rPr>
        <w:t>Spatial maps</w:t>
      </w:r>
      <w:proofErr w:type="gramEnd"/>
      <w:r w:rsidR="00F3771D">
        <w:rPr>
          <w:rFonts w:ascii="Arial" w:hAnsi="Arial" w:cs="Arial"/>
          <w:sz w:val="22"/>
          <w:szCs w:val="22"/>
        </w:rPr>
        <w:t xml:space="preserve"> of each </w:t>
      </w:r>
      <w:proofErr w:type="spellStart"/>
      <w:r w:rsidR="00F3771D">
        <w:rPr>
          <w:rFonts w:ascii="Arial" w:hAnsi="Arial" w:cs="Arial"/>
          <w:sz w:val="22"/>
          <w:szCs w:val="22"/>
        </w:rPr>
        <w:t>CosMx</w:t>
      </w:r>
      <w:proofErr w:type="spellEnd"/>
      <w:r w:rsidR="00F3771D">
        <w:rPr>
          <w:rFonts w:ascii="Arial" w:hAnsi="Arial" w:cs="Arial"/>
          <w:sz w:val="22"/>
          <w:szCs w:val="22"/>
        </w:rPr>
        <w:t xml:space="preserve"> samples separated into areas of parenchyma (blue) and non-parenchyma (red). </w:t>
      </w:r>
      <w:r>
        <w:rPr>
          <w:rFonts w:ascii="Arial" w:hAnsi="Arial" w:cs="Arial"/>
          <w:b/>
          <w:bCs/>
          <w:sz w:val="22"/>
          <w:szCs w:val="22"/>
        </w:rPr>
        <w:t>B</w:t>
      </w:r>
      <w:r w:rsidR="00F3771D">
        <w:rPr>
          <w:rFonts w:ascii="Arial" w:hAnsi="Arial" w:cs="Arial"/>
          <w:sz w:val="22"/>
          <w:szCs w:val="22"/>
        </w:rPr>
        <w:t xml:space="preserve"> Three identical images of a representative area of SN liver tissues 1) stained</w:t>
      </w:r>
      <w:r w:rsidR="00F3771D" w:rsidRPr="00350420">
        <w:rPr>
          <w:rFonts w:ascii="Arial" w:hAnsi="Arial" w:cs="Arial"/>
          <w:sz w:val="22"/>
          <w:szCs w:val="22"/>
        </w:rPr>
        <w:t xml:space="preserve"> immunofluorescence image</w:t>
      </w:r>
      <w:r w:rsidR="00F3771D">
        <w:rPr>
          <w:rFonts w:ascii="Arial" w:hAnsi="Arial" w:cs="Arial"/>
          <w:sz w:val="22"/>
          <w:szCs w:val="22"/>
        </w:rPr>
        <w:t xml:space="preserve"> for DNA, histone, membrane, CK8/18 and CD45, 2) </w:t>
      </w:r>
      <w:r w:rsidR="00F3771D" w:rsidRPr="00350420">
        <w:rPr>
          <w:rFonts w:ascii="Arial" w:hAnsi="Arial" w:cs="Arial"/>
          <w:sz w:val="22"/>
          <w:szCs w:val="22"/>
        </w:rPr>
        <w:t xml:space="preserve">Cell types identified using the gene signatures viewed spatially </w:t>
      </w:r>
      <w:r w:rsidR="00F3771D">
        <w:rPr>
          <w:rFonts w:ascii="Arial" w:hAnsi="Arial" w:cs="Arial"/>
          <w:sz w:val="22"/>
          <w:szCs w:val="22"/>
        </w:rPr>
        <w:t>and 3) selected non-parenchyma areas drawn.</w:t>
      </w:r>
    </w:p>
    <w:p w14:paraId="23F3C043" w14:textId="77777777" w:rsidR="00433D9B" w:rsidRDefault="00433D9B" w:rsidP="00EB2356">
      <w:pPr>
        <w:spacing w:line="480" w:lineRule="auto"/>
        <w:rPr>
          <w:rFonts w:ascii="Arial" w:hAnsi="Arial" w:cs="Arial"/>
          <w:b/>
          <w:bCs/>
          <w:sz w:val="22"/>
          <w:szCs w:val="22"/>
        </w:rPr>
      </w:pPr>
    </w:p>
    <w:p w14:paraId="429E6116" w14:textId="72F4DABA" w:rsidR="00433D9B" w:rsidRDefault="00433D9B" w:rsidP="00EB2356">
      <w:pPr>
        <w:spacing w:line="480" w:lineRule="auto"/>
        <w:rPr>
          <w:rFonts w:ascii="Arial" w:hAnsi="Arial" w:cs="Arial"/>
          <w:b/>
          <w:bCs/>
          <w:sz w:val="22"/>
          <w:szCs w:val="22"/>
        </w:rPr>
      </w:pPr>
      <w:r>
        <w:rPr>
          <w:rFonts w:ascii="Arial" w:hAnsi="Arial" w:cs="Arial"/>
          <w:b/>
          <w:bCs/>
          <w:noProof/>
          <w:sz w:val="22"/>
          <w:szCs w:val="22"/>
        </w:rPr>
        <w:lastRenderedPageBreak/>
        <w:drawing>
          <wp:inline distT="0" distB="0" distL="0" distR="0" wp14:anchorId="3677FD2B" wp14:editId="5AB599B9">
            <wp:extent cx="5731510" cy="3436620"/>
            <wp:effectExtent l="0" t="0" r="0" b="5080"/>
            <wp:docPr id="1995013932" name="Picture 4" descr="A collage of graphs and diagra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013932" name="Picture 4" descr="A collage of graphs and diagrams&#10;&#10;AI-generated content may be incorrect."/>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31510" cy="3436620"/>
                    </a:xfrm>
                    <a:prstGeom prst="rect">
                      <a:avLst/>
                    </a:prstGeom>
                  </pic:spPr>
                </pic:pic>
              </a:graphicData>
            </a:graphic>
          </wp:inline>
        </w:drawing>
      </w:r>
    </w:p>
    <w:p w14:paraId="500765E9" w14:textId="64D867B8" w:rsidR="00B76953" w:rsidRDefault="00433D9B" w:rsidP="00EB2356">
      <w:pPr>
        <w:spacing w:line="480" w:lineRule="auto"/>
        <w:rPr>
          <w:rFonts w:ascii="Arial" w:hAnsi="Arial" w:cs="Arial"/>
          <w:b/>
          <w:bCs/>
          <w:sz w:val="22"/>
          <w:szCs w:val="22"/>
        </w:rPr>
      </w:pPr>
      <w:r>
        <w:rPr>
          <w:rFonts w:ascii="Arial" w:hAnsi="Arial" w:cs="Arial"/>
          <w:b/>
          <w:bCs/>
          <w:sz w:val="22"/>
          <w:szCs w:val="22"/>
        </w:rPr>
        <w:t xml:space="preserve">Supplementary Fig.3| </w:t>
      </w:r>
      <w:r w:rsidR="00B76953">
        <w:rPr>
          <w:rFonts w:ascii="Arial" w:hAnsi="Arial" w:cs="Arial"/>
          <w:b/>
          <w:bCs/>
          <w:sz w:val="22"/>
          <w:szCs w:val="22"/>
        </w:rPr>
        <w:t xml:space="preserve">Quality control and integration of </w:t>
      </w:r>
      <w:proofErr w:type="spellStart"/>
      <w:r w:rsidR="00B76953">
        <w:rPr>
          <w:rFonts w:ascii="Arial" w:hAnsi="Arial" w:cs="Arial"/>
          <w:b/>
          <w:bCs/>
          <w:sz w:val="22"/>
          <w:szCs w:val="22"/>
        </w:rPr>
        <w:t>Visium</w:t>
      </w:r>
      <w:proofErr w:type="spellEnd"/>
      <w:r w:rsidR="00B76953">
        <w:rPr>
          <w:rFonts w:ascii="Arial" w:hAnsi="Arial" w:cs="Arial"/>
          <w:b/>
          <w:bCs/>
          <w:sz w:val="22"/>
          <w:szCs w:val="22"/>
        </w:rPr>
        <w:t xml:space="preserve"> spatial transcriptomics dataset</w:t>
      </w:r>
    </w:p>
    <w:p w14:paraId="46DD88F7" w14:textId="36C27D8C" w:rsidR="00B76953" w:rsidRPr="00B76953" w:rsidRDefault="00D37B23" w:rsidP="00EB2356">
      <w:pPr>
        <w:spacing w:line="480" w:lineRule="auto"/>
        <w:rPr>
          <w:rFonts w:ascii="Arial" w:hAnsi="Arial" w:cs="Arial"/>
          <w:sz w:val="22"/>
          <w:szCs w:val="22"/>
        </w:rPr>
      </w:pPr>
      <w:r>
        <w:rPr>
          <w:rFonts w:ascii="Arial" w:hAnsi="Arial" w:cs="Arial"/>
          <w:b/>
          <w:bCs/>
          <w:sz w:val="22"/>
          <w:szCs w:val="22"/>
        </w:rPr>
        <w:t>A</w:t>
      </w:r>
      <w:r w:rsidR="00B76953">
        <w:rPr>
          <w:rFonts w:ascii="Arial" w:hAnsi="Arial" w:cs="Arial"/>
          <w:b/>
          <w:bCs/>
          <w:sz w:val="22"/>
          <w:szCs w:val="22"/>
        </w:rPr>
        <w:t xml:space="preserve"> </w:t>
      </w:r>
      <w:r w:rsidR="00B76953" w:rsidRPr="00B76953">
        <w:rPr>
          <w:rFonts w:ascii="Arial" w:hAnsi="Arial" w:cs="Arial"/>
          <w:sz w:val="22"/>
          <w:szCs w:val="22"/>
        </w:rPr>
        <w:t>Violin plot showing distribution of total transcript counts (</w:t>
      </w:r>
      <w:proofErr w:type="spellStart"/>
      <w:r w:rsidR="00B76953" w:rsidRPr="00B76953">
        <w:rPr>
          <w:rFonts w:ascii="Arial" w:hAnsi="Arial" w:cs="Arial"/>
          <w:sz w:val="22"/>
          <w:szCs w:val="22"/>
        </w:rPr>
        <w:t>nCount_RNA</w:t>
      </w:r>
      <w:proofErr w:type="spellEnd"/>
      <w:r w:rsidR="00B76953" w:rsidRPr="00B76953">
        <w:rPr>
          <w:rFonts w:ascii="Arial" w:hAnsi="Arial" w:cs="Arial"/>
          <w:sz w:val="22"/>
          <w:szCs w:val="22"/>
        </w:rPr>
        <w:t>) per cell across samples</w:t>
      </w:r>
      <w:r w:rsidR="00B76953">
        <w:rPr>
          <w:rFonts w:ascii="Arial" w:hAnsi="Arial" w:cs="Arial"/>
          <w:sz w:val="22"/>
          <w:szCs w:val="22"/>
        </w:rPr>
        <w:t xml:space="preserve">. </w:t>
      </w:r>
      <w:r>
        <w:rPr>
          <w:rFonts w:ascii="Arial" w:hAnsi="Arial" w:cs="Arial"/>
          <w:b/>
          <w:bCs/>
          <w:sz w:val="22"/>
          <w:szCs w:val="22"/>
        </w:rPr>
        <w:t>B</w:t>
      </w:r>
      <w:r w:rsidR="00B76953">
        <w:rPr>
          <w:rFonts w:ascii="Arial" w:hAnsi="Arial" w:cs="Arial"/>
          <w:sz w:val="22"/>
          <w:szCs w:val="22"/>
        </w:rPr>
        <w:t xml:space="preserve"> Violin plot showing the distribution of detected features (</w:t>
      </w:r>
      <w:proofErr w:type="spellStart"/>
      <w:r w:rsidR="00B76953">
        <w:rPr>
          <w:rFonts w:ascii="Arial" w:hAnsi="Arial" w:cs="Arial"/>
          <w:sz w:val="22"/>
          <w:szCs w:val="22"/>
        </w:rPr>
        <w:t>nFeature_RNA</w:t>
      </w:r>
      <w:proofErr w:type="spellEnd"/>
      <w:r w:rsidR="00B76953">
        <w:rPr>
          <w:rFonts w:ascii="Arial" w:hAnsi="Arial" w:cs="Arial"/>
          <w:sz w:val="22"/>
          <w:szCs w:val="22"/>
        </w:rPr>
        <w:t xml:space="preserve">) per cell across samples. </w:t>
      </w:r>
      <w:r>
        <w:rPr>
          <w:rFonts w:ascii="Arial" w:hAnsi="Arial" w:cs="Arial"/>
          <w:b/>
          <w:bCs/>
          <w:sz w:val="22"/>
          <w:szCs w:val="22"/>
        </w:rPr>
        <w:t>C</w:t>
      </w:r>
      <w:r w:rsidR="00B76953">
        <w:rPr>
          <w:rFonts w:ascii="Arial" w:hAnsi="Arial" w:cs="Arial"/>
          <w:sz w:val="22"/>
          <w:szCs w:val="22"/>
        </w:rPr>
        <w:t xml:space="preserve"> Scatterplot of </w:t>
      </w:r>
      <w:proofErr w:type="spellStart"/>
      <w:r w:rsidR="00B76953">
        <w:rPr>
          <w:rFonts w:ascii="Arial" w:hAnsi="Arial" w:cs="Arial"/>
          <w:sz w:val="22"/>
          <w:szCs w:val="22"/>
        </w:rPr>
        <w:t>nFeature_RNA</w:t>
      </w:r>
      <w:proofErr w:type="spellEnd"/>
      <w:r w:rsidR="00B76953">
        <w:rPr>
          <w:rFonts w:ascii="Arial" w:hAnsi="Arial" w:cs="Arial"/>
          <w:sz w:val="22"/>
          <w:szCs w:val="22"/>
        </w:rPr>
        <w:t xml:space="preserve"> vs </w:t>
      </w:r>
      <w:proofErr w:type="spellStart"/>
      <w:r w:rsidR="00B76953">
        <w:rPr>
          <w:rFonts w:ascii="Arial" w:hAnsi="Arial" w:cs="Arial"/>
          <w:sz w:val="22"/>
          <w:szCs w:val="22"/>
        </w:rPr>
        <w:t>nCount_RNA</w:t>
      </w:r>
      <w:proofErr w:type="spellEnd"/>
      <w:r w:rsidR="00B76953">
        <w:rPr>
          <w:rFonts w:ascii="Arial" w:hAnsi="Arial" w:cs="Arial"/>
          <w:sz w:val="22"/>
          <w:szCs w:val="22"/>
        </w:rPr>
        <w:t xml:space="preserve"> with Pearson correlation coefficient displayed. </w:t>
      </w:r>
      <w:r>
        <w:rPr>
          <w:rFonts w:ascii="Arial" w:hAnsi="Arial" w:cs="Arial"/>
          <w:b/>
          <w:bCs/>
          <w:sz w:val="22"/>
          <w:szCs w:val="22"/>
        </w:rPr>
        <w:t>D</w:t>
      </w:r>
      <w:r w:rsidR="00B76953">
        <w:rPr>
          <w:rFonts w:ascii="Arial" w:hAnsi="Arial" w:cs="Arial"/>
          <w:sz w:val="22"/>
          <w:szCs w:val="22"/>
        </w:rPr>
        <w:t xml:space="preserve"> UMAP visualisation of individual cells coloured by sample before integration. </w:t>
      </w:r>
      <w:r w:rsidR="00B76953">
        <w:rPr>
          <w:rFonts w:ascii="Arial" w:hAnsi="Arial" w:cs="Arial"/>
          <w:b/>
          <w:bCs/>
          <w:sz w:val="22"/>
          <w:szCs w:val="22"/>
        </w:rPr>
        <w:t>E</w:t>
      </w:r>
      <w:r w:rsidR="00B76953">
        <w:rPr>
          <w:rFonts w:ascii="Arial" w:hAnsi="Arial" w:cs="Arial"/>
          <w:sz w:val="22"/>
          <w:szCs w:val="22"/>
        </w:rPr>
        <w:t xml:space="preserve"> Elbow plot showing standard deviation explained by the first 20 principal components (PCs). </w:t>
      </w:r>
      <w:r w:rsidR="00B76953">
        <w:rPr>
          <w:rFonts w:ascii="Arial" w:hAnsi="Arial" w:cs="Arial"/>
          <w:b/>
          <w:bCs/>
          <w:sz w:val="22"/>
          <w:szCs w:val="22"/>
        </w:rPr>
        <w:t>F</w:t>
      </w:r>
      <w:r w:rsidR="00B76953">
        <w:rPr>
          <w:rFonts w:ascii="Arial" w:hAnsi="Arial" w:cs="Arial"/>
          <w:sz w:val="22"/>
          <w:szCs w:val="22"/>
        </w:rPr>
        <w:t xml:space="preserve"> UMAP visualisation of individual cells coloured by sample after dataset integration.</w:t>
      </w:r>
    </w:p>
    <w:p w14:paraId="66FB3B63" w14:textId="77777777" w:rsidR="00433D9B" w:rsidRDefault="00433D9B" w:rsidP="00EB2356">
      <w:pPr>
        <w:spacing w:line="480" w:lineRule="auto"/>
        <w:rPr>
          <w:rFonts w:ascii="Arial" w:hAnsi="Arial" w:cs="Arial"/>
          <w:b/>
          <w:bCs/>
          <w:sz w:val="22"/>
          <w:szCs w:val="22"/>
        </w:rPr>
      </w:pPr>
    </w:p>
    <w:p w14:paraId="36C2B01D" w14:textId="542E3FDD" w:rsidR="002273D4" w:rsidRDefault="00433D9B" w:rsidP="00EB2356">
      <w:pPr>
        <w:spacing w:line="480" w:lineRule="auto"/>
        <w:rPr>
          <w:rFonts w:ascii="Arial" w:hAnsi="Arial" w:cs="Arial"/>
          <w:b/>
          <w:bCs/>
          <w:color w:val="000000" w:themeColor="text1"/>
          <w:sz w:val="22"/>
          <w:szCs w:val="22"/>
        </w:rPr>
      </w:pPr>
      <w:r w:rsidRPr="00433D9B">
        <w:rPr>
          <w:rFonts w:ascii="Arial" w:hAnsi="Arial" w:cs="Arial"/>
          <w:b/>
          <w:bCs/>
          <w:noProof/>
          <w:sz w:val="22"/>
          <w:szCs w:val="22"/>
        </w:rPr>
        <w:lastRenderedPageBreak/>
        <w:drawing>
          <wp:inline distT="0" distB="0" distL="0" distR="0" wp14:anchorId="18DA83AF" wp14:editId="48D79EE1">
            <wp:extent cx="5731510" cy="5731510"/>
            <wp:effectExtent l="0" t="0" r="0" b="0"/>
            <wp:docPr id="4" name="Picture 3" descr="A screenshot of a cell division&#10;&#10;Description automatically generated">
              <a:extLst xmlns:a="http://schemas.openxmlformats.org/drawingml/2006/main">
                <a:ext uri="{FF2B5EF4-FFF2-40B4-BE49-F238E27FC236}">
                  <a16:creationId xmlns:a16="http://schemas.microsoft.com/office/drawing/2014/main" id="{6E00BBF4-144C-E511-B7E4-1E4B6DE3B6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screenshot of a cell division&#10;&#10;Description automatically generated">
                      <a:extLst>
                        <a:ext uri="{FF2B5EF4-FFF2-40B4-BE49-F238E27FC236}">
                          <a16:creationId xmlns:a16="http://schemas.microsoft.com/office/drawing/2014/main" id="{6E00BBF4-144C-E511-B7E4-1E4B6DE3B6A6}"/>
                        </a:ext>
                      </a:extLst>
                    </pic:cNvPr>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inline>
        </w:drawing>
      </w:r>
      <w:r w:rsidR="002273D4" w:rsidRPr="002273D4">
        <w:rPr>
          <w:rFonts w:ascii="Arial" w:hAnsi="Arial" w:cs="Arial"/>
          <w:b/>
          <w:bCs/>
          <w:sz w:val="22"/>
          <w:szCs w:val="22"/>
        </w:rPr>
        <w:t>Supplementary Fig.</w:t>
      </w:r>
      <w:r>
        <w:rPr>
          <w:rFonts w:ascii="Arial" w:hAnsi="Arial" w:cs="Arial"/>
          <w:b/>
          <w:bCs/>
          <w:sz w:val="22"/>
          <w:szCs w:val="22"/>
        </w:rPr>
        <w:t>4</w:t>
      </w:r>
      <w:r w:rsidR="002273D4" w:rsidRPr="002273D4">
        <w:rPr>
          <w:rFonts w:ascii="Arial" w:hAnsi="Arial" w:cs="Arial"/>
          <w:b/>
          <w:bCs/>
          <w:sz w:val="22"/>
          <w:szCs w:val="22"/>
        </w:rPr>
        <w:t>|</w:t>
      </w:r>
      <w:r w:rsidR="002273D4" w:rsidRPr="002273D4">
        <w:rPr>
          <w:rFonts w:ascii="Arial" w:hAnsi="Arial" w:cs="Arial"/>
          <w:sz w:val="22"/>
          <w:szCs w:val="22"/>
        </w:rPr>
        <w:t xml:space="preserve"> </w:t>
      </w:r>
      <w:proofErr w:type="spellStart"/>
      <w:r w:rsidR="002273D4" w:rsidRPr="002273D4">
        <w:rPr>
          <w:rFonts w:ascii="Arial" w:hAnsi="Arial" w:cs="Arial"/>
          <w:b/>
          <w:bCs/>
          <w:color w:val="000000" w:themeColor="text1"/>
          <w:sz w:val="22"/>
          <w:szCs w:val="22"/>
        </w:rPr>
        <w:t>QuPath</w:t>
      </w:r>
      <w:proofErr w:type="spellEnd"/>
      <w:r w:rsidR="002273D4" w:rsidRPr="002273D4">
        <w:rPr>
          <w:rFonts w:ascii="Arial" w:hAnsi="Arial" w:cs="Arial"/>
          <w:b/>
          <w:bCs/>
          <w:color w:val="000000" w:themeColor="text1"/>
          <w:sz w:val="22"/>
          <w:szCs w:val="22"/>
        </w:rPr>
        <w:t xml:space="preserve"> custom pipeline to quantify DAB staining using FFPE liver sections. </w:t>
      </w:r>
    </w:p>
    <w:p w14:paraId="1AE1C501" w14:textId="70E9071C" w:rsidR="002273D4" w:rsidRDefault="002273D4" w:rsidP="00EB2356">
      <w:pPr>
        <w:spacing w:line="480" w:lineRule="auto"/>
        <w:rPr>
          <w:rFonts w:ascii="Arial" w:hAnsi="Arial" w:cs="Arial"/>
          <w:color w:val="000000" w:themeColor="text1"/>
          <w:sz w:val="22"/>
          <w:szCs w:val="22"/>
        </w:rPr>
      </w:pPr>
      <w:r w:rsidRPr="002273D4">
        <w:rPr>
          <w:rFonts w:ascii="Arial" w:hAnsi="Arial" w:cs="Arial"/>
          <w:color w:val="000000" w:themeColor="text1"/>
          <w:sz w:val="22"/>
          <w:szCs w:val="22"/>
        </w:rPr>
        <w:t xml:space="preserve">DAB-stained images are imported into </w:t>
      </w:r>
      <w:proofErr w:type="spellStart"/>
      <w:r w:rsidRPr="002273D4">
        <w:rPr>
          <w:rFonts w:ascii="Arial" w:hAnsi="Arial" w:cs="Arial"/>
          <w:color w:val="000000" w:themeColor="text1"/>
          <w:sz w:val="22"/>
          <w:szCs w:val="22"/>
        </w:rPr>
        <w:t>QuPath</w:t>
      </w:r>
      <w:proofErr w:type="spellEnd"/>
      <w:r w:rsidRPr="002273D4">
        <w:rPr>
          <w:rFonts w:ascii="Arial" w:hAnsi="Arial" w:cs="Arial"/>
          <w:color w:val="000000" w:themeColor="text1"/>
          <w:sz w:val="22"/>
          <w:szCs w:val="22"/>
        </w:rPr>
        <w:t>, and the estimate stain vector function is used to optimise the brightness and saturation of haematoxylin and DAB staining which aids in the cell detection. Then, a 6mmx6mm square section is annotated in the centre of the section, this avoids any sub-optimal staining on the edges of the section. Positive and negative cells are assigned based on the DAB staining using the positive cell detection function.</w:t>
      </w:r>
    </w:p>
    <w:p w14:paraId="083CAB5C" w14:textId="77777777" w:rsidR="002273D4" w:rsidRDefault="002273D4" w:rsidP="00EB2356">
      <w:pPr>
        <w:spacing w:line="480" w:lineRule="auto"/>
        <w:rPr>
          <w:rFonts w:ascii="Arial" w:hAnsi="Arial" w:cs="Arial"/>
          <w:color w:val="000000" w:themeColor="text1"/>
          <w:sz w:val="22"/>
          <w:szCs w:val="22"/>
        </w:rPr>
      </w:pPr>
    </w:p>
    <w:p w14:paraId="524CBFD4" w14:textId="0D3807E1" w:rsidR="00433D9B" w:rsidRDefault="00433D9B" w:rsidP="00EB2356">
      <w:pPr>
        <w:spacing w:line="480" w:lineRule="auto"/>
        <w:rPr>
          <w:rFonts w:ascii="Arial" w:hAnsi="Arial" w:cs="Arial"/>
          <w:color w:val="000000" w:themeColor="text1"/>
          <w:sz w:val="22"/>
          <w:szCs w:val="22"/>
        </w:rPr>
      </w:pPr>
      <w:r>
        <w:rPr>
          <w:rFonts w:ascii="Arial" w:hAnsi="Arial" w:cs="Arial"/>
          <w:noProof/>
          <w:color w:val="000000" w:themeColor="text1"/>
          <w:sz w:val="22"/>
          <w:szCs w:val="22"/>
        </w:rPr>
        <w:lastRenderedPageBreak/>
        <w:drawing>
          <wp:inline distT="0" distB="0" distL="0" distR="0" wp14:anchorId="399305BA" wp14:editId="58AC07D7">
            <wp:extent cx="4459605" cy="8863330"/>
            <wp:effectExtent l="0" t="0" r="0" b="1270"/>
            <wp:docPr id="1632626107"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626107" name="Picture 1" descr="A screenshot of a computer screen&#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4459605" cy="8863330"/>
                    </a:xfrm>
                    <a:prstGeom prst="rect">
                      <a:avLst/>
                    </a:prstGeom>
                  </pic:spPr>
                </pic:pic>
              </a:graphicData>
            </a:graphic>
          </wp:inline>
        </w:drawing>
      </w:r>
    </w:p>
    <w:p w14:paraId="3AB8657A" w14:textId="19BCB1C4" w:rsidR="002273D4" w:rsidRDefault="002273D4" w:rsidP="00EB2356">
      <w:pPr>
        <w:spacing w:line="480" w:lineRule="auto"/>
        <w:rPr>
          <w:rFonts w:ascii="Arial" w:hAnsi="Arial" w:cs="Arial"/>
          <w:b/>
          <w:bCs/>
          <w:sz w:val="22"/>
          <w:szCs w:val="22"/>
        </w:rPr>
      </w:pPr>
      <w:r w:rsidRPr="002273D4">
        <w:rPr>
          <w:rFonts w:ascii="Arial" w:hAnsi="Arial" w:cs="Arial"/>
          <w:b/>
          <w:bCs/>
          <w:sz w:val="22"/>
          <w:szCs w:val="22"/>
        </w:rPr>
        <w:lastRenderedPageBreak/>
        <w:t>Supplementary Fig.</w:t>
      </w:r>
      <w:r w:rsidR="00433D9B">
        <w:rPr>
          <w:rFonts w:ascii="Arial" w:hAnsi="Arial" w:cs="Arial"/>
          <w:b/>
          <w:bCs/>
          <w:sz w:val="22"/>
          <w:szCs w:val="22"/>
        </w:rPr>
        <w:t>5</w:t>
      </w:r>
      <w:r>
        <w:rPr>
          <w:rFonts w:ascii="Arial" w:hAnsi="Arial" w:cs="Arial"/>
          <w:b/>
          <w:bCs/>
          <w:sz w:val="22"/>
          <w:szCs w:val="22"/>
        </w:rPr>
        <w:t xml:space="preserve">| Spatial organisation and </w:t>
      </w:r>
      <w:r w:rsidR="00372737">
        <w:rPr>
          <w:rFonts w:ascii="Arial" w:hAnsi="Arial" w:cs="Arial"/>
          <w:b/>
          <w:bCs/>
          <w:sz w:val="22"/>
          <w:szCs w:val="22"/>
        </w:rPr>
        <w:t>field of view</w:t>
      </w:r>
      <w:r>
        <w:rPr>
          <w:rFonts w:ascii="Arial" w:hAnsi="Arial" w:cs="Arial"/>
          <w:b/>
          <w:bCs/>
          <w:sz w:val="22"/>
          <w:szCs w:val="22"/>
        </w:rPr>
        <w:t xml:space="preserve"> across liver tissue samples used for </w:t>
      </w:r>
      <w:proofErr w:type="spellStart"/>
      <w:r>
        <w:rPr>
          <w:rFonts w:ascii="Arial" w:hAnsi="Arial" w:cs="Arial"/>
          <w:b/>
          <w:bCs/>
          <w:sz w:val="22"/>
          <w:szCs w:val="22"/>
        </w:rPr>
        <w:t>CosMx</w:t>
      </w:r>
      <w:proofErr w:type="spellEnd"/>
      <w:r>
        <w:rPr>
          <w:rFonts w:ascii="Arial" w:hAnsi="Arial" w:cs="Arial"/>
          <w:b/>
          <w:bCs/>
          <w:sz w:val="22"/>
          <w:szCs w:val="22"/>
        </w:rPr>
        <w:t xml:space="preserve"> spatial transcriptomics. </w:t>
      </w:r>
    </w:p>
    <w:p w14:paraId="4EA7A4DB" w14:textId="7D438C26" w:rsidR="002273D4" w:rsidRDefault="002273D4" w:rsidP="00EB2356">
      <w:pPr>
        <w:spacing w:line="480" w:lineRule="auto"/>
        <w:rPr>
          <w:rFonts w:ascii="Arial" w:hAnsi="Arial" w:cs="Arial"/>
          <w:sz w:val="22"/>
          <w:szCs w:val="22"/>
        </w:rPr>
      </w:pPr>
      <w:r>
        <w:rPr>
          <w:rFonts w:ascii="Arial" w:hAnsi="Arial" w:cs="Arial"/>
          <w:sz w:val="22"/>
          <w:szCs w:val="22"/>
        </w:rPr>
        <w:t>Tissue sections from explant SN, AIH and Donor liver samples were visualised using nuclear (DNA; grey), nuclear histone (green), epithelial (CK8/18; yellow), membrane (cyan) and immune (CD45; magenta) markers across five slides. For each tissue, the left column shows raw immunofluorescent images with combined staining. The middle column shows the immunofluorescent images overlayed with the regions of interest (ROIs) and the right column shows only the ROIs. Each ROI is annotated with its corresponding grid number, facilitating downstream mapping and quantification.</w:t>
      </w:r>
    </w:p>
    <w:p w14:paraId="0425FC0E" w14:textId="321AF0EF" w:rsidR="00433D9B" w:rsidRDefault="003A3F8A" w:rsidP="00EB2356">
      <w:pPr>
        <w:spacing w:line="480" w:lineRule="auto"/>
        <w:rPr>
          <w:rFonts w:ascii="Arial" w:hAnsi="Arial" w:cs="Arial"/>
          <w:sz w:val="22"/>
          <w:szCs w:val="22"/>
        </w:rPr>
      </w:pPr>
      <w:r>
        <w:rPr>
          <w:rFonts w:ascii="Arial" w:hAnsi="Arial" w:cs="Arial"/>
          <w:sz w:val="22"/>
          <w:szCs w:val="22"/>
        </w:rPr>
        <w:t>SN: Seronegative hepatitis, AIH: Autoimmune hepatitis</w:t>
      </w:r>
    </w:p>
    <w:p w14:paraId="7C657B3A" w14:textId="6F0A3137" w:rsidR="00433D9B" w:rsidRDefault="0075587B" w:rsidP="00EB2356">
      <w:pPr>
        <w:spacing w:line="480" w:lineRule="auto"/>
        <w:rPr>
          <w:rFonts w:ascii="Arial" w:hAnsi="Arial" w:cs="Arial"/>
          <w:sz w:val="22"/>
          <w:szCs w:val="22"/>
        </w:rPr>
      </w:pPr>
      <w:r>
        <w:rPr>
          <w:rFonts w:ascii="Arial" w:hAnsi="Arial" w:cs="Arial"/>
          <w:noProof/>
          <w:sz w:val="22"/>
          <w:szCs w:val="22"/>
        </w:rPr>
        <w:lastRenderedPageBreak/>
        <w:drawing>
          <wp:inline distT="0" distB="0" distL="0" distR="0" wp14:anchorId="750F051C" wp14:editId="12ECB0C7">
            <wp:extent cx="5731510" cy="8047355"/>
            <wp:effectExtent l="0" t="0" r="0" b="4445"/>
            <wp:docPr id="1360633445"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633445" name="Picture 1" descr="A screenshot of a computer screen&#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8047355"/>
                    </a:xfrm>
                    <a:prstGeom prst="rect">
                      <a:avLst/>
                    </a:prstGeom>
                  </pic:spPr>
                </pic:pic>
              </a:graphicData>
            </a:graphic>
          </wp:inline>
        </w:drawing>
      </w:r>
    </w:p>
    <w:p w14:paraId="1BA22A53" w14:textId="7C356868" w:rsidR="002273D4" w:rsidRDefault="002273D4" w:rsidP="00EB2356">
      <w:pPr>
        <w:spacing w:line="480" w:lineRule="auto"/>
        <w:rPr>
          <w:rFonts w:ascii="Arial" w:hAnsi="Arial" w:cs="Arial"/>
          <w:b/>
          <w:bCs/>
          <w:sz w:val="22"/>
          <w:szCs w:val="22"/>
        </w:rPr>
      </w:pPr>
      <w:r w:rsidRPr="002273D4">
        <w:rPr>
          <w:rFonts w:ascii="Arial" w:hAnsi="Arial" w:cs="Arial"/>
          <w:b/>
          <w:bCs/>
          <w:sz w:val="22"/>
          <w:szCs w:val="22"/>
        </w:rPr>
        <w:t>Supplementary Fig.</w:t>
      </w:r>
      <w:r w:rsidR="00433D9B">
        <w:rPr>
          <w:rFonts w:ascii="Arial" w:hAnsi="Arial" w:cs="Arial"/>
          <w:b/>
          <w:bCs/>
          <w:sz w:val="22"/>
          <w:szCs w:val="22"/>
        </w:rPr>
        <w:t>6</w:t>
      </w:r>
      <w:r>
        <w:rPr>
          <w:rFonts w:ascii="Arial" w:hAnsi="Arial" w:cs="Arial"/>
          <w:b/>
          <w:bCs/>
          <w:sz w:val="22"/>
          <w:szCs w:val="22"/>
        </w:rPr>
        <w:t xml:space="preserve">| </w:t>
      </w:r>
      <w:r w:rsidR="00154CE3">
        <w:rPr>
          <w:rFonts w:ascii="Arial" w:hAnsi="Arial" w:cs="Arial"/>
          <w:b/>
          <w:bCs/>
          <w:sz w:val="22"/>
          <w:szCs w:val="22"/>
        </w:rPr>
        <w:t xml:space="preserve">Cell type annotation and marker gene expression in </w:t>
      </w:r>
      <w:proofErr w:type="spellStart"/>
      <w:r w:rsidR="00154CE3">
        <w:rPr>
          <w:rFonts w:ascii="Arial" w:hAnsi="Arial" w:cs="Arial"/>
          <w:b/>
          <w:bCs/>
          <w:sz w:val="22"/>
          <w:szCs w:val="22"/>
        </w:rPr>
        <w:t>CosMx</w:t>
      </w:r>
      <w:proofErr w:type="spellEnd"/>
      <w:r w:rsidR="00154CE3">
        <w:rPr>
          <w:rFonts w:ascii="Arial" w:hAnsi="Arial" w:cs="Arial"/>
          <w:b/>
          <w:bCs/>
          <w:sz w:val="22"/>
          <w:szCs w:val="22"/>
        </w:rPr>
        <w:t xml:space="preserve"> spatial transcriptomics data set.</w:t>
      </w:r>
    </w:p>
    <w:p w14:paraId="15C63C66" w14:textId="76CBD96C" w:rsidR="00154CE3" w:rsidRDefault="00D37B23" w:rsidP="00EB2356">
      <w:pPr>
        <w:spacing w:line="480" w:lineRule="auto"/>
        <w:rPr>
          <w:rFonts w:ascii="Arial" w:hAnsi="Arial" w:cs="Arial"/>
          <w:sz w:val="22"/>
          <w:szCs w:val="22"/>
        </w:rPr>
      </w:pPr>
      <w:r>
        <w:rPr>
          <w:rFonts w:ascii="Arial" w:hAnsi="Arial" w:cs="Arial"/>
          <w:b/>
          <w:bCs/>
          <w:sz w:val="22"/>
          <w:szCs w:val="22"/>
        </w:rPr>
        <w:lastRenderedPageBreak/>
        <w:t>A</w:t>
      </w:r>
      <w:r w:rsidR="00154CE3">
        <w:rPr>
          <w:rFonts w:ascii="Arial" w:hAnsi="Arial" w:cs="Arial"/>
          <w:b/>
          <w:bCs/>
          <w:sz w:val="22"/>
          <w:szCs w:val="22"/>
        </w:rPr>
        <w:t xml:space="preserve"> </w:t>
      </w:r>
      <w:r w:rsidR="00154CE3" w:rsidRPr="00154CE3">
        <w:rPr>
          <w:rFonts w:ascii="Arial" w:hAnsi="Arial" w:cs="Arial"/>
          <w:sz w:val="22"/>
          <w:szCs w:val="22"/>
        </w:rPr>
        <w:t>UMAP visualisation of</w:t>
      </w:r>
      <w:r w:rsidR="00154CE3">
        <w:rPr>
          <w:rFonts w:ascii="Arial" w:hAnsi="Arial" w:cs="Arial"/>
          <w:b/>
          <w:bCs/>
          <w:sz w:val="22"/>
          <w:szCs w:val="22"/>
        </w:rPr>
        <w:t xml:space="preserve"> </w:t>
      </w:r>
      <w:r w:rsidR="00154CE3">
        <w:rPr>
          <w:rFonts w:ascii="Arial" w:hAnsi="Arial" w:cs="Arial"/>
          <w:sz w:val="22"/>
          <w:szCs w:val="22"/>
        </w:rPr>
        <w:t xml:space="preserve">cell populations identified from </w:t>
      </w:r>
      <w:proofErr w:type="spellStart"/>
      <w:r w:rsidR="00154CE3" w:rsidRPr="00350420">
        <w:rPr>
          <w:rFonts w:ascii="Arial" w:hAnsi="Arial" w:cs="Arial"/>
          <w:sz w:val="22"/>
          <w:szCs w:val="22"/>
        </w:rPr>
        <w:t>CosMx</w:t>
      </w:r>
      <w:proofErr w:type="spellEnd"/>
      <w:r w:rsidR="00154CE3" w:rsidRPr="00350420">
        <w:rPr>
          <w:rFonts w:ascii="Arial" w:hAnsi="Arial" w:cs="Arial"/>
          <w:sz w:val="22"/>
          <w:szCs w:val="22"/>
        </w:rPr>
        <w:t xml:space="preserve"> </w:t>
      </w:r>
      <w:r w:rsidR="00154CE3">
        <w:rPr>
          <w:rFonts w:ascii="Arial" w:hAnsi="Arial" w:cs="Arial"/>
          <w:sz w:val="22"/>
          <w:szCs w:val="22"/>
        </w:rPr>
        <w:t xml:space="preserve">spatial transcriptomics for SN, AIH and donor samples separately. </w:t>
      </w:r>
      <w:r>
        <w:rPr>
          <w:rFonts w:ascii="Arial" w:hAnsi="Arial" w:cs="Arial"/>
          <w:b/>
          <w:bCs/>
          <w:sz w:val="22"/>
          <w:szCs w:val="22"/>
        </w:rPr>
        <w:t>B</w:t>
      </w:r>
      <w:r w:rsidR="00154CE3">
        <w:rPr>
          <w:rFonts w:ascii="Arial" w:hAnsi="Arial" w:cs="Arial"/>
          <w:sz w:val="22"/>
          <w:szCs w:val="22"/>
        </w:rPr>
        <w:t xml:space="preserve"> Heatmap highlighting the top upregulated genes across each annotated cell type. </w:t>
      </w:r>
      <w:r w:rsidR="00D94FBF">
        <w:rPr>
          <w:rFonts w:ascii="Arial" w:hAnsi="Arial" w:cs="Arial"/>
          <w:sz w:val="22"/>
          <w:szCs w:val="22"/>
        </w:rPr>
        <w:t>R</w:t>
      </w:r>
      <w:r w:rsidR="00154CE3">
        <w:rPr>
          <w:rFonts w:ascii="Arial" w:hAnsi="Arial" w:cs="Arial"/>
          <w:sz w:val="22"/>
          <w:szCs w:val="22"/>
        </w:rPr>
        <w:t xml:space="preserve">ows represent genes, and columns correspond to cell clusters. Gene expression is scaled, with red indicating higher expression and blue lower expression. </w:t>
      </w:r>
      <w:r>
        <w:rPr>
          <w:rFonts w:ascii="Arial" w:hAnsi="Arial" w:cs="Arial"/>
          <w:b/>
          <w:bCs/>
          <w:sz w:val="22"/>
          <w:szCs w:val="22"/>
        </w:rPr>
        <w:t>C</w:t>
      </w:r>
      <w:r w:rsidR="00154CE3">
        <w:rPr>
          <w:rFonts w:ascii="Arial" w:hAnsi="Arial" w:cs="Arial"/>
          <w:sz w:val="22"/>
          <w:szCs w:val="22"/>
        </w:rPr>
        <w:t xml:space="preserve"> Dot plot of selected canonical marker genes across cell clusters. Dot size reflects the proportion of cells expressing the gene, while colour intensity represents scaled average expression levels.</w:t>
      </w:r>
      <w:r w:rsidR="0075587B">
        <w:rPr>
          <w:rFonts w:ascii="Arial" w:hAnsi="Arial" w:cs="Arial"/>
          <w:sz w:val="22"/>
          <w:szCs w:val="22"/>
        </w:rPr>
        <w:t xml:space="preserve"> </w:t>
      </w:r>
      <w:r>
        <w:rPr>
          <w:rFonts w:ascii="Arial" w:hAnsi="Arial" w:cs="Arial"/>
          <w:b/>
          <w:bCs/>
          <w:sz w:val="22"/>
          <w:szCs w:val="22"/>
        </w:rPr>
        <w:t>D</w:t>
      </w:r>
      <w:r w:rsidR="0075587B">
        <w:rPr>
          <w:rFonts w:ascii="Arial" w:hAnsi="Arial" w:cs="Arial"/>
          <w:b/>
          <w:bCs/>
          <w:sz w:val="22"/>
          <w:szCs w:val="22"/>
        </w:rPr>
        <w:t>-</w:t>
      </w:r>
      <w:r>
        <w:rPr>
          <w:rFonts w:ascii="Arial" w:hAnsi="Arial" w:cs="Arial"/>
          <w:b/>
          <w:bCs/>
          <w:sz w:val="22"/>
          <w:szCs w:val="22"/>
        </w:rPr>
        <w:t>G</w:t>
      </w:r>
      <w:r w:rsidR="0075587B">
        <w:rPr>
          <w:rFonts w:ascii="Arial" w:hAnsi="Arial" w:cs="Arial"/>
          <w:b/>
          <w:bCs/>
          <w:sz w:val="22"/>
          <w:szCs w:val="22"/>
        </w:rPr>
        <w:t xml:space="preserve"> </w:t>
      </w:r>
      <w:r w:rsidR="0075587B">
        <w:rPr>
          <w:rFonts w:ascii="Arial" w:hAnsi="Arial" w:cs="Arial"/>
          <w:sz w:val="22"/>
          <w:szCs w:val="22"/>
        </w:rPr>
        <w:t xml:space="preserve">Heatmap highlighting the top upregulated genes across each annotated cell subset for </w:t>
      </w:r>
      <w:r w:rsidR="0075587B">
        <w:rPr>
          <w:rFonts w:ascii="Arial" w:hAnsi="Arial" w:cs="Arial"/>
          <w:b/>
          <w:bCs/>
          <w:sz w:val="22"/>
          <w:szCs w:val="22"/>
        </w:rPr>
        <w:t>a</w:t>
      </w:r>
      <w:r w:rsidR="0075587B">
        <w:rPr>
          <w:rFonts w:ascii="Arial" w:hAnsi="Arial" w:cs="Arial"/>
          <w:sz w:val="22"/>
          <w:szCs w:val="22"/>
        </w:rPr>
        <w:t xml:space="preserve"> macrophages, </w:t>
      </w:r>
      <w:r w:rsidR="0075587B">
        <w:rPr>
          <w:rFonts w:ascii="Arial" w:hAnsi="Arial" w:cs="Arial"/>
          <w:b/>
          <w:bCs/>
          <w:sz w:val="22"/>
          <w:szCs w:val="22"/>
        </w:rPr>
        <w:t>b</w:t>
      </w:r>
      <w:r w:rsidR="0075587B">
        <w:rPr>
          <w:rFonts w:ascii="Arial" w:hAnsi="Arial" w:cs="Arial"/>
          <w:sz w:val="22"/>
          <w:szCs w:val="22"/>
        </w:rPr>
        <w:t xml:space="preserve"> T cells, </w:t>
      </w:r>
      <w:r w:rsidR="0075587B">
        <w:rPr>
          <w:rFonts w:ascii="Arial" w:hAnsi="Arial" w:cs="Arial"/>
          <w:b/>
          <w:bCs/>
          <w:sz w:val="22"/>
          <w:szCs w:val="22"/>
        </w:rPr>
        <w:t>c</w:t>
      </w:r>
      <w:r w:rsidR="0075587B">
        <w:rPr>
          <w:rFonts w:ascii="Arial" w:hAnsi="Arial" w:cs="Arial"/>
          <w:sz w:val="22"/>
          <w:szCs w:val="22"/>
        </w:rPr>
        <w:t xml:space="preserve"> B cells and </w:t>
      </w:r>
      <w:r w:rsidR="0075587B">
        <w:rPr>
          <w:rFonts w:ascii="Arial" w:hAnsi="Arial" w:cs="Arial"/>
          <w:b/>
          <w:bCs/>
          <w:sz w:val="22"/>
          <w:szCs w:val="22"/>
        </w:rPr>
        <w:t>d</w:t>
      </w:r>
      <w:r w:rsidR="0075587B">
        <w:rPr>
          <w:rFonts w:ascii="Arial" w:hAnsi="Arial" w:cs="Arial"/>
          <w:sz w:val="22"/>
          <w:szCs w:val="22"/>
        </w:rPr>
        <w:t xml:space="preserve"> hepatocytes. Rows represent genes, and columns correspond to cell clusters. Gene expression is scaled, with red indicating higher expression and blue lower expression. </w:t>
      </w:r>
      <w:r>
        <w:rPr>
          <w:rFonts w:ascii="Arial" w:hAnsi="Arial" w:cs="Arial"/>
          <w:b/>
          <w:bCs/>
          <w:sz w:val="22"/>
          <w:szCs w:val="22"/>
        </w:rPr>
        <w:t>H</w:t>
      </w:r>
      <w:r w:rsidR="0075587B">
        <w:rPr>
          <w:rFonts w:ascii="Arial" w:hAnsi="Arial" w:cs="Arial"/>
          <w:b/>
          <w:bCs/>
          <w:sz w:val="22"/>
          <w:szCs w:val="22"/>
        </w:rPr>
        <w:t>-</w:t>
      </w:r>
      <w:r>
        <w:rPr>
          <w:rFonts w:ascii="Arial" w:hAnsi="Arial" w:cs="Arial"/>
          <w:b/>
          <w:bCs/>
          <w:sz w:val="22"/>
          <w:szCs w:val="22"/>
        </w:rPr>
        <w:t>K</w:t>
      </w:r>
      <w:r w:rsidR="0075587B">
        <w:rPr>
          <w:rFonts w:ascii="Arial" w:hAnsi="Arial" w:cs="Arial"/>
          <w:b/>
          <w:bCs/>
          <w:sz w:val="22"/>
          <w:szCs w:val="22"/>
        </w:rPr>
        <w:t xml:space="preserve"> </w:t>
      </w:r>
      <w:r w:rsidR="0075587B">
        <w:rPr>
          <w:rFonts w:ascii="Arial" w:hAnsi="Arial" w:cs="Arial"/>
          <w:sz w:val="22"/>
          <w:szCs w:val="22"/>
        </w:rPr>
        <w:t xml:space="preserve">Dot plot of selected canonical marker genes cell clusters for </w:t>
      </w:r>
      <w:r>
        <w:rPr>
          <w:rFonts w:ascii="Arial" w:hAnsi="Arial" w:cs="Arial"/>
          <w:b/>
          <w:bCs/>
          <w:sz w:val="22"/>
          <w:szCs w:val="22"/>
        </w:rPr>
        <w:t>E</w:t>
      </w:r>
      <w:r w:rsidR="0075587B">
        <w:rPr>
          <w:rFonts w:ascii="Arial" w:hAnsi="Arial" w:cs="Arial"/>
          <w:sz w:val="22"/>
          <w:szCs w:val="22"/>
        </w:rPr>
        <w:t xml:space="preserve"> macrophages, </w:t>
      </w:r>
      <w:r>
        <w:rPr>
          <w:rFonts w:ascii="Arial" w:hAnsi="Arial" w:cs="Arial"/>
          <w:b/>
          <w:bCs/>
          <w:sz w:val="22"/>
          <w:szCs w:val="22"/>
        </w:rPr>
        <w:t>F</w:t>
      </w:r>
      <w:r w:rsidR="0075587B">
        <w:rPr>
          <w:rFonts w:ascii="Arial" w:hAnsi="Arial" w:cs="Arial"/>
          <w:sz w:val="22"/>
          <w:szCs w:val="22"/>
        </w:rPr>
        <w:t xml:space="preserve"> T cells, </w:t>
      </w:r>
      <w:r>
        <w:rPr>
          <w:rFonts w:ascii="Arial" w:hAnsi="Arial" w:cs="Arial"/>
          <w:b/>
          <w:bCs/>
          <w:sz w:val="22"/>
          <w:szCs w:val="22"/>
        </w:rPr>
        <w:t>G</w:t>
      </w:r>
      <w:r w:rsidR="0075587B">
        <w:rPr>
          <w:rFonts w:ascii="Arial" w:hAnsi="Arial" w:cs="Arial"/>
          <w:sz w:val="22"/>
          <w:szCs w:val="22"/>
        </w:rPr>
        <w:t xml:space="preserve"> B cells and </w:t>
      </w:r>
      <w:r>
        <w:rPr>
          <w:rFonts w:ascii="Arial" w:hAnsi="Arial" w:cs="Arial"/>
          <w:b/>
          <w:bCs/>
          <w:sz w:val="22"/>
          <w:szCs w:val="22"/>
        </w:rPr>
        <w:t>H</w:t>
      </w:r>
      <w:r w:rsidR="0075587B">
        <w:rPr>
          <w:rFonts w:ascii="Arial" w:hAnsi="Arial" w:cs="Arial"/>
          <w:sz w:val="22"/>
          <w:szCs w:val="22"/>
        </w:rPr>
        <w:t xml:space="preserve"> hepatocytes. Dot size reflects the proportion of cells expressing the gene, while colour intensity represents scaled average expression levels.</w:t>
      </w:r>
    </w:p>
    <w:p w14:paraId="0DC9D725" w14:textId="6D1D2494" w:rsidR="00D94FBF" w:rsidRDefault="003A3F8A" w:rsidP="00EB2356">
      <w:pPr>
        <w:spacing w:line="480" w:lineRule="auto"/>
        <w:rPr>
          <w:rFonts w:ascii="Arial" w:hAnsi="Arial" w:cs="Arial"/>
          <w:sz w:val="22"/>
          <w:szCs w:val="22"/>
        </w:rPr>
      </w:pPr>
      <w:r>
        <w:rPr>
          <w:rFonts w:ascii="Arial" w:hAnsi="Arial" w:cs="Arial"/>
          <w:sz w:val="22"/>
          <w:szCs w:val="22"/>
        </w:rPr>
        <w:t>SN: Seronegative hepatitis, AIH: Autoimmune hepatitis</w:t>
      </w:r>
    </w:p>
    <w:p w14:paraId="7FA80C7A" w14:textId="1303C069" w:rsidR="00433D9B" w:rsidRPr="00433D9B" w:rsidRDefault="00D94FBF" w:rsidP="00EB2356">
      <w:pPr>
        <w:spacing w:line="480" w:lineRule="auto"/>
        <w:rPr>
          <w:rFonts w:ascii="Arial" w:hAnsi="Arial" w:cs="Arial"/>
          <w:b/>
          <w:bCs/>
          <w:sz w:val="22"/>
          <w:szCs w:val="22"/>
        </w:rPr>
      </w:pPr>
      <w:r>
        <w:rPr>
          <w:rFonts w:ascii="Arial" w:hAnsi="Arial" w:cs="Arial"/>
          <w:b/>
          <w:bCs/>
          <w:noProof/>
          <w:sz w:val="22"/>
          <w:szCs w:val="22"/>
        </w:rPr>
        <w:lastRenderedPageBreak/>
        <w:drawing>
          <wp:inline distT="0" distB="0" distL="0" distR="0" wp14:anchorId="11F945F4" wp14:editId="44C85750">
            <wp:extent cx="5731510" cy="4424045"/>
            <wp:effectExtent l="0" t="0" r="0" b="0"/>
            <wp:docPr id="1172036101" name="Picture 14"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036101" name="Picture 14" descr="A screenshot of a graph&#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4424045"/>
                    </a:xfrm>
                    <a:prstGeom prst="rect">
                      <a:avLst/>
                    </a:prstGeom>
                  </pic:spPr>
                </pic:pic>
              </a:graphicData>
            </a:graphic>
          </wp:inline>
        </w:drawing>
      </w:r>
    </w:p>
    <w:p w14:paraId="217B6C19" w14:textId="60D8A74A" w:rsidR="00433D9B" w:rsidRPr="002273D4" w:rsidRDefault="00433D9B" w:rsidP="00EB2356">
      <w:pPr>
        <w:spacing w:line="480" w:lineRule="auto"/>
        <w:rPr>
          <w:rFonts w:ascii="Arial" w:hAnsi="Arial" w:cs="Arial"/>
          <w:sz w:val="22"/>
          <w:szCs w:val="22"/>
        </w:rPr>
      </w:pPr>
      <w:r w:rsidRPr="002273D4">
        <w:rPr>
          <w:rFonts w:ascii="Arial" w:hAnsi="Arial" w:cs="Arial"/>
          <w:b/>
          <w:bCs/>
          <w:sz w:val="22"/>
          <w:szCs w:val="22"/>
        </w:rPr>
        <w:t>Supplementary Fig.</w:t>
      </w:r>
      <w:r w:rsidR="0075587B">
        <w:rPr>
          <w:rFonts w:ascii="Arial" w:hAnsi="Arial" w:cs="Arial"/>
          <w:b/>
          <w:bCs/>
          <w:sz w:val="22"/>
          <w:szCs w:val="22"/>
        </w:rPr>
        <w:t>7</w:t>
      </w:r>
      <w:r>
        <w:rPr>
          <w:rFonts w:ascii="Arial" w:hAnsi="Arial" w:cs="Arial"/>
          <w:b/>
          <w:bCs/>
          <w:sz w:val="22"/>
          <w:szCs w:val="22"/>
        </w:rPr>
        <w:t xml:space="preserve">| </w:t>
      </w:r>
      <w:r w:rsidR="002D020B">
        <w:rPr>
          <w:rFonts w:ascii="Arial" w:hAnsi="Arial" w:cs="Arial"/>
          <w:b/>
          <w:bCs/>
          <w:sz w:val="22"/>
          <w:szCs w:val="22"/>
        </w:rPr>
        <w:t>Cell frequencies and relative enrichment in areas of parenchyma and non-parenchyma and the expression of anti-viral genes in cell types.</w:t>
      </w:r>
    </w:p>
    <w:p w14:paraId="40E926C4" w14:textId="4335A7FA" w:rsidR="00D94FBF" w:rsidRDefault="00D37B23" w:rsidP="00EB2356">
      <w:pPr>
        <w:spacing w:line="480" w:lineRule="auto"/>
        <w:rPr>
          <w:rFonts w:ascii="Arial" w:hAnsi="Arial" w:cs="Arial"/>
          <w:sz w:val="22"/>
          <w:szCs w:val="22"/>
        </w:rPr>
      </w:pPr>
      <w:r>
        <w:rPr>
          <w:rFonts w:ascii="Arial" w:hAnsi="Arial" w:cs="Arial"/>
          <w:b/>
          <w:bCs/>
          <w:sz w:val="22"/>
          <w:szCs w:val="22"/>
        </w:rPr>
        <w:t>A</w:t>
      </w:r>
      <w:r w:rsidR="00D94FBF">
        <w:rPr>
          <w:rFonts w:ascii="Arial" w:hAnsi="Arial" w:cs="Arial"/>
          <w:b/>
          <w:bCs/>
          <w:sz w:val="22"/>
          <w:szCs w:val="22"/>
        </w:rPr>
        <w:t>-</w:t>
      </w:r>
      <w:r>
        <w:rPr>
          <w:rFonts w:ascii="Arial" w:hAnsi="Arial" w:cs="Arial"/>
          <w:b/>
          <w:bCs/>
          <w:sz w:val="22"/>
          <w:szCs w:val="22"/>
        </w:rPr>
        <w:t>B</w:t>
      </w:r>
      <w:r w:rsidR="00D94FBF">
        <w:rPr>
          <w:rFonts w:ascii="Arial" w:hAnsi="Arial" w:cs="Arial"/>
          <w:b/>
          <w:bCs/>
          <w:sz w:val="22"/>
          <w:szCs w:val="22"/>
        </w:rPr>
        <w:t xml:space="preserve"> </w:t>
      </w:r>
      <w:r w:rsidR="00D94FBF">
        <w:rPr>
          <w:rFonts w:ascii="Arial" w:hAnsi="Arial" w:cs="Arial"/>
          <w:sz w:val="22"/>
          <w:szCs w:val="22"/>
        </w:rPr>
        <w:t xml:space="preserve">Areas of parenchyma and non-parenchyma were spatially differentiated for each sample and combined to determine cell abundances for each cohort. Cell counts for areas of </w:t>
      </w:r>
      <w:r>
        <w:rPr>
          <w:rFonts w:ascii="Arial" w:hAnsi="Arial" w:cs="Arial"/>
          <w:b/>
          <w:bCs/>
          <w:sz w:val="22"/>
          <w:szCs w:val="22"/>
        </w:rPr>
        <w:t>A</w:t>
      </w:r>
      <w:r w:rsidR="00D94FBF">
        <w:rPr>
          <w:rFonts w:ascii="Arial" w:hAnsi="Arial" w:cs="Arial"/>
          <w:b/>
          <w:bCs/>
          <w:sz w:val="22"/>
          <w:szCs w:val="22"/>
        </w:rPr>
        <w:t xml:space="preserve"> </w:t>
      </w:r>
      <w:r w:rsidR="00D94FBF">
        <w:rPr>
          <w:rFonts w:ascii="Arial" w:hAnsi="Arial" w:cs="Arial"/>
          <w:sz w:val="22"/>
          <w:szCs w:val="22"/>
        </w:rPr>
        <w:t xml:space="preserve">parenchyma and </w:t>
      </w:r>
      <w:r>
        <w:rPr>
          <w:rFonts w:ascii="Arial" w:hAnsi="Arial" w:cs="Arial"/>
          <w:b/>
          <w:bCs/>
          <w:sz w:val="22"/>
          <w:szCs w:val="22"/>
        </w:rPr>
        <w:t>B</w:t>
      </w:r>
      <w:r w:rsidR="00D94FBF">
        <w:rPr>
          <w:rFonts w:ascii="Arial" w:hAnsi="Arial" w:cs="Arial"/>
          <w:b/>
          <w:bCs/>
          <w:sz w:val="22"/>
          <w:szCs w:val="22"/>
        </w:rPr>
        <w:t xml:space="preserve"> </w:t>
      </w:r>
      <w:r w:rsidR="00D94FBF">
        <w:rPr>
          <w:rFonts w:ascii="Arial" w:hAnsi="Arial" w:cs="Arial"/>
          <w:sz w:val="22"/>
          <w:szCs w:val="22"/>
        </w:rPr>
        <w:t>parenchyma without hepatocytes, were plotted and compared between AIH, SN and D cohorts using (</w:t>
      </w:r>
      <w:r w:rsidR="00D94FBF" w:rsidRPr="00350420">
        <w:rPr>
          <w:rFonts w:ascii="Arial" w:hAnsi="Arial" w:cs="Arial"/>
          <w:color w:val="000000" w:themeColor="text1"/>
          <w:sz w:val="22"/>
          <w:szCs w:val="22"/>
        </w:rPr>
        <w:t>Mann-Whitney test</w:t>
      </w:r>
      <w:r w:rsidR="00D94FBF" w:rsidRPr="00533A49">
        <w:rPr>
          <w:rFonts w:ascii="Arial" w:hAnsi="Arial" w:cs="Arial"/>
          <w:sz w:val="22"/>
          <w:szCs w:val="22"/>
        </w:rPr>
        <w:t>).</w:t>
      </w:r>
      <w:r w:rsidR="00D94FBF">
        <w:rPr>
          <w:rFonts w:ascii="Arial" w:hAnsi="Arial" w:cs="Arial"/>
          <w:sz w:val="22"/>
          <w:szCs w:val="22"/>
        </w:rPr>
        <w:t xml:space="preserve"> </w:t>
      </w:r>
      <w:r>
        <w:rPr>
          <w:rFonts w:ascii="Arial" w:hAnsi="Arial" w:cs="Arial"/>
          <w:b/>
          <w:bCs/>
          <w:sz w:val="22"/>
          <w:szCs w:val="22"/>
        </w:rPr>
        <w:t>C</w:t>
      </w:r>
      <w:r w:rsidR="00D94FBF">
        <w:rPr>
          <w:rFonts w:ascii="Arial" w:hAnsi="Arial" w:cs="Arial"/>
          <w:sz w:val="22"/>
          <w:szCs w:val="22"/>
        </w:rPr>
        <w:t xml:space="preserve"> Average Ripley’s G function for parenchyma and non-parenchyma compared with random expectation in SN (</w:t>
      </w:r>
      <w:r w:rsidR="00D94FBF">
        <w:rPr>
          <w:rFonts w:ascii="Arial" w:hAnsi="Arial" w:cs="Arial"/>
          <w:i/>
          <w:iCs/>
          <w:sz w:val="22"/>
          <w:szCs w:val="22"/>
        </w:rPr>
        <w:t>left</w:t>
      </w:r>
      <w:r w:rsidR="00D94FBF">
        <w:rPr>
          <w:rFonts w:ascii="Arial" w:hAnsi="Arial" w:cs="Arial"/>
          <w:sz w:val="22"/>
          <w:szCs w:val="22"/>
        </w:rPr>
        <w:t>), donor (</w:t>
      </w:r>
      <w:r w:rsidR="00D94FBF">
        <w:rPr>
          <w:rFonts w:ascii="Arial" w:hAnsi="Arial" w:cs="Arial"/>
          <w:i/>
          <w:iCs/>
          <w:sz w:val="22"/>
          <w:szCs w:val="22"/>
        </w:rPr>
        <w:t>middle</w:t>
      </w:r>
      <w:r w:rsidR="00D94FBF">
        <w:rPr>
          <w:rFonts w:ascii="Arial" w:hAnsi="Arial" w:cs="Arial"/>
          <w:sz w:val="22"/>
          <w:szCs w:val="22"/>
        </w:rPr>
        <w:t>) and AIH (</w:t>
      </w:r>
      <w:r w:rsidR="00D94FBF">
        <w:rPr>
          <w:rFonts w:ascii="Arial" w:hAnsi="Arial" w:cs="Arial"/>
          <w:i/>
          <w:iCs/>
          <w:sz w:val="22"/>
          <w:szCs w:val="22"/>
        </w:rPr>
        <w:t>right</w:t>
      </w:r>
      <w:r w:rsidR="00D94FBF">
        <w:rPr>
          <w:rFonts w:ascii="Arial" w:hAnsi="Arial" w:cs="Arial"/>
          <w:sz w:val="22"/>
          <w:szCs w:val="22"/>
        </w:rPr>
        <w:t xml:space="preserve">). Shaded areas represent variability across samples. </w:t>
      </w:r>
      <w:r>
        <w:rPr>
          <w:rFonts w:ascii="Arial" w:hAnsi="Arial" w:cs="Arial"/>
          <w:b/>
          <w:bCs/>
          <w:sz w:val="22"/>
          <w:szCs w:val="22"/>
        </w:rPr>
        <w:t>D</w:t>
      </w:r>
      <w:r w:rsidR="00D94FBF">
        <w:rPr>
          <w:rFonts w:ascii="Arial" w:hAnsi="Arial" w:cs="Arial"/>
          <w:sz w:val="22"/>
          <w:szCs w:val="22"/>
        </w:rPr>
        <w:t xml:space="preserve"> Stacked bar plot showing the proportions of macrophage subpopulations across conditions (AIH, D, SN). </w:t>
      </w:r>
      <w:r>
        <w:rPr>
          <w:rFonts w:ascii="Arial" w:hAnsi="Arial" w:cs="Arial"/>
          <w:b/>
          <w:bCs/>
          <w:sz w:val="22"/>
          <w:szCs w:val="22"/>
        </w:rPr>
        <w:t>E</w:t>
      </w:r>
      <w:r w:rsidR="00D94FBF">
        <w:rPr>
          <w:rFonts w:ascii="Arial" w:hAnsi="Arial" w:cs="Arial"/>
          <w:sz w:val="22"/>
          <w:szCs w:val="22"/>
        </w:rPr>
        <w:t xml:space="preserve"> Dot plots of selected anti-viral marker genes (MX1, OAS1, OAS2, ISG15, IFIT3 and IFI44L) across cell clusters. Dot size reflects the proportion of cells expressing the gene, while colour intensity represents scaled average expression levels.</w:t>
      </w:r>
    </w:p>
    <w:p w14:paraId="1BC1143E" w14:textId="77777777" w:rsidR="003A3F8A" w:rsidRDefault="003A3F8A" w:rsidP="003A3F8A">
      <w:pPr>
        <w:spacing w:line="480" w:lineRule="auto"/>
        <w:rPr>
          <w:rFonts w:ascii="Arial" w:hAnsi="Arial" w:cs="Arial"/>
          <w:sz w:val="22"/>
          <w:szCs w:val="22"/>
        </w:rPr>
      </w:pPr>
      <w:r>
        <w:rPr>
          <w:rFonts w:ascii="Arial" w:hAnsi="Arial" w:cs="Arial"/>
          <w:sz w:val="22"/>
          <w:szCs w:val="22"/>
        </w:rPr>
        <w:t>SN: Seronegative hepatitis, AIH: Autoimmune hepatitis, D: Donor</w:t>
      </w:r>
    </w:p>
    <w:p w14:paraId="5A62F5C5" w14:textId="4B80F80E" w:rsidR="00433D9B" w:rsidRPr="00D94FBF" w:rsidRDefault="00433D9B" w:rsidP="00EB2356">
      <w:pPr>
        <w:spacing w:line="480" w:lineRule="auto"/>
        <w:rPr>
          <w:rFonts w:ascii="Arial" w:hAnsi="Arial" w:cs="Arial"/>
          <w:sz w:val="22"/>
          <w:szCs w:val="22"/>
        </w:rPr>
      </w:pPr>
    </w:p>
    <w:p w14:paraId="57C0E034" w14:textId="74AA2747" w:rsidR="00433D9B" w:rsidRDefault="005B0841" w:rsidP="00EB2356">
      <w:pPr>
        <w:spacing w:line="480" w:lineRule="auto"/>
        <w:rPr>
          <w:rFonts w:ascii="Arial" w:hAnsi="Arial" w:cs="Arial"/>
          <w:sz w:val="22"/>
          <w:szCs w:val="22"/>
        </w:rPr>
      </w:pPr>
      <w:r>
        <w:rPr>
          <w:rFonts w:ascii="Arial" w:hAnsi="Arial" w:cs="Arial"/>
          <w:noProof/>
          <w:sz w:val="22"/>
          <w:szCs w:val="22"/>
        </w:rPr>
        <w:drawing>
          <wp:inline distT="0" distB="0" distL="0" distR="0" wp14:anchorId="3EB1B346" wp14:editId="64F97B17">
            <wp:extent cx="5731510" cy="6076950"/>
            <wp:effectExtent l="0" t="0" r="0" b="6350"/>
            <wp:docPr id="206725818" name="Picture 8"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25818" name="Picture 8" descr="A screenshot of a computer screen&#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6076950"/>
                    </a:xfrm>
                    <a:prstGeom prst="rect">
                      <a:avLst/>
                    </a:prstGeom>
                  </pic:spPr>
                </pic:pic>
              </a:graphicData>
            </a:graphic>
          </wp:inline>
        </w:drawing>
      </w:r>
    </w:p>
    <w:p w14:paraId="6D1670F9" w14:textId="173FB59D" w:rsidR="00433D9B" w:rsidRDefault="00433D9B" w:rsidP="00EB2356">
      <w:pPr>
        <w:spacing w:line="480" w:lineRule="auto"/>
        <w:rPr>
          <w:rFonts w:ascii="Arial" w:hAnsi="Arial" w:cs="Arial"/>
          <w:b/>
          <w:bCs/>
          <w:sz w:val="22"/>
          <w:szCs w:val="22"/>
        </w:rPr>
      </w:pPr>
      <w:r w:rsidRPr="002273D4">
        <w:rPr>
          <w:rFonts w:ascii="Arial" w:hAnsi="Arial" w:cs="Arial"/>
          <w:b/>
          <w:bCs/>
          <w:sz w:val="22"/>
          <w:szCs w:val="22"/>
        </w:rPr>
        <w:t>Supplementary Fig.</w:t>
      </w:r>
      <w:r w:rsidR="0075587B">
        <w:rPr>
          <w:rFonts w:ascii="Arial" w:hAnsi="Arial" w:cs="Arial"/>
          <w:b/>
          <w:bCs/>
          <w:sz w:val="22"/>
          <w:szCs w:val="22"/>
        </w:rPr>
        <w:t>8</w:t>
      </w:r>
      <w:r>
        <w:rPr>
          <w:rFonts w:ascii="Arial" w:hAnsi="Arial" w:cs="Arial"/>
          <w:b/>
          <w:bCs/>
          <w:sz w:val="22"/>
          <w:szCs w:val="22"/>
        </w:rPr>
        <w:t xml:space="preserve">| </w:t>
      </w:r>
      <w:r w:rsidR="00B76953">
        <w:rPr>
          <w:rFonts w:ascii="Arial" w:hAnsi="Arial" w:cs="Arial"/>
          <w:b/>
          <w:bCs/>
          <w:sz w:val="22"/>
          <w:szCs w:val="22"/>
        </w:rPr>
        <w:t>Associated of antiviral gene expression with clinical markers and spatial clustering of liver cell types.</w:t>
      </w:r>
    </w:p>
    <w:p w14:paraId="70741C8A" w14:textId="4F507C84" w:rsidR="00B76953" w:rsidRPr="00B76953" w:rsidRDefault="00D37B23" w:rsidP="00EB2356">
      <w:pPr>
        <w:spacing w:line="480" w:lineRule="auto"/>
        <w:rPr>
          <w:rFonts w:ascii="Arial" w:hAnsi="Arial" w:cs="Arial"/>
          <w:sz w:val="22"/>
          <w:szCs w:val="22"/>
        </w:rPr>
      </w:pPr>
      <w:r>
        <w:rPr>
          <w:rFonts w:ascii="Arial" w:hAnsi="Arial" w:cs="Arial"/>
          <w:b/>
          <w:bCs/>
          <w:sz w:val="22"/>
          <w:szCs w:val="22"/>
        </w:rPr>
        <w:t>A</w:t>
      </w:r>
      <w:r w:rsidR="00B76953">
        <w:rPr>
          <w:rFonts w:ascii="Arial" w:hAnsi="Arial" w:cs="Arial"/>
          <w:b/>
          <w:bCs/>
          <w:sz w:val="22"/>
          <w:szCs w:val="22"/>
        </w:rPr>
        <w:t xml:space="preserve"> </w:t>
      </w:r>
      <w:r w:rsidR="00B76953" w:rsidRPr="00B76953">
        <w:rPr>
          <w:rFonts w:ascii="Arial" w:hAnsi="Arial" w:cs="Arial"/>
          <w:sz w:val="22"/>
          <w:szCs w:val="22"/>
        </w:rPr>
        <w:t>Scatterplots showing</w:t>
      </w:r>
      <w:r w:rsidR="00B76953">
        <w:rPr>
          <w:rFonts w:ascii="Arial" w:hAnsi="Arial" w:cs="Arial"/>
          <w:b/>
          <w:bCs/>
          <w:sz w:val="22"/>
          <w:szCs w:val="22"/>
        </w:rPr>
        <w:t xml:space="preserve"> </w:t>
      </w:r>
      <w:r w:rsidR="00B76953" w:rsidRPr="00B76953">
        <w:rPr>
          <w:rFonts w:ascii="Arial" w:hAnsi="Arial" w:cs="Arial"/>
          <w:sz w:val="22"/>
          <w:szCs w:val="22"/>
        </w:rPr>
        <w:t>correla</w:t>
      </w:r>
      <w:r w:rsidR="00B76953">
        <w:rPr>
          <w:rFonts w:ascii="Arial" w:hAnsi="Arial" w:cs="Arial"/>
          <w:sz w:val="22"/>
          <w:szCs w:val="22"/>
        </w:rPr>
        <w:t xml:space="preserve">tions between serum bilirubin levels and expression of antiviral genes MX1, OAS1, OAS2, ISG15, IFIT3 and IFI44L in explant liver tissue. Linear regression lines with 95% confidence intervals are shown. </w:t>
      </w:r>
      <w:r>
        <w:rPr>
          <w:rFonts w:ascii="Arial" w:hAnsi="Arial" w:cs="Arial"/>
          <w:b/>
          <w:bCs/>
          <w:sz w:val="22"/>
          <w:szCs w:val="22"/>
        </w:rPr>
        <w:t>B</w:t>
      </w:r>
      <w:r w:rsidR="00B76953">
        <w:rPr>
          <w:rFonts w:ascii="Arial" w:hAnsi="Arial" w:cs="Arial"/>
          <w:b/>
          <w:bCs/>
          <w:sz w:val="22"/>
          <w:szCs w:val="22"/>
        </w:rPr>
        <w:t xml:space="preserve"> </w:t>
      </w:r>
      <w:r w:rsidR="00B76953">
        <w:rPr>
          <w:rFonts w:ascii="Arial" w:hAnsi="Arial" w:cs="Arial"/>
          <w:sz w:val="22"/>
          <w:szCs w:val="22"/>
        </w:rPr>
        <w:t xml:space="preserve">Average Ripley’s G functions for individuals cell types in SN, AIH and donor liver samples compared with random expectations. Shaded regions represent variability across samples. </w:t>
      </w:r>
      <w:r>
        <w:rPr>
          <w:rFonts w:ascii="Arial" w:hAnsi="Arial" w:cs="Arial"/>
          <w:b/>
          <w:bCs/>
          <w:sz w:val="22"/>
          <w:szCs w:val="22"/>
        </w:rPr>
        <w:t>C</w:t>
      </w:r>
      <w:r w:rsidR="00B76953">
        <w:rPr>
          <w:rFonts w:ascii="Arial" w:hAnsi="Arial" w:cs="Arial"/>
          <w:sz w:val="22"/>
          <w:szCs w:val="22"/>
        </w:rPr>
        <w:t xml:space="preserve"> Ripley’s G plots for </w:t>
      </w:r>
      <w:r w:rsidR="00B76953">
        <w:rPr>
          <w:rFonts w:ascii="Arial" w:hAnsi="Arial" w:cs="Arial"/>
          <w:sz w:val="22"/>
          <w:szCs w:val="22"/>
        </w:rPr>
        <w:lastRenderedPageBreak/>
        <w:t>individual samples within SN, AIH and donor groups, showing clustering patterns of major liver and immune cell types.</w:t>
      </w:r>
    </w:p>
    <w:p w14:paraId="6CC217C2" w14:textId="7B5BEAD6" w:rsidR="00433D9B" w:rsidRDefault="003A3F8A" w:rsidP="00EB2356">
      <w:pPr>
        <w:spacing w:line="480" w:lineRule="auto"/>
        <w:rPr>
          <w:rFonts w:ascii="Arial" w:hAnsi="Arial" w:cs="Arial"/>
          <w:sz w:val="22"/>
          <w:szCs w:val="22"/>
        </w:rPr>
      </w:pPr>
      <w:r>
        <w:rPr>
          <w:rFonts w:ascii="Arial" w:hAnsi="Arial" w:cs="Arial"/>
          <w:sz w:val="22"/>
          <w:szCs w:val="22"/>
        </w:rPr>
        <w:t>SN: Seronegative hepatitis, AIH: Autoimmune hepatitis</w:t>
      </w:r>
    </w:p>
    <w:p w14:paraId="782E1AA5" w14:textId="77777777" w:rsidR="003A3F8A" w:rsidRDefault="003A3F8A" w:rsidP="00EB2356">
      <w:pPr>
        <w:spacing w:line="480" w:lineRule="auto"/>
        <w:rPr>
          <w:rFonts w:ascii="Arial" w:hAnsi="Arial" w:cs="Arial"/>
          <w:sz w:val="22"/>
          <w:szCs w:val="22"/>
        </w:rPr>
      </w:pPr>
    </w:p>
    <w:p w14:paraId="3A5933A0" w14:textId="3253ABEE" w:rsidR="00433D9B" w:rsidRDefault="005B0841" w:rsidP="00EB2356">
      <w:pPr>
        <w:spacing w:line="480" w:lineRule="auto"/>
        <w:rPr>
          <w:rFonts w:ascii="Arial" w:hAnsi="Arial" w:cs="Arial"/>
          <w:sz w:val="22"/>
          <w:szCs w:val="22"/>
        </w:rPr>
      </w:pPr>
      <w:r>
        <w:rPr>
          <w:rFonts w:ascii="Arial" w:hAnsi="Arial" w:cs="Arial"/>
          <w:noProof/>
          <w:sz w:val="22"/>
          <w:szCs w:val="22"/>
        </w:rPr>
        <w:drawing>
          <wp:inline distT="0" distB="0" distL="0" distR="0" wp14:anchorId="4EF7A685" wp14:editId="0C34E9C9">
            <wp:extent cx="5731510" cy="6773545"/>
            <wp:effectExtent l="0" t="0" r="0" b="0"/>
            <wp:docPr id="1319082371" name="Picture 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082371" name="Picture 9" descr="A screenshot of a computer&#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6773545"/>
                    </a:xfrm>
                    <a:prstGeom prst="rect">
                      <a:avLst/>
                    </a:prstGeom>
                  </pic:spPr>
                </pic:pic>
              </a:graphicData>
            </a:graphic>
          </wp:inline>
        </w:drawing>
      </w:r>
    </w:p>
    <w:p w14:paraId="096FEE8D" w14:textId="3A930CCE" w:rsidR="00433D9B" w:rsidRPr="002273D4" w:rsidRDefault="00433D9B" w:rsidP="00EB2356">
      <w:pPr>
        <w:spacing w:line="480" w:lineRule="auto"/>
        <w:rPr>
          <w:rFonts w:ascii="Arial" w:hAnsi="Arial" w:cs="Arial"/>
          <w:sz w:val="22"/>
          <w:szCs w:val="22"/>
        </w:rPr>
      </w:pPr>
      <w:r w:rsidRPr="002273D4">
        <w:rPr>
          <w:rFonts w:ascii="Arial" w:hAnsi="Arial" w:cs="Arial"/>
          <w:b/>
          <w:bCs/>
          <w:sz w:val="22"/>
          <w:szCs w:val="22"/>
        </w:rPr>
        <w:t>Supplementary Fig.</w:t>
      </w:r>
      <w:r w:rsidR="0075587B">
        <w:rPr>
          <w:rFonts w:ascii="Arial" w:hAnsi="Arial" w:cs="Arial"/>
          <w:b/>
          <w:bCs/>
          <w:sz w:val="22"/>
          <w:szCs w:val="22"/>
        </w:rPr>
        <w:t>9</w:t>
      </w:r>
      <w:r>
        <w:rPr>
          <w:rFonts w:ascii="Arial" w:hAnsi="Arial" w:cs="Arial"/>
          <w:b/>
          <w:bCs/>
          <w:sz w:val="22"/>
          <w:szCs w:val="22"/>
        </w:rPr>
        <w:t xml:space="preserve">| </w:t>
      </w:r>
      <w:r w:rsidR="00D94FBF">
        <w:rPr>
          <w:rFonts w:ascii="Arial" w:hAnsi="Arial" w:cs="Arial"/>
          <w:b/>
          <w:bCs/>
          <w:sz w:val="22"/>
          <w:szCs w:val="22"/>
        </w:rPr>
        <w:t>Neighbourhood enrichment scores for individual samples and disease cohorts.</w:t>
      </w:r>
    </w:p>
    <w:p w14:paraId="27BC9A15" w14:textId="2F7D238D" w:rsidR="00433D9B" w:rsidRDefault="00D37B23" w:rsidP="00EB2356">
      <w:pPr>
        <w:spacing w:line="480" w:lineRule="auto"/>
        <w:rPr>
          <w:rFonts w:ascii="Arial" w:hAnsi="Arial" w:cs="Arial"/>
          <w:sz w:val="22"/>
          <w:szCs w:val="22"/>
        </w:rPr>
      </w:pPr>
      <w:r>
        <w:rPr>
          <w:rFonts w:ascii="Arial" w:hAnsi="Arial" w:cs="Arial"/>
          <w:b/>
          <w:bCs/>
          <w:sz w:val="22"/>
          <w:szCs w:val="22"/>
        </w:rPr>
        <w:lastRenderedPageBreak/>
        <w:t>A</w:t>
      </w:r>
      <w:r w:rsidR="00D94FBF">
        <w:rPr>
          <w:rFonts w:ascii="Arial" w:hAnsi="Arial" w:cs="Arial"/>
          <w:b/>
          <w:bCs/>
          <w:sz w:val="22"/>
          <w:szCs w:val="22"/>
        </w:rPr>
        <w:t>-</w:t>
      </w:r>
      <w:r>
        <w:rPr>
          <w:rFonts w:ascii="Arial" w:hAnsi="Arial" w:cs="Arial"/>
          <w:b/>
          <w:bCs/>
          <w:sz w:val="22"/>
          <w:szCs w:val="22"/>
        </w:rPr>
        <w:t>B</w:t>
      </w:r>
      <w:r w:rsidR="00D94FBF">
        <w:rPr>
          <w:rFonts w:ascii="Arial" w:hAnsi="Arial" w:cs="Arial"/>
          <w:b/>
          <w:bCs/>
          <w:sz w:val="22"/>
          <w:szCs w:val="22"/>
        </w:rPr>
        <w:t xml:space="preserve"> </w:t>
      </w:r>
      <w:r w:rsidR="00D94FBF">
        <w:rPr>
          <w:rFonts w:ascii="Arial" w:hAnsi="Arial" w:cs="Arial"/>
          <w:sz w:val="22"/>
          <w:szCs w:val="22"/>
        </w:rPr>
        <w:t xml:space="preserve">Top 20 neighbourhood enrichment Z-scores for cell-cell clustering localisation in </w:t>
      </w:r>
      <w:r>
        <w:rPr>
          <w:rFonts w:ascii="Arial" w:hAnsi="Arial" w:cs="Arial"/>
          <w:b/>
          <w:bCs/>
          <w:sz w:val="22"/>
          <w:szCs w:val="22"/>
        </w:rPr>
        <w:t>A</w:t>
      </w:r>
      <w:r w:rsidR="00D94FBF">
        <w:rPr>
          <w:rFonts w:ascii="Arial" w:hAnsi="Arial" w:cs="Arial"/>
          <w:sz w:val="22"/>
          <w:szCs w:val="22"/>
        </w:rPr>
        <w:t xml:space="preserve"> AIH samples and </w:t>
      </w:r>
      <w:r>
        <w:rPr>
          <w:rFonts w:ascii="Arial" w:hAnsi="Arial" w:cs="Arial"/>
          <w:b/>
          <w:bCs/>
          <w:sz w:val="22"/>
          <w:szCs w:val="22"/>
        </w:rPr>
        <w:t>B</w:t>
      </w:r>
      <w:r w:rsidR="00D94FBF">
        <w:rPr>
          <w:rFonts w:ascii="Arial" w:hAnsi="Arial" w:cs="Arial"/>
          <w:sz w:val="22"/>
          <w:szCs w:val="22"/>
        </w:rPr>
        <w:t xml:space="preserve"> donor liver samples, ranked by median value across patients. </w:t>
      </w:r>
      <w:r>
        <w:rPr>
          <w:rFonts w:ascii="Arial" w:hAnsi="Arial" w:cs="Arial"/>
          <w:b/>
          <w:bCs/>
          <w:sz w:val="22"/>
          <w:szCs w:val="22"/>
        </w:rPr>
        <w:t>C</w:t>
      </w:r>
      <w:r w:rsidR="00D94FBF">
        <w:rPr>
          <w:rFonts w:ascii="Arial" w:hAnsi="Arial" w:cs="Arial"/>
          <w:sz w:val="22"/>
          <w:szCs w:val="22"/>
        </w:rPr>
        <w:t xml:space="preserve"> Heatmaps of differential </w:t>
      </w:r>
      <w:r w:rsidR="00D94FBF" w:rsidRPr="00EC42CA">
        <w:rPr>
          <w:rFonts w:ascii="Arial" w:hAnsi="Arial" w:cs="Arial"/>
          <w:sz w:val="22"/>
          <w:szCs w:val="22"/>
        </w:rPr>
        <w:t xml:space="preserve">neighbourhood enrichment </w:t>
      </w:r>
      <w:r w:rsidR="00D94FBF">
        <w:rPr>
          <w:rFonts w:ascii="Arial" w:hAnsi="Arial" w:cs="Arial"/>
          <w:sz w:val="22"/>
          <w:szCs w:val="22"/>
        </w:rPr>
        <w:t>for each individual sample, (</w:t>
      </w:r>
      <w:r w:rsidR="00D94FBF">
        <w:rPr>
          <w:rFonts w:ascii="Arial" w:hAnsi="Arial" w:cs="Arial"/>
          <w:i/>
          <w:iCs/>
          <w:sz w:val="22"/>
          <w:szCs w:val="22"/>
        </w:rPr>
        <w:t>top</w:t>
      </w:r>
      <w:r w:rsidR="00D94FBF">
        <w:rPr>
          <w:rFonts w:ascii="Arial" w:hAnsi="Arial" w:cs="Arial"/>
          <w:sz w:val="22"/>
          <w:szCs w:val="22"/>
        </w:rPr>
        <w:t>) SN, (</w:t>
      </w:r>
      <w:r w:rsidR="00D94FBF">
        <w:rPr>
          <w:rFonts w:ascii="Arial" w:hAnsi="Arial" w:cs="Arial"/>
          <w:i/>
          <w:iCs/>
          <w:sz w:val="22"/>
          <w:szCs w:val="22"/>
        </w:rPr>
        <w:t>middle</w:t>
      </w:r>
      <w:r w:rsidR="00D94FBF">
        <w:rPr>
          <w:rFonts w:ascii="Arial" w:hAnsi="Arial" w:cs="Arial"/>
          <w:sz w:val="22"/>
          <w:szCs w:val="22"/>
        </w:rPr>
        <w:t>) AIH and (</w:t>
      </w:r>
      <w:r w:rsidR="00D94FBF">
        <w:rPr>
          <w:rFonts w:ascii="Arial" w:hAnsi="Arial" w:cs="Arial"/>
          <w:i/>
          <w:iCs/>
          <w:sz w:val="22"/>
          <w:szCs w:val="22"/>
        </w:rPr>
        <w:t>bottom</w:t>
      </w:r>
      <w:r w:rsidR="00D94FBF">
        <w:rPr>
          <w:rFonts w:ascii="Arial" w:hAnsi="Arial" w:cs="Arial"/>
          <w:sz w:val="22"/>
          <w:szCs w:val="22"/>
        </w:rPr>
        <w:t xml:space="preserve">) donor. Positive values (yellow) indicate increased enrichment, while negative values (blue) indicate reduced enrichment. </w:t>
      </w:r>
      <w:r>
        <w:rPr>
          <w:rFonts w:ascii="Arial" w:hAnsi="Arial" w:cs="Arial"/>
          <w:b/>
          <w:bCs/>
          <w:sz w:val="22"/>
          <w:szCs w:val="22"/>
        </w:rPr>
        <w:t>D</w:t>
      </w:r>
      <w:r w:rsidR="00D94FBF">
        <w:rPr>
          <w:rFonts w:ascii="Arial" w:hAnsi="Arial" w:cs="Arial"/>
          <w:sz w:val="22"/>
          <w:szCs w:val="22"/>
        </w:rPr>
        <w:t xml:space="preserve"> Heatmaps of differential </w:t>
      </w:r>
      <w:r w:rsidR="00D94FBF" w:rsidRPr="00EC42CA">
        <w:rPr>
          <w:rFonts w:ascii="Arial" w:hAnsi="Arial" w:cs="Arial"/>
          <w:sz w:val="22"/>
          <w:szCs w:val="22"/>
        </w:rPr>
        <w:t xml:space="preserve">neighbourhood enrichment </w:t>
      </w:r>
      <w:r w:rsidR="00D94FBF">
        <w:rPr>
          <w:rFonts w:ascii="Arial" w:hAnsi="Arial" w:cs="Arial"/>
          <w:sz w:val="22"/>
          <w:szCs w:val="22"/>
        </w:rPr>
        <w:t>for sample cohorts. Positive values (Red) indicate increased enrichment in SN, while negative values (blue) indicate reduced colocalization relative to the comparator group.</w:t>
      </w:r>
    </w:p>
    <w:p w14:paraId="4BA30764" w14:textId="619BFC65" w:rsidR="00D94FBF" w:rsidRDefault="003A3F8A" w:rsidP="00EB2356">
      <w:pPr>
        <w:spacing w:line="480" w:lineRule="auto"/>
        <w:rPr>
          <w:rFonts w:ascii="Arial" w:hAnsi="Arial" w:cs="Arial"/>
          <w:sz w:val="22"/>
          <w:szCs w:val="22"/>
        </w:rPr>
      </w:pPr>
      <w:r>
        <w:rPr>
          <w:rFonts w:ascii="Arial" w:hAnsi="Arial" w:cs="Arial"/>
          <w:sz w:val="22"/>
          <w:szCs w:val="22"/>
        </w:rPr>
        <w:t>SN: Seronegative hepatitis, AIH: Autoimmune hepatitis</w:t>
      </w:r>
    </w:p>
    <w:p w14:paraId="6E5DA260" w14:textId="77777777" w:rsidR="003A3F8A" w:rsidRPr="00D94FBF" w:rsidRDefault="003A3F8A" w:rsidP="00EB2356">
      <w:pPr>
        <w:spacing w:line="480" w:lineRule="auto"/>
        <w:rPr>
          <w:rFonts w:ascii="Arial" w:hAnsi="Arial" w:cs="Arial"/>
          <w:sz w:val="22"/>
          <w:szCs w:val="22"/>
        </w:rPr>
      </w:pPr>
    </w:p>
    <w:p w14:paraId="17CC9A5C" w14:textId="762DD167" w:rsidR="00433D9B" w:rsidRDefault="005B0841" w:rsidP="00EB2356">
      <w:pPr>
        <w:spacing w:line="480" w:lineRule="auto"/>
        <w:rPr>
          <w:rFonts w:ascii="Arial" w:hAnsi="Arial" w:cs="Arial"/>
          <w:sz w:val="22"/>
          <w:szCs w:val="22"/>
        </w:rPr>
      </w:pPr>
      <w:r>
        <w:rPr>
          <w:rFonts w:ascii="Arial" w:hAnsi="Arial" w:cs="Arial"/>
          <w:noProof/>
          <w:sz w:val="22"/>
          <w:szCs w:val="22"/>
        </w:rPr>
        <w:drawing>
          <wp:inline distT="0" distB="0" distL="0" distR="0" wp14:anchorId="56C7616A" wp14:editId="17A41135">
            <wp:extent cx="5731510" cy="5048885"/>
            <wp:effectExtent l="0" t="0" r="0" b="5715"/>
            <wp:docPr id="1035245630" name="Picture 10"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245630" name="Picture 10" descr="A screenshot of a computer screen&#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5048885"/>
                    </a:xfrm>
                    <a:prstGeom prst="rect">
                      <a:avLst/>
                    </a:prstGeom>
                  </pic:spPr>
                </pic:pic>
              </a:graphicData>
            </a:graphic>
          </wp:inline>
        </w:drawing>
      </w:r>
    </w:p>
    <w:p w14:paraId="5F4E6FBF" w14:textId="75EBA212" w:rsidR="00433D9B" w:rsidRDefault="00433D9B" w:rsidP="00EB2356">
      <w:pPr>
        <w:spacing w:line="480" w:lineRule="auto"/>
        <w:rPr>
          <w:rFonts w:ascii="Arial" w:hAnsi="Arial" w:cs="Arial"/>
          <w:b/>
          <w:bCs/>
          <w:sz w:val="22"/>
          <w:szCs w:val="22"/>
        </w:rPr>
      </w:pPr>
      <w:r w:rsidRPr="002273D4">
        <w:rPr>
          <w:rFonts w:ascii="Arial" w:hAnsi="Arial" w:cs="Arial"/>
          <w:b/>
          <w:bCs/>
          <w:sz w:val="22"/>
          <w:szCs w:val="22"/>
        </w:rPr>
        <w:t>Supplementary Fig.</w:t>
      </w:r>
      <w:r>
        <w:rPr>
          <w:rFonts w:ascii="Arial" w:hAnsi="Arial" w:cs="Arial"/>
          <w:b/>
          <w:bCs/>
          <w:sz w:val="22"/>
          <w:szCs w:val="22"/>
        </w:rPr>
        <w:t>1</w:t>
      </w:r>
      <w:r w:rsidR="0075587B">
        <w:rPr>
          <w:rFonts w:ascii="Arial" w:hAnsi="Arial" w:cs="Arial"/>
          <w:b/>
          <w:bCs/>
          <w:sz w:val="22"/>
          <w:szCs w:val="22"/>
        </w:rPr>
        <w:t>0</w:t>
      </w:r>
      <w:r>
        <w:rPr>
          <w:rFonts w:ascii="Arial" w:hAnsi="Arial" w:cs="Arial"/>
          <w:b/>
          <w:bCs/>
          <w:sz w:val="22"/>
          <w:szCs w:val="22"/>
        </w:rPr>
        <w:t xml:space="preserve">| </w:t>
      </w:r>
      <w:proofErr w:type="spellStart"/>
      <w:r w:rsidR="00210046">
        <w:rPr>
          <w:rFonts w:ascii="Arial" w:hAnsi="Arial" w:cs="Arial"/>
          <w:b/>
          <w:bCs/>
          <w:sz w:val="22"/>
          <w:szCs w:val="22"/>
        </w:rPr>
        <w:t>Visium</w:t>
      </w:r>
      <w:proofErr w:type="spellEnd"/>
      <w:r w:rsidR="00210046">
        <w:rPr>
          <w:rFonts w:ascii="Arial" w:hAnsi="Arial" w:cs="Arial"/>
          <w:b/>
          <w:bCs/>
          <w:sz w:val="22"/>
          <w:szCs w:val="22"/>
        </w:rPr>
        <w:t xml:space="preserve"> spatial transcriptomics detecting gene differences in areas of parenchyma and non-parenchyma</w:t>
      </w:r>
    </w:p>
    <w:p w14:paraId="7014DD78" w14:textId="40861BB3" w:rsidR="00210046" w:rsidRDefault="00D37B23" w:rsidP="00EB2356">
      <w:pPr>
        <w:spacing w:line="480" w:lineRule="auto"/>
        <w:rPr>
          <w:rFonts w:ascii="Arial" w:hAnsi="Arial" w:cs="Arial"/>
          <w:sz w:val="22"/>
          <w:szCs w:val="22"/>
        </w:rPr>
      </w:pPr>
      <w:r>
        <w:rPr>
          <w:rFonts w:ascii="Arial" w:hAnsi="Arial" w:cs="Arial"/>
          <w:b/>
          <w:bCs/>
          <w:sz w:val="22"/>
          <w:szCs w:val="22"/>
        </w:rPr>
        <w:lastRenderedPageBreak/>
        <w:t>A</w:t>
      </w:r>
      <w:r w:rsidR="00210046">
        <w:rPr>
          <w:rFonts w:ascii="Arial" w:hAnsi="Arial" w:cs="Arial"/>
          <w:sz w:val="22"/>
          <w:szCs w:val="22"/>
        </w:rPr>
        <w:t xml:space="preserve"> H&amp;E images from each of the SN and AIH samples used for the 10X </w:t>
      </w:r>
      <w:proofErr w:type="spellStart"/>
      <w:r w:rsidR="00210046">
        <w:rPr>
          <w:rFonts w:ascii="Arial" w:hAnsi="Arial" w:cs="Arial"/>
          <w:sz w:val="22"/>
          <w:szCs w:val="22"/>
        </w:rPr>
        <w:t>Visium</w:t>
      </w:r>
      <w:proofErr w:type="spellEnd"/>
      <w:r w:rsidR="00210046">
        <w:rPr>
          <w:rFonts w:ascii="Arial" w:hAnsi="Arial" w:cs="Arial"/>
          <w:sz w:val="22"/>
          <w:szCs w:val="22"/>
        </w:rPr>
        <w:t xml:space="preserve"> spatial transcriptomics. </w:t>
      </w:r>
      <w:r>
        <w:rPr>
          <w:rFonts w:ascii="Arial" w:hAnsi="Arial" w:cs="Arial"/>
          <w:b/>
          <w:bCs/>
          <w:sz w:val="22"/>
          <w:szCs w:val="22"/>
        </w:rPr>
        <w:t>B</w:t>
      </w:r>
      <w:r w:rsidR="00210046">
        <w:rPr>
          <w:rFonts w:ascii="Arial" w:hAnsi="Arial" w:cs="Arial"/>
          <w:sz w:val="22"/>
          <w:szCs w:val="22"/>
        </w:rPr>
        <w:t xml:space="preserve"> Representative images of the areas chosen for parenchyma and non-parenchyma in SN and AIH samples. Red outline shows areas of parenchyma. </w:t>
      </w:r>
      <w:r>
        <w:rPr>
          <w:rFonts w:ascii="Arial" w:hAnsi="Arial" w:cs="Arial"/>
          <w:b/>
          <w:bCs/>
          <w:sz w:val="22"/>
          <w:szCs w:val="22"/>
        </w:rPr>
        <w:t>C</w:t>
      </w:r>
      <w:r w:rsidR="00210046">
        <w:rPr>
          <w:rFonts w:ascii="Arial" w:hAnsi="Arial" w:cs="Arial"/>
          <w:sz w:val="22"/>
          <w:szCs w:val="22"/>
        </w:rPr>
        <w:t xml:space="preserve"> Schematic image to highlight histologically the areas of parenchyma, non-parenchyma, deep parenchyma and deep non-parenchyma with the liver tissue. </w:t>
      </w:r>
      <w:r>
        <w:rPr>
          <w:rFonts w:ascii="Arial" w:hAnsi="Arial" w:cs="Arial"/>
          <w:b/>
          <w:bCs/>
          <w:sz w:val="22"/>
          <w:szCs w:val="22"/>
        </w:rPr>
        <w:t>D</w:t>
      </w:r>
      <w:r w:rsidR="00210046">
        <w:rPr>
          <w:rFonts w:ascii="Arial" w:hAnsi="Arial" w:cs="Arial"/>
          <w:sz w:val="22"/>
          <w:szCs w:val="22"/>
        </w:rPr>
        <w:t xml:space="preserve"> Volcano plot to show upregulated (red) and downregulated (blue) genes in areas of non-parenchyma in SN and AIH samples combined. </w:t>
      </w:r>
      <w:r>
        <w:rPr>
          <w:rFonts w:ascii="Arial" w:hAnsi="Arial" w:cs="Arial"/>
          <w:b/>
          <w:bCs/>
          <w:sz w:val="22"/>
          <w:szCs w:val="22"/>
        </w:rPr>
        <w:t>E</w:t>
      </w:r>
      <w:r w:rsidR="00210046">
        <w:rPr>
          <w:rFonts w:ascii="Arial" w:hAnsi="Arial" w:cs="Arial"/>
          <w:sz w:val="22"/>
          <w:szCs w:val="22"/>
        </w:rPr>
        <w:t xml:space="preserve"> Heatmap showing upregulated genes in yellow and downregulated genes in purple in areas of non-parenchyma between AIH and SN cohorts. </w:t>
      </w:r>
      <w:r>
        <w:rPr>
          <w:rFonts w:ascii="Arial" w:hAnsi="Arial" w:cs="Arial"/>
          <w:b/>
          <w:bCs/>
          <w:sz w:val="22"/>
          <w:szCs w:val="22"/>
        </w:rPr>
        <w:t>F</w:t>
      </w:r>
      <w:r w:rsidR="00210046">
        <w:rPr>
          <w:rFonts w:ascii="Arial" w:hAnsi="Arial" w:cs="Arial"/>
          <w:sz w:val="22"/>
          <w:szCs w:val="22"/>
        </w:rPr>
        <w:t xml:space="preserve"> Volcano plot to show upregulated (red) and downregulated (blue) genes in areas of parenchyma in SN and AIH samples combined. </w:t>
      </w:r>
      <w:r>
        <w:rPr>
          <w:rFonts w:ascii="Arial" w:hAnsi="Arial" w:cs="Arial"/>
          <w:b/>
          <w:bCs/>
          <w:sz w:val="22"/>
          <w:szCs w:val="22"/>
        </w:rPr>
        <w:t>G</w:t>
      </w:r>
      <w:r w:rsidR="00210046">
        <w:rPr>
          <w:rFonts w:ascii="Arial" w:hAnsi="Arial" w:cs="Arial"/>
          <w:sz w:val="22"/>
          <w:szCs w:val="22"/>
        </w:rPr>
        <w:t xml:space="preserve"> Heatmap showing upregulated genes in yellow and downregulated genes in purple in areas of parenchyma between AIH and SN cohorts.</w:t>
      </w:r>
    </w:p>
    <w:p w14:paraId="075EEA48" w14:textId="639DA90C" w:rsidR="00433D9B" w:rsidRDefault="003A3F8A" w:rsidP="00EB2356">
      <w:pPr>
        <w:spacing w:line="480" w:lineRule="auto"/>
        <w:rPr>
          <w:rFonts w:ascii="Arial" w:hAnsi="Arial" w:cs="Arial"/>
          <w:sz w:val="22"/>
          <w:szCs w:val="22"/>
        </w:rPr>
      </w:pPr>
      <w:r>
        <w:rPr>
          <w:rFonts w:ascii="Arial" w:hAnsi="Arial" w:cs="Arial"/>
          <w:sz w:val="22"/>
          <w:szCs w:val="22"/>
        </w:rPr>
        <w:t>SN: Seronegative hepatitis, AIH: Autoimmune hepatitis</w:t>
      </w:r>
    </w:p>
    <w:p w14:paraId="303FAC40" w14:textId="06AC22E3" w:rsidR="00433D9B" w:rsidRDefault="005B0841" w:rsidP="00EB2356">
      <w:pPr>
        <w:spacing w:line="480" w:lineRule="auto"/>
        <w:rPr>
          <w:rFonts w:ascii="Arial" w:hAnsi="Arial" w:cs="Arial"/>
          <w:sz w:val="22"/>
          <w:szCs w:val="22"/>
        </w:rPr>
      </w:pPr>
      <w:r>
        <w:rPr>
          <w:rFonts w:ascii="Arial" w:hAnsi="Arial" w:cs="Arial"/>
          <w:noProof/>
          <w:sz w:val="22"/>
          <w:szCs w:val="22"/>
        </w:rPr>
        <w:lastRenderedPageBreak/>
        <w:drawing>
          <wp:inline distT="0" distB="0" distL="0" distR="0" wp14:anchorId="14C323C7" wp14:editId="27B2F66A">
            <wp:extent cx="5731510" cy="5128260"/>
            <wp:effectExtent l="0" t="0" r="0" b="2540"/>
            <wp:docPr id="1861608830" name="Picture 1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608830" name="Picture 11" descr="A screenshot of a computer screen&#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5128260"/>
                    </a:xfrm>
                    <a:prstGeom prst="rect">
                      <a:avLst/>
                    </a:prstGeom>
                  </pic:spPr>
                </pic:pic>
              </a:graphicData>
            </a:graphic>
          </wp:inline>
        </w:drawing>
      </w:r>
    </w:p>
    <w:p w14:paraId="2C2FADD1" w14:textId="300A5995" w:rsidR="00433D9B" w:rsidRDefault="00433D9B" w:rsidP="00EB2356">
      <w:pPr>
        <w:spacing w:line="480" w:lineRule="auto"/>
        <w:rPr>
          <w:rFonts w:ascii="Arial" w:hAnsi="Arial" w:cs="Arial"/>
          <w:b/>
          <w:bCs/>
          <w:sz w:val="22"/>
          <w:szCs w:val="22"/>
        </w:rPr>
      </w:pPr>
      <w:r w:rsidRPr="002273D4">
        <w:rPr>
          <w:rFonts w:ascii="Arial" w:hAnsi="Arial" w:cs="Arial"/>
          <w:b/>
          <w:bCs/>
          <w:sz w:val="22"/>
          <w:szCs w:val="22"/>
        </w:rPr>
        <w:t>Supplementary Fig.</w:t>
      </w:r>
      <w:r>
        <w:rPr>
          <w:rFonts w:ascii="Arial" w:hAnsi="Arial" w:cs="Arial"/>
          <w:b/>
          <w:bCs/>
          <w:sz w:val="22"/>
          <w:szCs w:val="22"/>
        </w:rPr>
        <w:t>1</w:t>
      </w:r>
      <w:r w:rsidR="0075587B">
        <w:rPr>
          <w:rFonts w:ascii="Arial" w:hAnsi="Arial" w:cs="Arial"/>
          <w:b/>
          <w:bCs/>
          <w:sz w:val="22"/>
          <w:szCs w:val="22"/>
        </w:rPr>
        <w:t>1</w:t>
      </w:r>
      <w:r>
        <w:rPr>
          <w:rFonts w:ascii="Arial" w:hAnsi="Arial" w:cs="Arial"/>
          <w:b/>
          <w:bCs/>
          <w:sz w:val="22"/>
          <w:szCs w:val="22"/>
        </w:rPr>
        <w:t xml:space="preserve">| </w:t>
      </w:r>
      <w:proofErr w:type="spellStart"/>
      <w:r w:rsidR="00962918">
        <w:rPr>
          <w:rFonts w:ascii="Arial" w:hAnsi="Arial" w:cs="Arial"/>
          <w:b/>
          <w:bCs/>
          <w:sz w:val="22"/>
          <w:szCs w:val="22"/>
        </w:rPr>
        <w:t>Visium</w:t>
      </w:r>
      <w:proofErr w:type="spellEnd"/>
      <w:r w:rsidR="00962918">
        <w:rPr>
          <w:rFonts w:ascii="Arial" w:hAnsi="Arial" w:cs="Arial"/>
          <w:b/>
          <w:bCs/>
          <w:sz w:val="22"/>
          <w:szCs w:val="22"/>
        </w:rPr>
        <w:t xml:space="preserve"> cell frequency comparison and network analysis.</w:t>
      </w:r>
    </w:p>
    <w:p w14:paraId="0912BF69" w14:textId="1745DF1A" w:rsidR="00433D9B" w:rsidRDefault="00D37B23" w:rsidP="00EB2356">
      <w:pPr>
        <w:spacing w:line="480" w:lineRule="auto"/>
        <w:rPr>
          <w:rFonts w:ascii="Arial" w:hAnsi="Arial" w:cs="Arial"/>
          <w:sz w:val="22"/>
          <w:szCs w:val="22"/>
        </w:rPr>
      </w:pPr>
      <w:r>
        <w:rPr>
          <w:rFonts w:ascii="Arial" w:hAnsi="Arial" w:cs="Arial"/>
          <w:b/>
          <w:bCs/>
          <w:sz w:val="22"/>
          <w:szCs w:val="22"/>
        </w:rPr>
        <w:t>A</w:t>
      </w:r>
      <w:r w:rsidR="00962918">
        <w:rPr>
          <w:rFonts w:ascii="Arial" w:hAnsi="Arial" w:cs="Arial"/>
          <w:b/>
          <w:bCs/>
          <w:sz w:val="22"/>
          <w:szCs w:val="22"/>
        </w:rPr>
        <w:t>-</w:t>
      </w:r>
      <w:r>
        <w:rPr>
          <w:rFonts w:ascii="Arial" w:hAnsi="Arial" w:cs="Arial"/>
          <w:b/>
          <w:bCs/>
          <w:sz w:val="22"/>
          <w:szCs w:val="22"/>
        </w:rPr>
        <w:t>C</w:t>
      </w:r>
      <w:r w:rsidR="00962918">
        <w:rPr>
          <w:rFonts w:ascii="Arial" w:hAnsi="Arial" w:cs="Arial"/>
          <w:sz w:val="22"/>
          <w:szCs w:val="22"/>
        </w:rPr>
        <w:t xml:space="preserve"> Horizontal bar plots showing the cell type ratio of cell types comparing </w:t>
      </w:r>
      <w:r>
        <w:rPr>
          <w:rFonts w:ascii="Arial" w:hAnsi="Arial" w:cs="Arial"/>
          <w:b/>
          <w:bCs/>
          <w:sz w:val="22"/>
          <w:szCs w:val="22"/>
        </w:rPr>
        <w:t>A</w:t>
      </w:r>
      <w:r w:rsidR="00962918">
        <w:rPr>
          <w:rFonts w:ascii="Arial" w:hAnsi="Arial" w:cs="Arial"/>
          <w:sz w:val="22"/>
          <w:szCs w:val="22"/>
        </w:rPr>
        <w:t xml:space="preserve"> </w:t>
      </w:r>
      <w:r w:rsidR="00962918" w:rsidRPr="00962918">
        <w:rPr>
          <w:rFonts w:ascii="Arial" w:hAnsi="Arial" w:cs="Arial"/>
          <w:sz w:val="22"/>
          <w:szCs w:val="22"/>
        </w:rPr>
        <w:t>all</w:t>
      </w:r>
      <w:r w:rsidR="00962918">
        <w:rPr>
          <w:rFonts w:ascii="Arial" w:hAnsi="Arial" w:cs="Arial"/>
          <w:sz w:val="22"/>
          <w:szCs w:val="22"/>
        </w:rPr>
        <w:t xml:space="preserve"> cells in deep non-parenchyma (orange) and deep parenchyma (green), </w:t>
      </w:r>
      <w:r>
        <w:rPr>
          <w:rFonts w:ascii="Arial" w:hAnsi="Arial" w:cs="Arial"/>
          <w:b/>
          <w:bCs/>
          <w:sz w:val="22"/>
          <w:szCs w:val="22"/>
        </w:rPr>
        <w:t>B</w:t>
      </w:r>
      <w:r w:rsidR="00962918">
        <w:rPr>
          <w:rFonts w:ascii="Arial" w:hAnsi="Arial" w:cs="Arial"/>
          <w:sz w:val="22"/>
          <w:szCs w:val="22"/>
        </w:rPr>
        <w:t xml:space="preserve"> cell frequencies between SN (red) and AIH (blue) in deep non-parenchyma areas and </w:t>
      </w:r>
      <w:r>
        <w:rPr>
          <w:rFonts w:ascii="Arial" w:hAnsi="Arial" w:cs="Arial"/>
          <w:b/>
          <w:bCs/>
          <w:sz w:val="22"/>
          <w:szCs w:val="22"/>
        </w:rPr>
        <w:t>C</w:t>
      </w:r>
      <w:r w:rsidR="00962918">
        <w:rPr>
          <w:rFonts w:ascii="Arial" w:hAnsi="Arial" w:cs="Arial"/>
          <w:sz w:val="22"/>
          <w:szCs w:val="22"/>
        </w:rPr>
        <w:t xml:space="preserve"> deep parenchyma areas. </w:t>
      </w:r>
      <w:r>
        <w:rPr>
          <w:rFonts w:ascii="Arial" w:hAnsi="Arial" w:cs="Arial"/>
          <w:b/>
          <w:bCs/>
          <w:sz w:val="22"/>
          <w:szCs w:val="22"/>
        </w:rPr>
        <w:t>D</w:t>
      </w:r>
      <w:r w:rsidR="00962918">
        <w:rPr>
          <w:rFonts w:ascii="Arial" w:hAnsi="Arial" w:cs="Arial"/>
          <w:sz w:val="22"/>
          <w:szCs w:val="22"/>
        </w:rPr>
        <w:t xml:space="preserve"> Donut plots summarising the proportional distribution of cell types within parenchyma and non-parenchyma of AIH and SN samples. Colours respond to cell types. </w:t>
      </w:r>
      <w:r>
        <w:rPr>
          <w:rFonts w:ascii="Arial" w:hAnsi="Arial" w:cs="Arial"/>
          <w:b/>
          <w:bCs/>
          <w:sz w:val="22"/>
          <w:szCs w:val="22"/>
        </w:rPr>
        <w:t>E</w:t>
      </w:r>
      <w:r w:rsidR="00962918">
        <w:rPr>
          <w:rFonts w:ascii="Arial" w:hAnsi="Arial" w:cs="Arial"/>
          <w:sz w:val="22"/>
          <w:szCs w:val="22"/>
        </w:rPr>
        <w:t xml:space="preserve"> Functional network analysis of differentially expressed genes between non-parenchyma compartments in AIH samples. Networks are annotated with enriched biological processes. </w:t>
      </w:r>
      <w:r>
        <w:rPr>
          <w:rFonts w:ascii="Arial" w:hAnsi="Arial" w:cs="Arial"/>
          <w:b/>
          <w:bCs/>
          <w:sz w:val="22"/>
          <w:szCs w:val="22"/>
        </w:rPr>
        <w:t>F</w:t>
      </w:r>
      <w:r w:rsidR="00962918">
        <w:rPr>
          <w:rFonts w:ascii="Arial" w:hAnsi="Arial" w:cs="Arial"/>
          <w:sz w:val="22"/>
          <w:szCs w:val="22"/>
        </w:rPr>
        <w:t xml:space="preserve"> </w:t>
      </w:r>
      <w:r w:rsidR="00D94FBF">
        <w:rPr>
          <w:rFonts w:ascii="Arial" w:hAnsi="Arial" w:cs="Arial"/>
          <w:sz w:val="22"/>
          <w:szCs w:val="22"/>
        </w:rPr>
        <w:t>Pathway enrichment analysis represented as a bar plot. Significantly enrichment pathways are ranked by -log10 adjusted p-value, with bar lengths indicating enrichment significance.</w:t>
      </w:r>
    </w:p>
    <w:p w14:paraId="52F19767" w14:textId="77777777" w:rsidR="003A3F8A" w:rsidRDefault="003A3F8A" w:rsidP="003A3F8A">
      <w:pPr>
        <w:spacing w:line="480" w:lineRule="auto"/>
        <w:rPr>
          <w:rFonts w:ascii="Arial" w:hAnsi="Arial" w:cs="Arial"/>
          <w:sz w:val="22"/>
          <w:szCs w:val="22"/>
        </w:rPr>
      </w:pPr>
      <w:r>
        <w:rPr>
          <w:rFonts w:ascii="Arial" w:hAnsi="Arial" w:cs="Arial"/>
          <w:sz w:val="22"/>
          <w:szCs w:val="22"/>
        </w:rPr>
        <w:t>SN: Seronegative hepatitis, AIH: Autoimmune hepatitis, D: Donor</w:t>
      </w:r>
    </w:p>
    <w:p w14:paraId="1D9FC1BF" w14:textId="24E7AC56" w:rsidR="00B06143" w:rsidRDefault="00E269C4" w:rsidP="00EB2356">
      <w:pPr>
        <w:spacing w:line="480" w:lineRule="auto"/>
        <w:rPr>
          <w:rFonts w:ascii="Arial" w:hAnsi="Arial" w:cs="Arial"/>
          <w:b/>
          <w:bCs/>
          <w:sz w:val="22"/>
          <w:szCs w:val="22"/>
        </w:rPr>
      </w:pPr>
      <w:r>
        <w:rPr>
          <w:rFonts w:ascii="Arial" w:hAnsi="Arial" w:cs="Arial"/>
          <w:b/>
          <w:bCs/>
          <w:noProof/>
          <w:sz w:val="22"/>
          <w:szCs w:val="22"/>
        </w:rPr>
        <w:lastRenderedPageBreak/>
        <w:drawing>
          <wp:inline distT="0" distB="0" distL="0" distR="0" wp14:anchorId="66CB1DA8" wp14:editId="7B6172C9">
            <wp:extent cx="5731510" cy="8208645"/>
            <wp:effectExtent l="0" t="0" r="0" b="0"/>
            <wp:docPr id="20270818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081859" name="Picture 202708185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8208645"/>
                    </a:xfrm>
                    <a:prstGeom prst="rect">
                      <a:avLst/>
                    </a:prstGeom>
                  </pic:spPr>
                </pic:pic>
              </a:graphicData>
            </a:graphic>
          </wp:inline>
        </w:drawing>
      </w:r>
    </w:p>
    <w:p w14:paraId="217DB0CE" w14:textId="5C13D0C7" w:rsidR="00433D9B" w:rsidRDefault="00433D9B" w:rsidP="00EB2356">
      <w:pPr>
        <w:spacing w:line="480" w:lineRule="auto"/>
        <w:rPr>
          <w:rFonts w:ascii="Arial" w:hAnsi="Arial" w:cs="Arial"/>
          <w:b/>
          <w:bCs/>
          <w:sz w:val="22"/>
          <w:szCs w:val="22"/>
        </w:rPr>
      </w:pPr>
      <w:r w:rsidRPr="002273D4">
        <w:rPr>
          <w:rFonts w:ascii="Arial" w:hAnsi="Arial" w:cs="Arial"/>
          <w:b/>
          <w:bCs/>
          <w:sz w:val="22"/>
          <w:szCs w:val="22"/>
        </w:rPr>
        <w:t>Supplementary Fig.</w:t>
      </w:r>
      <w:r>
        <w:rPr>
          <w:rFonts w:ascii="Arial" w:hAnsi="Arial" w:cs="Arial"/>
          <w:b/>
          <w:bCs/>
          <w:sz w:val="22"/>
          <w:szCs w:val="22"/>
        </w:rPr>
        <w:t>1</w:t>
      </w:r>
      <w:r w:rsidR="0075587B">
        <w:rPr>
          <w:rFonts w:ascii="Arial" w:hAnsi="Arial" w:cs="Arial"/>
          <w:b/>
          <w:bCs/>
          <w:sz w:val="22"/>
          <w:szCs w:val="22"/>
        </w:rPr>
        <w:t>2</w:t>
      </w:r>
      <w:r>
        <w:rPr>
          <w:rFonts w:ascii="Arial" w:hAnsi="Arial" w:cs="Arial"/>
          <w:b/>
          <w:bCs/>
          <w:sz w:val="22"/>
          <w:szCs w:val="22"/>
        </w:rPr>
        <w:t xml:space="preserve">| </w:t>
      </w:r>
      <w:r w:rsidR="000B5808">
        <w:rPr>
          <w:rFonts w:ascii="Arial" w:hAnsi="Arial" w:cs="Arial"/>
          <w:b/>
          <w:bCs/>
          <w:sz w:val="22"/>
          <w:szCs w:val="22"/>
        </w:rPr>
        <w:t xml:space="preserve">Expression and localisation of MMP12, HM13 and C1QA in seronegative </w:t>
      </w:r>
      <w:r w:rsidR="003A3F8A">
        <w:rPr>
          <w:rFonts w:ascii="Arial" w:hAnsi="Arial" w:cs="Arial"/>
          <w:b/>
          <w:bCs/>
          <w:sz w:val="22"/>
          <w:szCs w:val="22"/>
        </w:rPr>
        <w:t>hepatitis</w:t>
      </w:r>
      <w:r w:rsidR="000B5808">
        <w:rPr>
          <w:rFonts w:ascii="Arial" w:hAnsi="Arial" w:cs="Arial"/>
          <w:b/>
          <w:bCs/>
          <w:sz w:val="22"/>
          <w:szCs w:val="22"/>
        </w:rPr>
        <w:t>, autoimmune hepatitis and donor liver.</w:t>
      </w:r>
    </w:p>
    <w:p w14:paraId="7FAF2E21" w14:textId="1FA1F816" w:rsidR="000B5808" w:rsidRPr="000B5808" w:rsidRDefault="00D37B23" w:rsidP="00EB2356">
      <w:pPr>
        <w:spacing w:line="480" w:lineRule="auto"/>
        <w:rPr>
          <w:rFonts w:ascii="Arial" w:hAnsi="Arial" w:cs="Arial"/>
          <w:sz w:val="22"/>
          <w:szCs w:val="22"/>
        </w:rPr>
      </w:pPr>
      <w:r>
        <w:rPr>
          <w:rFonts w:ascii="Arial" w:hAnsi="Arial" w:cs="Arial"/>
          <w:b/>
          <w:bCs/>
          <w:sz w:val="22"/>
          <w:szCs w:val="22"/>
        </w:rPr>
        <w:lastRenderedPageBreak/>
        <w:t>A</w:t>
      </w:r>
      <w:r w:rsidR="000B5808">
        <w:rPr>
          <w:rFonts w:ascii="Arial" w:hAnsi="Arial" w:cs="Arial"/>
          <w:sz w:val="22"/>
          <w:szCs w:val="22"/>
        </w:rPr>
        <w:t xml:space="preserve"> Boxplots showing normalised expression of MMP12 (</w:t>
      </w:r>
      <w:r w:rsidR="000B5808">
        <w:rPr>
          <w:rFonts w:ascii="Arial" w:hAnsi="Arial" w:cs="Arial"/>
          <w:i/>
          <w:iCs/>
          <w:sz w:val="22"/>
          <w:szCs w:val="22"/>
        </w:rPr>
        <w:t>left</w:t>
      </w:r>
      <w:r w:rsidR="000B5808">
        <w:rPr>
          <w:rFonts w:ascii="Arial" w:hAnsi="Arial" w:cs="Arial"/>
          <w:sz w:val="22"/>
          <w:szCs w:val="22"/>
        </w:rPr>
        <w:t>), HM13 (</w:t>
      </w:r>
      <w:r w:rsidR="000B5808">
        <w:rPr>
          <w:rFonts w:ascii="Arial" w:hAnsi="Arial" w:cs="Arial"/>
          <w:i/>
          <w:iCs/>
          <w:sz w:val="22"/>
          <w:szCs w:val="22"/>
        </w:rPr>
        <w:t>middle</w:t>
      </w:r>
      <w:r w:rsidR="000B5808">
        <w:rPr>
          <w:rFonts w:ascii="Arial" w:hAnsi="Arial" w:cs="Arial"/>
          <w:sz w:val="22"/>
          <w:szCs w:val="22"/>
        </w:rPr>
        <w:t>) and C1QA (</w:t>
      </w:r>
      <w:r w:rsidR="000B5808">
        <w:rPr>
          <w:rFonts w:ascii="Arial" w:hAnsi="Arial" w:cs="Arial"/>
          <w:i/>
          <w:iCs/>
          <w:sz w:val="22"/>
          <w:szCs w:val="22"/>
        </w:rPr>
        <w:t>right</w:t>
      </w:r>
      <w:r w:rsidR="000B5808">
        <w:rPr>
          <w:rFonts w:ascii="Arial" w:hAnsi="Arial" w:cs="Arial"/>
          <w:sz w:val="22"/>
          <w:szCs w:val="22"/>
        </w:rPr>
        <w:t xml:space="preserve">) across parenchymal (P) and non-parenchymal (NP) areas in SN and AIH liver tissue. </w:t>
      </w:r>
      <w:r>
        <w:rPr>
          <w:rFonts w:ascii="Arial" w:hAnsi="Arial" w:cs="Arial"/>
          <w:b/>
          <w:bCs/>
          <w:sz w:val="22"/>
          <w:szCs w:val="22"/>
        </w:rPr>
        <w:t>B</w:t>
      </w:r>
      <w:r w:rsidR="000B5808">
        <w:rPr>
          <w:rFonts w:ascii="Arial" w:hAnsi="Arial" w:cs="Arial"/>
          <w:sz w:val="22"/>
          <w:szCs w:val="22"/>
        </w:rPr>
        <w:t xml:space="preserve"> Spatial transcriptomics maps demonstrating the distribution of MMP12 (</w:t>
      </w:r>
      <w:r w:rsidR="000B5808">
        <w:rPr>
          <w:rFonts w:ascii="Arial" w:hAnsi="Arial" w:cs="Arial"/>
          <w:i/>
          <w:iCs/>
          <w:sz w:val="22"/>
          <w:szCs w:val="22"/>
        </w:rPr>
        <w:t>left</w:t>
      </w:r>
      <w:r w:rsidR="000B5808">
        <w:rPr>
          <w:rFonts w:ascii="Arial" w:hAnsi="Arial" w:cs="Arial"/>
          <w:sz w:val="22"/>
          <w:szCs w:val="22"/>
        </w:rPr>
        <w:t>), HM13 (</w:t>
      </w:r>
      <w:r w:rsidR="000B5808">
        <w:rPr>
          <w:rFonts w:ascii="Arial" w:hAnsi="Arial" w:cs="Arial"/>
          <w:i/>
          <w:iCs/>
          <w:sz w:val="22"/>
          <w:szCs w:val="22"/>
        </w:rPr>
        <w:t>middle</w:t>
      </w:r>
      <w:r w:rsidR="000B5808">
        <w:rPr>
          <w:rFonts w:ascii="Arial" w:hAnsi="Arial" w:cs="Arial"/>
          <w:sz w:val="22"/>
          <w:szCs w:val="22"/>
        </w:rPr>
        <w:t>) and C1QA (</w:t>
      </w:r>
      <w:r w:rsidR="000B5808">
        <w:rPr>
          <w:rFonts w:ascii="Arial" w:hAnsi="Arial" w:cs="Arial"/>
          <w:i/>
          <w:iCs/>
          <w:sz w:val="22"/>
          <w:szCs w:val="22"/>
        </w:rPr>
        <w:t>right</w:t>
      </w:r>
      <w:r w:rsidR="000B5808">
        <w:rPr>
          <w:rFonts w:ascii="Arial" w:hAnsi="Arial" w:cs="Arial"/>
          <w:sz w:val="22"/>
          <w:szCs w:val="22"/>
        </w:rPr>
        <w:t xml:space="preserve">) transcripts across liver tissue sections. Red indicates high expression and blue indicates low expression. </w:t>
      </w:r>
      <w:r>
        <w:rPr>
          <w:rFonts w:ascii="Arial" w:hAnsi="Arial" w:cs="Arial"/>
          <w:b/>
          <w:bCs/>
          <w:sz w:val="22"/>
          <w:szCs w:val="22"/>
        </w:rPr>
        <w:t>C</w:t>
      </w:r>
      <w:r w:rsidR="000B5808">
        <w:rPr>
          <w:rFonts w:ascii="Arial" w:hAnsi="Arial" w:cs="Arial"/>
          <w:sz w:val="22"/>
          <w:szCs w:val="22"/>
        </w:rPr>
        <w:t xml:space="preserve"> Representative immunohistochemistry images for MMP12 (</w:t>
      </w:r>
      <w:r w:rsidR="000B5808">
        <w:rPr>
          <w:rFonts w:ascii="Arial" w:hAnsi="Arial" w:cs="Arial"/>
          <w:i/>
          <w:iCs/>
          <w:sz w:val="22"/>
          <w:szCs w:val="22"/>
        </w:rPr>
        <w:t>left</w:t>
      </w:r>
      <w:r w:rsidR="000B5808">
        <w:rPr>
          <w:rFonts w:ascii="Arial" w:hAnsi="Arial" w:cs="Arial"/>
          <w:sz w:val="22"/>
          <w:szCs w:val="22"/>
        </w:rPr>
        <w:t>), HM13 (</w:t>
      </w:r>
      <w:r w:rsidR="000B5808">
        <w:rPr>
          <w:rFonts w:ascii="Arial" w:hAnsi="Arial" w:cs="Arial"/>
          <w:i/>
          <w:iCs/>
          <w:sz w:val="22"/>
          <w:szCs w:val="22"/>
        </w:rPr>
        <w:t>middle</w:t>
      </w:r>
      <w:r w:rsidR="000B5808">
        <w:rPr>
          <w:rFonts w:ascii="Arial" w:hAnsi="Arial" w:cs="Arial"/>
          <w:sz w:val="22"/>
          <w:szCs w:val="22"/>
        </w:rPr>
        <w:t>) and C1QA (</w:t>
      </w:r>
      <w:r w:rsidR="000B5808">
        <w:rPr>
          <w:rFonts w:ascii="Arial" w:hAnsi="Arial" w:cs="Arial"/>
          <w:i/>
          <w:iCs/>
          <w:sz w:val="22"/>
          <w:szCs w:val="22"/>
        </w:rPr>
        <w:t>right</w:t>
      </w:r>
      <w:r w:rsidR="000B5808">
        <w:rPr>
          <w:rFonts w:ascii="Arial" w:hAnsi="Arial" w:cs="Arial"/>
          <w:sz w:val="22"/>
          <w:szCs w:val="22"/>
        </w:rPr>
        <w:t>) in donor (</w:t>
      </w:r>
      <w:r w:rsidR="000B5808">
        <w:rPr>
          <w:rFonts w:ascii="Arial" w:hAnsi="Arial" w:cs="Arial"/>
          <w:i/>
          <w:iCs/>
          <w:sz w:val="22"/>
          <w:szCs w:val="22"/>
        </w:rPr>
        <w:t>top</w:t>
      </w:r>
      <w:r w:rsidR="000B5808">
        <w:rPr>
          <w:rFonts w:ascii="Arial" w:hAnsi="Arial" w:cs="Arial"/>
          <w:sz w:val="22"/>
          <w:szCs w:val="22"/>
        </w:rPr>
        <w:t>), AIH (</w:t>
      </w:r>
      <w:r w:rsidR="000B5808">
        <w:rPr>
          <w:rFonts w:ascii="Arial" w:hAnsi="Arial" w:cs="Arial"/>
          <w:i/>
          <w:iCs/>
          <w:sz w:val="22"/>
          <w:szCs w:val="22"/>
        </w:rPr>
        <w:t>middle</w:t>
      </w:r>
      <w:r w:rsidR="000B5808">
        <w:rPr>
          <w:rFonts w:ascii="Arial" w:hAnsi="Arial" w:cs="Arial"/>
          <w:sz w:val="22"/>
          <w:szCs w:val="22"/>
        </w:rPr>
        <w:t>) and SN (</w:t>
      </w:r>
      <w:r w:rsidR="000B5808">
        <w:rPr>
          <w:rFonts w:ascii="Arial" w:hAnsi="Arial" w:cs="Arial"/>
          <w:i/>
          <w:iCs/>
          <w:sz w:val="22"/>
          <w:szCs w:val="22"/>
        </w:rPr>
        <w:t>bottom</w:t>
      </w:r>
      <w:r w:rsidR="000B5808">
        <w:rPr>
          <w:rFonts w:ascii="Arial" w:hAnsi="Arial" w:cs="Arial"/>
          <w:sz w:val="22"/>
          <w:szCs w:val="22"/>
        </w:rPr>
        <w:t xml:space="preserve">). Insets show higher magnification views. </w:t>
      </w:r>
      <w:r>
        <w:rPr>
          <w:rFonts w:ascii="Arial" w:hAnsi="Arial" w:cs="Arial"/>
          <w:b/>
          <w:bCs/>
          <w:sz w:val="22"/>
          <w:szCs w:val="22"/>
        </w:rPr>
        <w:t>D</w:t>
      </w:r>
      <w:r w:rsidR="000B5808">
        <w:rPr>
          <w:rFonts w:ascii="Arial" w:hAnsi="Arial" w:cs="Arial"/>
          <w:sz w:val="22"/>
          <w:szCs w:val="22"/>
        </w:rPr>
        <w:t xml:space="preserve"> Quantification of positive IHC staining for MMP12 (</w:t>
      </w:r>
      <w:r w:rsidR="000B5808">
        <w:rPr>
          <w:rFonts w:ascii="Arial" w:hAnsi="Arial" w:cs="Arial"/>
          <w:i/>
          <w:iCs/>
          <w:sz w:val="22"/>
          <w:szCs w:val="22"/>
        </w:rPr>
        <w:t>left</w:t>
      </w:r>
      <w:r w:rsidR="000B5808">
        <w:rPr>
          <w:rFonts w:ascii="Arial" w:hAnsi="Arial" w:cs="Arial"/>
          <w:sz w:val="22"/>
          <w:szCs w:val="22"/>
        </w:rPr>
        <w:t>), HM13 (</w:t>
      </w:r>
      <w:r w:rsidR="000B5808">
        <w:rPr>
          <w:rFonts w:ascii="Arial" w:hAnsi="Arial" w:cs="Arial"/>
          <w:i/>
          <w:iCs/>
          <w:sz w:val="22"/>
          <w:szCs w:val="22"/>
        </w:rPr>
        <w:t>middle</w:t>
      </w:r>
      <w:r w:rsidR="000B5808">
        <w:rPr>
          <w:rFonts w:ascii="Arial" w:hAnsi="Arial" w:cs="Arial"/>
          <w:sz w:val="22"/>
          <w:szCs w:val="22"/>
        </w:rPr>
        <w:t>) and C1QA (</w:t>
      </w:r>
      <w:r w:rsidR="000B5808">
        <w:rPr>
          <w:rFonts w:ascii="Arial" w:hAnsi="Arial" w:cs="Arial"/>
          <w:i/>
          <w:iCs/>
          <w:sz w:val="22"/>
          <w:szCs w:val="22"/>
        </w:rPr>
        <w:t>right</w:t>
      </w:r>
      <w:r w:rsidR="000B5808">
        <w:rPr>
          <w:rFonts w:ascii="Arial" w:hAnsi="Arial" w:cs="Arial"/>
          <w:sz w:val="22"/>
          <w:szCs w:val="22"/>
        </w:rPr>
        <w:t xml:space="preserve">) across AIH, SN and donor samples. Quantified using </w:t>
      </w:r>
      <w:proofErr w:type="spellStart"/>
      <w:r w:rsidR="000B5808">
        <w:rPr>
          <w:rFonts w:ascii="Arial" w:hAnsi="Arial" w:cs="Arial"/>
          <w:sz w:val="22"/>
          <w:szCs w:val="22"/>
        </w:rPr>
        <w:t>QuPath</w:t>
      </w:r>
      <w:proofErr w:type="spellEnd"/>
      <w:r w:rsidR="000B5808">
        <w:rPr>
          <w:rFonts w:ascii="Arial" w:hAnsi="Arial" w:cs="Arial"/>
          <w:sz w:val="22"/>
          <w:szCs w:val="22"/>
        </w:rPr>
        <w:t xml:space="preserve"> (Supplementary Fig. 4) to detect positive staining. Bars represent mean</w:t>
      </w:r>
      <w:r w:rsidR="000B5808" w:rsidRPr="000B5808">
        <w:rPr>
          <w:rFonts w:ascii="Arial" w:hAnsi="Arial" w:cs="Arial"/>
          <w:sz w:val="22"/>
          <w:szCs w:val="22"/>
        </w:rPr>
        <w:t xml:space="preserve"> </w:t>
      </w:r>
      <w:r w:rsidR="000B5808" w:rsidRPr="000B5808">
        <w:rPr>
          <w:rFonts w:ascii="Arial" w:hAnsi="Arial" w:cs="Arial"/>
          <w:color w:val="000000"/>
          <w:sz w:val="22"/>
          <w:szCs w:val="22"/>
        </w:rPr>
        <w:t>±</w:t>
      </w:r>
      <w:r w:rsidR="000B5808">
        <w:rPr>
          <w:rFonts w:ascii="Arial" w:hAnsi="Arial" w:cs="Arial"/>
          <w:color w:val="000000"/>
          <w:sz w:val="22"/>
          <w:szCs w:val="22"/>
        </w:rPr>
        <w:t xml:space="preserve"> SEM.</w:t>
      </w:r>
    </w:p>
    <w:p w14:paraId="518EDBB6" w14:textId="0127E55C" w:rsidR="000B5808" w:rsidRDefault="000B5808" w:rsidP="00EB2356">
      <w:pPr>
        <w:spacing w:line="480" w:lineRule="auto"/>
        <w:rPr>
          <w:rFonts w:ascii="Arial" w:hAnsi="Arial" w:cs="Arial"/>
          <w:sz w:val="22"/>
          <w:szCs w:val="22"/>
        </w:rPr>
      </w:pPr>
      <w:r>
        <w:rPr>
          <w:rFonts w:ascii="Arial" w:hAnsi="Arial" w:cs="Arial"/>
          <w:sz w:val="22"/>
          <w:szCs w:val="22"/>
        </w:rPr>
        <w:t>SN: Seronegative</w:t>
      </w:r>
      <w:r w:rsidR="003A3F8A">
        <w:rPr>
          <w:rFonts w:ascii="Arial" w:hAnsi="Arial" w:cs="Arial"/>
          <w:sz w:val="22"/>
          <w:szCs w:val="22"/>
        </w:rPr>
        <w:t xml:space="preserve"> hepatitis</w:t>
      </w:r>
      <w:r>
        <w:rPr>
          <w:rFonts w:ascii="Arial" w:hAnsi="Arial" w:cs="Arial"/>
          <w:sz w:val="22"/>
          <w:szCs w:val="22"/>
        </w:rPr>
        <w:t>, AIH: Autoimmune hepatitis, P: Parenchyma, NP: Non-parenchyma</w:t>
      </w:r>
    </w:p>
    <w:p w14:paraId="79689321" w14:textId="77777777" w:rsidR="000B5808" w:rsidRDefault="000B5808" w:rsidP="00EB2356">
      <w:pPr>
        <w:spacing w:line="480" w:lineRule="auto"/>
        <w:rPr>
          <w:rFonts w:ascii="Arial" w:hAnsi="Arial" w:cs="Arial"/>
          <w:sz w:val="22"/>
          <w:szCs w:val="22"/>
        </w:rPr>
      </w:pPr>
    </w:p>
    <w:p w14:paraId="5CE6B2CE" w14:textId="5F2B8287" w:rsidR="00433D9B" w:rsidRDefault="005B0841" w:rsidP="00EB2356">
      <w:pPr>
        <w:spacing w:line="480" w:lineRule="auto"/>
        <w:rPr>
          <w:rFonts w:ascii="Arial" w:hAnsi="Arial" w:cs="Arial"/>
          <w:sz w:val="22"/>
          <w:szCs w:val="22"/>
        </w:rPr>
      </w:pPr>
      <w:r>
        <w:rPr>
          <w:rFonts w:ascii="Arial" w:hAnsi="Arial" w:cs="Arial"/>
          <w:noProof/>
          <w:sz w:val="22"/>
          <w:szCs w:val="22"/>
        </w:rPr>
        <w:lastRenderedPageBreak/>
        <w:drawing>
          <wp:inline distT="0" distB="0" distL="0" distR="0" wp14:anchorId="233B61EA" wp14:editId="5E445677">
            <wp:extent cx="5731510" cy="7613015"/>
            <wp:effectExtent l="0" t="0" r="0" b="0"/>
            <wp:docPr id="1998875987" name="Picture 13"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875987" name="Picture 13" descr="A screenshot of a graph&#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1510" cy="7613015"/>
                    </a:xfrm>
                    <a:prstGeom prst="rect">
                      <a:avLst/>
                    </a:prstGeom>
                  </pic:spPr>
                </pic:pic>
              </a:graphicData>
            </a:graphic>
          </wp:inline>
        </w:drawing>
      </w:r>
    </w:p>
    <w:p w14:paraId="71A61CC5" w14:textId="504DC7AA" w:rsidR="00433D9B" w:rsidRDefault="00433D9B" w:rsidP="00EB2356">
      <w:pPr>
        <w:spacing w:line="480" w:lineRule="auto"/>
        <w:rPr>
          <w:rFonts w:ascii="Arial" w:hAnsi="Arial" w:cs="Arial"/>
          <w:b/>
          <w:bCs/>
          <w:sz w:val="22"/>
          <w:szCs w:val="22"/>
        </w:rPr>
      </w:pPr>
      <w:r w:rsidRPr="002273D4">
        <w:rPr>
          <w:rFonts w:ascii="Arial" w:hAnsi="Arial" w:cs="Arial"/>
          <w:b/>
          <w:bCs/>
          <w:sz w:val="22"/>
          <w:szCs w:val="22"/>
        </w:rPr>
        <w:t>Supplementary Fig.</w:t>
      </w:r>
      <w:r>
        <w:rPr>
          <w:rFonts w:ascii="Arial" w:hAnsi="Arial" w:cs="Arial"/>
          <w:b/>
          <w:bCs/>
          <w:sz w:val="22"/>
          <w:szCs w:val="22"/>
        </w:rPr>
        <w:t>1</w:t>
      </w:r>
      <w:r w:rsidR="0075587B">
        <w:rPr>
          <w:rFonts w:ascii="Arial" w:hAnsi="Arial" w:cs="Arial"/>
          <w:b/>
          <w:bCs/>
          <w:sz w:val="22"/>
          <w:szCs w:val="22"/>
        </w:rPr>
        <w:t>3</w:t>
      </w:r>
      <w:r>
        <w:rPr>
          <w:rFonts w:ascii="Arial" w:hAnsi="Arial" w:cs="Arial"/>
          <w:b/>
          <w:bCs/>
          <w:sz w:val="22"/>
          <w:szCs w:val="22"/>
        </w:rPr>
        <w:t xml:space="preserve">| </w:t>
      </w:r>
      <w:r w:rsidR="00B76953">
        <w:rPr>
          <w:rFonts w:ascii="Arial" w:hAnsi="Arial" w:cs="Arial"/>
          <w:b/>
          <w:bCs/>
          <w:sz w:val="22"/>
          <w:szCs w:val="22"/>
        </w:rPr>
        <w:t xml:space="preserve">Cell-cell interaction networks differ between </w:t>
      </w:r>
      <w:r w:rsidR="003A3F8A">
        <w:rPr>
          <w:rFonts w:ascii="Arial" w:hAnsi="Arial" w:cs="Arial"/>
          <w:b/>
          <w:bCs/>
          <w:sz w:val="22"/>
          <w:szCs w:val="22"/>
        </w:rPr>
        <w:t>seronegative hepatitis</w:t>
      </w:r>
      <w:r w:rsidR="00B76953">
        <w:rPr>
          <w:rFonts w:ascii="Arial" w:hAnsi="Arial" w:cs="Arial"/>
          <w:b/>
          <w:bCs/>
          <w:sz w:val="22"/>
          <w:szCs w:val="22"/>
        </w:rPr>
        <w:t xml:space="preserve">, </w:t>
      </w:r>
      <w:r w:rsidR="003A3F8A">
        <w:rPr>
          <w:rFonts w:ascii="Arial" w:hAnsi="Arial" w:cs="Arial"/>
          <w:b/>
          <w:bCs/>
          <w:sz w:val="22"/>
          <w:szCs w:val="22"/>
        </w:rPr>
        <w:t>autoimmune hepatitis</w:t>
      </w:r>
      <w:r w:rsidR="00B76953">
        <w:rPr>
          <w:rFonts w:ascii="Arial" w:hAnsi="Arial" w:cs="Arial"/>
          <w:b/>
          <w:bCs/>
          <w:sz w:val="22"/>
          <w:szCs w:val="22"/>
        </w:rPr>
        <w:t xml:space="preserve"> and donor controls in parenchymal and non-parenchymal regions.</w:t>
      </w:r>
    </w:p>
    <w:p w14:paraId="2B22C44E" w14:textId="0B06DDF2" w:rsidR="00B76953" w:rsidRPr="00B76953" w:rsidRDefault="00D37B23" w:rsidP="00EB2356">
      <w:pPr>
        <w:spacing w:line="480" w:lineRule="auto"/>
        <w:rPr>
          <w:rFonts w:ascii="Arial" w:hAnsi="Arial" w:cs="Arial"/>
          <w:sz w:val="22"/>
          <w:szCs w:val="22"/>
        </w:rPr>
      </w:pPr>
      <w:r>
        <w:rPr>
          <w:rFonts w:ascii="Arial" w:hAnsi="Arial" w:cs="Arial"/>
          <w:b/>
          <w:bCs/>
          <w:sz w:val="22"/>
          <w:szCs w:val="22"/>
        </w:rPr>
        <w:lastRenderedPageBreak/>
        <w:t>A</w:t>
      </w:r>
      <w:r w:rsidR="00B76953">
        <w:rPr>
          <w:rFonts w:ascii="Arial" w:hAnsi="Arial" w:cs="Arial"/>
          <w:b/>
          <w:bCs/>
          <w:sz w:val="22"/>
          <w:szCs w:val="22"/>
        </w:rPr>
        <w:t>-</w:t>
      </w:r>
      <w:r>
        <w:rPr>
          <w:rFonts w:ascii="Arial" w:hAnsi="Arial" w:cs="Arial"/>
          <w:b/>
          <w:bCs/>
          <w:sz w:val="22"/>
          <w:szCs w:val="22"/>
        </w:rPr>
        <w:t>B</w:t>
      </w:r>
      <w:r w:rsidR="00B76953">
        <w:rPr>
          <w:rFonts w:ascii="Arial" w:hAnsi="Arial" w:cs="Arial"/>
          <w:sz w:val="22"/>
          <w:szCs w:val="22"/>
        </w:rPr>
        <w:t xml:space="preserve"> </w:t>
      </w:r>
      <w:proofErr w:type="spellStart"/>
      <w:r w:rsidR="00B76953">
        <w:rPr>
          <w:rFonts w:ascii="Arial" w:hAnsi="Arial" w:cs="Arial"/>
          <w:sz w:val="22"/>
          <w:szCs w:val="22"/>
        </w:rPr>
        <w:t>Barplots</w:t>
      </w:r>
      <w:proofErr w:type="spellEnd"/>
      <w:r w:rsidR="00B76953">
        <w:rPr>
          <w:rFonts w:ascii="Arial" w:hAnsi="Arial" w:cs="Arial"/>
          <w:sz w:val="22"/>
          <w:szCs w:val="22"/>
        </w:rPr>
        <w:t xml:space="preserve"> showing the number of predicted ligand-receptor interactions across major cell types in </w:t>
      </w:r>
      <w:r>
        <w:rPr>
          <w:rFonts w:ascii="Arial" w:hAnsi="Arial" w:cs="Arial"/>
          <w:b/>
          <w:bCs/>
          <w:sz w:val="22"/>
          <w:szCs w:val="22"/>
        </w:rPr>
        <w:t>A</w:t>
      </w:r>
      <w:r w:rsidR="00B76953">
        <w:rPr>
          <w:rFonts w:ascii="Arial" w:hAnsi="Arial" w:cs="Arial"/>
          <w:sz w:val="22"/>
          <w:szCs w:val="22"/>
        </w:rPr>
        <w:t xml:space="preserve"> non-parenchymal and </w:t>
      </w:r>
      <w:r>
        <w:rPr>
          <w:rFonts w:ascii="Arial" w:hAnsi="Arial" w:cs="Arial"/>
          <w:b/>
          <w:bCs/>
          <w:sz w:val="22"/>
          <w:szCs w:val="22"/>
        </w:rPr>
        <w:t>B</w:t>
      </w:r>
      <w:r w:rsidR="00B76953">
        <w:rPr>
          <w:rFonts w:ascii="Arial" w:hAnsi="Arial" w:cs="Arial"/>
          <w:sz w:val="22"/>
          <w:szCs w:val="22"/>
        </w:rPr>
        <w:t xml:space="preserve"> parenchymal regions, stratified by disease group. </w:t>
      </w:r>
      <w:r>
        <w:rPr>
          <w:rFonts w:ascii="Arial" w:hAnsi="Arial" w:cs="Arial"/>
          <w:b/>
          <w:bCs/>
          <w:sz w:val="22"/>
          <w:szCs w:val="22"/>
        </w:rPr>
        <w:t>C</w:t>
      </w:r>
      <w:r w:rsidR="00B76953">
        <w:rPr>
          <w:rFonts w:ascii="Arial" w:hAnsi="Arial" w:cs="Arial"/>
          <w:b/>
          <w:bCs/>
          <w:sz w:val="22"/>
          <w:szCs w:val="22"/>
        </w:rPr>
        <w:t>-</w:t>
      </w:r>
      <w:r>
        <w:rPr>
          <w:rFonts w:ascii="Arial" w:hAnsi="Arial" w:cs="Arial"/>
          <w:b/>
          <w:bCs/>
          <w:sz w:val="22"/>
          <w:szCs w:val="22"/>
        </w:rPr>
        <w:t>D</w:t>
      </w:r>
      <w:r w:rsidR="00B76953">
        <w:rPr>
          <w:rFonts w:ascii="Arial" w:hAnsi="Arial" w:cs="Arial"/>
          <w:sz w:val="22"/>
          <w:szCs w:val="22"/>
        </w:rPr>
        <w:t xml:space="preserve"> Circle plots of predicted ligand-receptor networks highlighting the strength and directionality of interactions between cell types in </w:t>
      </w:r>
      <w:r>
        <w:rPr>
          <w:rFonts w:ascii="Arial" w:hAnsi="Arial" w:cs="Arial"/>
          <w:b/>
          <w:bCs/>
          <w:sz w:val="22"/>
          <w:szCs w:val="22"/>
        </w:rPr>
        <w:t>C</w:t>
      </w:r>
      <w:r w:rsidR="00B76953">
        <w:rPr>
          <w:rFonts w:ascii="Arial" w:hAnsi="Arial" w:cs="Arial"/>
          <w:sz w:val="22"/>
          <w:szCs w:val="22"/>
        </w:rPr>
        <w:t xml:space="preserve"> non-parenchymal and </w:t>
      </w:r>
      <w:r>
        <w:rPr>
          <w:rFonts w:ascii="Arial" w:hAnsi="Arial" w:cs="Arial"/>
          <w:b/>
          <w:bCs/>
          <w:sz w:val="22"/>
          <w:szCs w:val="22"/>
        </w:rPr>
        <w:t>D</w:t>
      </w:r>
      <w:r w:rsidR="00B76953">
        <w:rPr>
          <w:rFonts w:ascii="Arial" w:hAnsi="Arial" w:cs="Arial"/>
          <w:sz w:val="22"/>
          <w:szCs w:val="22"/>
        </w:rPr>
        <w:t xml:space="preserve"> parenchymal regions for each condition. Line thickness corresponds to interaction strength. </w:t>
      </w:r>
      <w:r>
        <w:rPr>
          <w:rFonts w:ascii="Arial" w:hAnsi="Arial" w:cs="Arial"/>
          <w:b/>
          <w:bCs/>
          <w:sz w:val="22"/>
          <w:szCs w:val="22"/>
        </w:rPr>
        <w:t>E</w:t>
      </w:r>
      <w:r w:rsidR="00B76953">
        <w:rPr>
          <w:rFonts w:ascii="Arial" w:hAnsi="Arial" w:cs="Arial"/>
          <w:b/>
          <w:bCs/>
          <w:sz w:val="22"/>
          <w:szCs w:val="22"/>
        </w:rPr>
        <w:t>-</w:t>
      </w:r>
      <w:r>
        <w:rPr>
          <w:rFonts w:ascii="Arial" w:hAnsi="Arial" w:cs="Arial"/>
          <w:b/>
          <w:bCs/>
          <w:sz w:val="22"/>
          <w:szCs w:val="22"/>
        </w:rPr>
        <w:t>F</w:t>
      </w:r>
      <w:r w:rsidR="00B76953">
        <w:rPr>
          <w:rFonts w:ascii="Arial" w:hAnsi="Arial" w:cs="Arial"/>
          <w:sz w:val="22"/>
          <w:szCs w:val="22"/>
        </w:rPr>
        <w:t xml:space="preserve"> Heatmaps of interaction strength across cell-cell pairs in </w:t>
      </w:r>
      <w:r>
        <w:rPr>
          <w:rFonts w:ascii="Arial" w:hAnsi="Arial" w:cs="Arial"/>
          <w:b/>
          <w:bCs/>
          <w:sz w:val="22"/>
          <w:szCs w:val="22"/>
        </w:rPr>
        <w:t>E</w:t>
      </w:r>
      <w:r w:rsidR="00B76953">
        <w:rPr>
          <w:rFonts w:ascii="Arial" w:hAnsi="Arial" w:cs="Arial"/>
          <w:sz w:val="22"/>
          <w:szCs w:val="22"/>
        </w:rPr>
        <w:t xml:space="preserve"> non-parenchymal and </w:t>
      </w:r>
      <w:r>
        <w:rPr>
          <w:rFonts w:ascii="Arial" w:hAnsi="Arial" w:cs="Arial"/>
          <w:b/>
          <w:bCs/>
          <w:sz w:val="22"/>
          <w:szCs w:val="22"/>
        </w:rPr>
        <w:t>F</w:t>
      </w:r>
      <w:r w:rsidR="00B76953">
        <w:rPr>
          <w:rFonts w:ascii="Arial" w:hAnsi="Arial" w:cs="Arial"/>
          <w:sz w:val="22"/>
          <w:szCs w:val="22"/>
        </w:rPr>
        <w:t xml:space="preserve"> parenchymal regions. Stronger interactions are depicted in red. </w:t>
      </w:r>
      <w:r>
        <w:rPr>
          <w:rFonts w:ascii="Arial" w:hAnsi="Arial" w:cs="Arial"/>
          <w:b/>
          <w:bCs/>
          <w:sz w:val="22"/>
          <w:szCs w:val="22"/>
        </w:rPr>
        <w:t>G</w:t>
      </w:r>
      <w:r w:rsidR="00B76953">
        <w:rPr>
          <w:rFonts w:ascii="Arial" w:hAnsi="Arial" w:cs="Arial"/>
          <w:sz w:val="22"/>
          <w:szCs w:val="22"/>
        </w:rPr>
        <w:t xml:space="preserve"> Heatmaps showing LIGHT expression in cell types, higher expression depicted in red. </w:t>
      </w:r>
    </w:p>
    <w:p w14:paraId="0999E552" w14:textId="77777777" w:rsidR="003A3F8A" w:rsidRDefault="003A3F8A" w:rsidP="003A3F8A">
      <w:pPr>
        <w:spacing w:line="480" w:lineRule="auto"/>
        <w:rPr>
          <w:rFonts w:ascii="Arial" w:hAnsi="Arial" w:cs="Arial"/>
          <w:sz w:val="22"/>
          <w:szCs w:val="22"/>
        </w:rPr>
      </w:pPr>
      <w:r>
        <w:rPr>
          <w:rFonts w:ascii="Arial" w:hAnsi="Arial" w:cs="Arial"/>
          <w:sz w:val="22"/>
          <w:szCs w:val="22"/>
        </w:rPr>
        <w:t>SN: Seronegative hepatitis, AIH: Autoimmune hepatitis, D: Donor</w:t>
      </w:r>
    </w:p>
    <w:p w14:paraId="7CD255BA" w14:textId="77777777" w:rsidR="00433D9B" w:rsidRPr="002273D4" w:rsidRDefault="00433D9B" w:rsidP="00EB2356">
      <w:pPr>
        <w:spacing w:line="480" w:lineRule="auto"/>
        <w:rPr>
          <w:rFonts w:ascii="Arial" w:hAnsi="Arial" w:cs="Arial"/>
          <w:sz w:val="22"/>
          <w:szCs w:val="22"/>
        </w:rPr>
      </w:pPr>
    </w:p>
    <w:sectPr w:rsidR="00433D9B" w:rsidRPr="002273D4">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6"/>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73D4"/>
    <w:rsid w:val="00006CBA"/>
    <w:rsid w:val="00034722"/>
    <w:rsid w:val="000739DE"/>
    <w:rsid w:val="000B4296"/>
    <w:rsid w:val="000B5808"/>
    <w:rsid w:val="000C56C0"/>
    <w:rsid w:val="000D3ED1"/>
    <w:rsid w:val="00116CAB"/>
    <w:rsid w:val="001174A2"/>
    <w:rsid w:val="00121BFA"/>
    <w:rsid w:val="00154CE3"/>
    <w:rsid w:val="00171DF8"/>
    <w:rsid w:val="00192594"/>
    <w:rsid w:val="00197AA2"/>
    <w:rsid w:val="001C22CD"/>
    <w:rsid w:val="001C427D"/>
    <w:rsid w:val="001F0030"/>
    <w:rsid w:val="00210046"/>
    <w:rsid w:val="002273D4"/>
    <w:rsid w:val="00271103"/>
    <w:rsid w:val="00287E49"/>
    <w:rsid w:val="002D020B"/>
    <w:rsid w:val="002E4989"/>
    <w:rsid w:val="002F7CC6"/>
    <w:rsid w:val="00313EF7"/>
    <w:rsid w:val="00347741"/>
    <w:rsid w:val="003512EE"/>
    <w:rsid w:val="003663F9"/>
    <w:rsid w:val="00372737"/>
    <w:rsid w:val="003A3F8A"/>
    <w:rsid w:val="003C6589"/>
    <w:rsid w:val="003E509E"/>
    <w:rsid w:val="003F2A22"/>
    <w:rsid w:val="00411A61"/>
    <w:rsid w:val="00425C2E"/>
    <w:rsid w:val="00433D9B"/>
    <w:rsid w:val="0045015B"/>
    <w:rsid w:val="004C10FE"/>
    <w:rsid w:val="004F383A"/>
    <w:rsid w:val="00540A75"/>
    <w:rsid w:val="005434F5"/>
    <w:rsid w:val="00592249"/>
    <w:rsid w:val="005A7227"/>
    <w:rsid w:val="005B0841"/>
    <w:rsid w:val="005D3148"/>
    <w:rsid w:val="006549C0"/>
    <w:rsid w:val="006704CB"/>
    <w:rsid w:val="00671335"/>
    <w:rsid w:val="00685242"/>
    <w:rsid w:val="006853C9"/>
    <w:rsid w:val="006D07AA"/>
    <w:rsid w:val="006D3219"/>
    <w:rsid w:val="006F39DE"/>
    <w:rsid w:val="00725907"/>
    <w:rsid w:val="00726FE8"/>
    <w:rsid w:val="00737795"/>
    <w:rsid w:val="00750BC8"/>
    <w:rsid w:val="0075587B"/>
    <w:rsid w:val="00757B23"/>
    <w:rsid w:val="007639F4"/>
    <w:rsid w:val="007801F6"/>
    <w:rsid w:val="00796ABC"/>
    <w:rsid w:val="007971D4"/>
    <w:rsid w:val="007B32AE"/>
    <w:rsid w:val="007D41CD"/>
    <w:rsid w:val="007E6B66"/>
    <w:rsid w:val="007F1180"/>
    <w:rsid w:val="007F19B1"/>
    <w:rsid w:val="007F2C5D"/>
    <w:rsid w:val="0081446C"/>
    <w:rsid w:val="008358F8"/>
    <w:rsid w:val="00851BF0"/>
    <w:rsid w:val="00892F56"/>
    <w:rsid w:val="00894749"/>
    <w:rsid w:val="008A5DF9"/>
    <w:rsid w:val="008D061F"/>
    <w:rsid w:val="008D6375"/>
    <w:rsid w:val="008F2524"/>
    <w:rsid w:val="00912975"/>
    <w:rsid w:val="00915211"/>
    <w:rsid w:val="00922056"/>
    <w:rsid w:val="00962918"/>
    <w:rsid w:val="009652B7"/>
    <w:rsid w:val="009658F1"/>
    <w:rsid w:val="00971316"/>
    <w:rsid w:val="00974015"/>
    <w:rsid w:val="009835B3"/>
    <w:rsid w:val="009A3F12"/>
    <w:rsid w:val="009B16CC"/>
    <w:rsid w:val="009E1395"/>
    <w:rsid w:val="00A21127"/>
    <w:rsid w:val="00A43D2A"/>
    <w:rsid w:val="00A468A2"/>
    <w:rsid w:val="00A742CC"/>
    <w:rsid w:val="00A92BE8"/>
    <w:rsid w:val="00AD5AD3"/>
    <w:rsid w:val="00B02BDB"/>
    <w:rsid w:val="00B05BED"/>
    <w:rsid w:val="00B06143"/>
    <w:rsid w:val="00B12EB8"/>
    <w:rsid w:val="00B14A26"/>
    <w:rsid w:val="00B75406"/>
    <w:rsid w:val="00B76953"/>
    <w:rsid w:val="00BA1CD8"/>
    <w:rsid w:val="00BA4470"/>
    <w:rsid w:val="00BC7794"/>
    <w:rsid w:val="00BE35B0"/>
    <w:rsid w:val="00C00757"/>
    <w:rsid w:val="00C34223"/>
    <w:rsid w:val="00C35F7E"/>
    <w:rsid w:val="00C36FFA"/>
    <w:rsid w:val="00C64B46"/>
    <w:rsid w:val="00C7309D"/>
    <w:rsid w:val="00C74D1A"/>
    <w:rsid w:val="00CA6641"/>
    <w:rsid w:val="00CB5E60"/>
    <w:rsid w:val="00CE21D2"/>
    <w:rsid w:val="00D2085D"/>
    <w:rsid w:val="00D23DDF"/>
    <w:rsid w:val="00D37B23"/>
    <w:rsid w:val="00D75F64"/>
    <w:rsid w:val="00D859E1"/>
    <w:rsid w:val="00D94FBF"/>
    <w:rsid w:val="00DA6EC2"/>
    <w:rsid w:val="00DC5892"/>
    <w:rsid w:val="00DD09BB"/>
    <w:rsid w:val="00DD4B6F"/>
    <w:rsid w:val="00E01646"/>
    <w:rsid w:val="00E269C4"/>
    <w:rsid w:val="00E31E5A"/>
    <w:rsid w:val="00E5412A"/>
    <w:rsid w:val="00EB2356"/>
    <w:rsid w:val="00EB3447"/>
    <w:rsid w:val="00EB43C0"/>
    <w:rsid w:val="00EC1A7E"/>
    <w:rsid w:val="00EC1D1B"/>
    <w:rsid w:val="00F1656C"/>
    <w:rsid w:val="00F3771D"/>
    <w:rsid w:val="00F57601"/>
    <w:rsid w:val="00F727A1"/>
    <w:rsid w:val="00F82F0E"/>
    <w:rsid w:val="00F937CD"/>
    <w:rsid w:val="00F94EF1"/>
    <w:rsid w:val="00FB5E2D"/>
    <w:rsid w:val="00FD1277"/>
    <w:rsid w:val="00FD70B2"/>
    <w:rsid w:val="00FE6D4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26B6B751"/>
  <w15:chartTrackingRefBased/>
  <w15:docId w15:val="{23FA5E90-1066-A546-958A-5E951A9DA8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273D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2273D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2273D4"/>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273D4"/>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273D4"/>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273D4"/>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273D4"/>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273D4"/>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273D4"/>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273D4"/>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2273D4"/>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2273D4"/>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273D4"/>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273D4"/>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273D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273D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273D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273D4"/>
    <w:rPr>
      <w:rFonts w:eastAsiaTheme="majorEastAsia" w:cstheme="majorBidi"/>
      <w:color w:val="272727" w:themeColor="text1" w:themeTint="D8"/>
    </w:rPr>
  </w:style>
  <w:style w:type="paragraph" w:styleId="Title">
    <w:name w:val="Title"/>
    <w:basedOn w:val="Normal"/>
    <w:next w:val="Normal"/>
    <w:link w:val="TitleChar"/>
    <w:uiPriority w:val="10"/>
    <w:qFormat/>
    <w:rsid w:val="002273D4"/>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273D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273D4"/>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273D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273D4"/>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2273D4"/>
    <w:rPr>
      <w:i/>
      <w:iCs/>
      <w:color w:val="404040" w:themeColor="text1" w:themeTint="BF"/>
    </w:rPr>
  </w:style>
  <w:style w:type="paragraph" w:styleId="ListParagraph">
    <w:name w:val="List Paragraph"/>
    <w:basedOn w:val="Normal"/>
    <w:uiPriority w:val="34"/>
    <w:qFormat/>
    <w:rsid w:val="002273D4"/>
    <w:pPr>
      <w:ind w:left="720"/>
      <w:contextualSpacing/>
    </w:pPr>
  </w:style>
  <w:style w:type="character" w:styleId="IntenseEmphasis">
    <w:name w:val="Intense Emphasis"/>
    <w:basedOn w:val="DefaultParagraphFont"/>
    <w:uiPriority w:val="21"/>
    <w:qFormat/>
    <w:rsid w:val="002273D4"/>
    <w:rPr>
      <w:i/>
      <w:iCs/>
      <w:color w:val="0F4761" w:themeColor="accent1" w:themeShade="BF"/>
    </w:rPr>
  </w:style>
  <w:style w:type="paragraph" w:styleId="IntenseQuote">
    <w:name w:val="Intense Quote"/>
    <w:basedOn w:val="Normal"/>
    <w:next w:val="Normal"/>
    <w:link w:val="IntenseQuoteChar"/>
    <w:uiPriority w:val="30"/>
    <w:qFormat/>
    <w:rsid w:val="002273D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273D4"/>
    <w:rPr>
      <w:i/>
      <w:iCs/>
      <w:color w:val="0F4761" w:themeColor="accent1" w:themeShade="BF"/>
    </w:rPr>
  </w:style>
  <w:style w:type="character" w:styleId="IntenseReference">
    <w:name w:val="Intense Reference"/>
    <w:basedOn w:val="DefaultParagraphFont"/>
    <w:uiPriority w:val="32"/>
    <w:qFormat/>
    <w:rsid w:val="002273D4"/>
    <w:rPr>
      <w:b/>
      <w:bCs/>
      <w:smallCaps/>
      <w:color w:val="0F4761" w:themeColor="accent1" w:themeShade="BF"/>
      <w:spacing w:val="5"/>
    </w:rPr>
  </w:style>
  <w:style w:type="character" w:styleId="Hyperlink">
    <w:name w:val="Hyperlink"/>
    <w:basedOn w:val="DefaultParagraphFont"/>
    <w:uiPriority w:val="99"/>
    <w:unhideWhenUsed/>
    <w:rsid w:val="002273D4"/>
    <w:rPr>
      <w:color w:val="467886" w:themeColor="hyperlink"/>
      <w:u w:val="single"/>
    </w:rPr>
  </w:style>
  <w:style w:type="character" w:customStyle="1" w:styleId="outlook-search-highlight">
    <w:name w:val="outlook-search-highlight"/>
    <w:basedOn w:val="DefaultParagraphFont"/>
    <w:rsid w:val="002273D4"/>
  </w:style>
  <w:style w:type="character" w:customStyle="1" w:styleId="apple-converted-space">
    <w:name w:val="apple-converted-space"/>
    <w:basedOn w:val="DefaultParagraphFont"/>
    <w:rsid w:val="002273D4"/>
  </w:style>
  <w:style w:type="paragraph" w:styleId="NormalWeb">
    <w:name w:val="Normal (Web)"/>
    <w:basedOn w:val="Normal"/>
    <w:uiPriority w:val="99"/>
    <w:semiHidden/>
    <w:unhideWhenUsed/>
    <w:rsid w:val="002273D4"/>
    <w:pPr>
      <w:spacing w:before="100" w:beforeAutospacing="1" w:after="100" w:afterAutospacing="1"/>
    </w:pPr>
    <w:rPr>
      <w:rFonts w:ascii="Times New Roman" w:eastAsia="Times New Roman" w:hAnsi="Times New Roman" w:cs="Times New Roman"/>
      <w:kern w:val="0"/>
      <w:lang w:eastAsia="en-GB"/>
      <w14:ligatures w14:val="none"/>
    </w:rPr>
  </w:style>
  <w:style w:type="character" w:styleId="Strong">
    <w:name w:val="Strong"/>
    <w:basedOn w:val="DefaultParagraphFont"/>
    <w:uiPriority w:val="22"/>
    <w:qFormat/>
    <w:rsid w:val="002273D4"/>
    <w:rPr>
      <w:b/>
      <w:bCs/>
    </w:rPr>
  </w:style>
  <w:style w:type="paragraph" w:customStyle="1" w:styleId="p1">
    <w:name w:val="p1"/>
    <w:basedOn w:val="Normal"/>
    <w:rsid w:val="00B76953"/>
    <w:pPr>
      <w:spacing w:before="100" w:beforeAutospacing="1" w:after="100" w:afterAutospacing="1"/>
    </w:pPr>
    <w:rPr>
      <w:rFonts w:ascii="Times New Roman" w:eastAsia="Times New Roman" w:hAnsi="Times New Roman" w:cs="Times New Roman"/>
      <w:kern w:val="0"/>
      <w:lang w:eastAsia="en-GB"/>
      <w14:ligatures w14:val="none"/>
    </w:rPr>
  </w:style>
  <w:style w:type="paragraph" w:customStyle="1" w:styleId="p2">
    <w:name w:val="p2"/>
    <w:basedOn w:val="Normal"/>
    <w:rsid w:val="00B76953"/>
    <w:pPr>
      <w:spacing w:before="100" w:beforeAutospacing="1" w:after="100" w:afterAutospacing="1"/>
    </w:pPr>
    <w:rPr>
      <w:rFonts w:ascii="Times New Roman" w:eastAsia="Times New Roman" w:hAnsi="Times New Roman" w:cs="Times New Roman"/>
      <w:kern w:val="0"/>
      <w:lang w:eastAsia="en-GB"/>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ettings" Target="settings.xml"/><Relationship Id="rId16" Type="http://schemas.openxmlformats.org/officeDocument/2006/relationships/image" Target="media/image12.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theme" Target="theme/theme1.xml"/><Relationship Id="rId4" Type="http://schemas.openxmlformats.org/officeDocument/2006/relationships/hyperlink" Target="mailto:a.g.bozward@bham.ac.uk" TargetMode="Externa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104</TotalTime>
  <Pages>20</Pages>
  <Words>1958</Words>
  <Characters>11167</Characters>
  <Application>Microsoft Office Word</Application>
  <DocSecurity>0</DocSecurity>
  <Lines>93</Lines>
  <Paragraphs>26</Paragraphs>
  <ScaleCrop>false</ScaleCrop>
  <Company/>
  <LinksUpToDate>false</LinksUpToDate>
  <CharactersWithSpaces>13099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Amber Bozward (Immunology and Immunotherapy)</dc:creator>
  <cp:keywords/>
  <dc:description/>
  <cp:lastModifiedBy>Amber Bozward (Immunology and Immunotherapy)</cp:lastModifiedBy>
  <cp:revision>24</cp:revision>
  <dcterms:created xsi:type="dcterms:W3CDTF">2025-09-10T18:59:00Z</dcterms:created>
  <dcterms:modified xsi:type="dcterms:W3CDTF">2025-10-27T13:36:00Z</dcterms:modified>
</cp:coreProperties>
</file>